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auto"/>
          <w:sz w:val="44"/>
        </w:rPr>
        <w:t>融水苗族自治县市场监督管理局</w:t>
      </w:r>
      <w:bookmarkEnd w:id="0"/>
    </w:p>
    <w:p>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w:t>
      </w:r>
      <w:r>
        <w:rPr>
          <w:rFonts w:hint="eastAsia" w:hAnsi="方正小标宋简体" w:eastAsia="方正小标宋简体" w:cs="方正小标宋简体"/>
          <w:color w:val="auto"/>
          <w:sz w:val="44"/>
          <w:szCs w:val="44"/>
          <w:lang w:val="en-US" w:eastAsia="zh-Hans"/>
        </w:rPr>
        <w:t>决定</w:t>
      </w:r>
      <w:r>
        <w:rPr>
          <w:rFonts w:hint="eastAsia" w:hAnsi="方正小标宋简体" w:eastAsia="方正小标宋简体" w:cs="方正小标宋简体"/>
          <w:color w:val="auto"/>
          <w:sz w:val="44"/>
          <w:szCs w:val="44"/>
          <w:lang w:val="en-US"/>
        </w:rPr>
        <w:t>书</w:t>
      </w:r>
      <w:bookmarkEnd w:id="1"/>
    </w:p>
    <w:p>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rPr>
        <w:t>融水市监处罚〔2026〕1</w:t>
      </w:r>
      <w:r>
        <w:rPr>
          <w:rFonts w:hint="eastAsia" w:ascii="Times New Roman" w:hAnsi="Times New Roman" w:eastAsia="仿宋_GB2312" w:cs="Mongolian Baiti"/>
          <w:color w:val="auto"/>
          <w:sz w:val="32"/>
          <w:lang w:val="en-US" w:eastAsia="zh-CN"/>
        </w:rPr>
        <w:t>63</w:t>
      </w:r>
      <w:r>
        <w:rPr>
          <w:rFonts w:hint="eastAsia" w:ascii="Times New Roman" w:hAnsi="Times New Roman" w:eastAsia="仿宋_GB2312" w:cs="Mongolian Baiti"/>
          <w:color w:val="auto"/>
          <w:sz w:val="32"/>
        </w:rPr>
        <w:t>号</w:t>
      </w:r>
      <w:bookmarkEnd w:id="2"/>
    </w:p>
    <w:p>
      <w:pPr>
        <w:spacing w:before="315" w:beforeLines="100" w:line="540" w:lineRule="exact"/>
        <w:ind w:left="142" w:hanging="142"/>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kern w:val="1"/>
          <w:sz w:val="32"/>
          <w:szCs w:val="32"/>
        </w:rPr>
        <w:t>当事人：</w:t>
      </w:r>
      <w:r>
        <w:rPr>
          <w:rFonts w:hint="eastAsia" w:ascii="仿宋_GB2312" w:hAnsi="宋体" w:eastAsia="仿宋_GB2312"/>
          <w:color w:val="auto"/>
          <w:sz w:val="32"/>
          <w:szCs w:val="32"/>
          <w:u w:val="single"/>
          <w:lang w:eastAsia="zh-CN"/>
        </w:rPr>
        <w:t>融水县广江农业科技有限公司</w:t>
      </w:r>
      <w:r>
        <w:rPr>
          <w:rFonts w:hint="eastAsia" w:ascii="仿宋_GB2312" w:hAnsi="仿宋_GB2312" w:eastAsia="仿宋_GB2312" w:cs="仿宋_GB2312"/>
          <w:b w:val="0"/>
          <w:bCs/>
          <w:color w:val="auto"/>
          <w:kern w:val="1"/>
          <w:sz w:val="32"/>
          <w:szCs w:val="32"/>
          <w:u w:val="single"/>
        </w:rPr>
        <w:t xml:space="preserve">                                            </w:t>
      </w:r>
    </w:p>
    <w:p>
      <w:pPr>
        <w:spacing w:line="540" w:lineRule="exact"/>
        <w:ind w:left="140" w:hanging="140"/>
        <w:rPr>
          <w:rFonts w:hint="eastAsia" w:ascii="仿宋_GB2312" w:hAnsi="仿宋_GB2312" w:eastAsia="仿宋_GB2312" w:cs="仿宋_GB2312"/>
          <w:b w:val="0"/>
          <w:bCs/>
          <w:color w:val="auto"/>
          <w:kern w:val="1"/>
          <w:sz w:val="32"/>
          <w:szCs w:val="32"/>
          <w:u w:val="single"/>
        </w:rPr>
      </w:pPr>
      <w:r>
        <w:rPr>
          <w:rFonts w:hint="eastAsia" w:ascii="仿宋_GB2312" w:hAnsi="仿宋_GB2312" w:eastAsia="仿宋_GB2312" w:cs="仿宋_GB2312"/>
          <w:b w:val="0"/>
          <w:bCs/>
          <w:color w:val="auto"/>
          <w:kern w:val="1"/>
          <w:sz w:val="32"/>
          <w:szCs w:val="32"/>
        </w:rPr>
        <w:t>主体资格证照名称：</w:t>
      </w:r>
      <w:bookmarkStart w:id="3" w:name="CALCULATE—DSR—tAjDsrs_cZtzgzzmc"/>
      <w:r>
        <w:rPr>
          <w:rFonts w:hint="eastAsia" w:ascii="仿宋_GB2312" w:hAnsi="仿宋_GB2312" w:eastAsia="仿宋_GB2312" w:cs="仿宋_GB2312"/>
          <w:b w:val="0"/>
          <w:color w:val="auto"/>
          <w:sz w:val="32"/>
          <w:u w:val="single"/>
        </w:rPr>
        <w:t>营业执照</w:t>
      </w:r>
      <w:bookmarkEnd w:id="3"/>
      <w:r>
        <w:rPr>
          <w:rFonts w:hint="eastAsia" w:ascii="仿宋_GB2312" w:hAnsi="仿宋_GB2312" w:eastAsia="仿宋_GB2312" w:cs="仿宋_GB2312"/>
          <w:b w:val="0"/>
          <w:bCs/>
          <w:color w:val="auto"/>
          <w:kern w:val="1"/>
          <w:sz w:val="32"/>
          <w:szCs w:val="32"/>
          <w:u w:val="single"/>
        </w:rPr>
        <w:t xml:space="preserve">                                  </w:t>
      </w:r>
    </w:p>
    <w:p>
      <w:pPr>
        <w:spacing w:line="540" w:lineRule="exact"/>
        <w:ind w:left="140" w:hanging="140"/>
        <w:rPr>
          <w:rFonts w:hint="eastAsia" w:ascii="仿宋_GB2312" w:hAnsi="仿宋_GB2312" w:eastAsia="仿宋_GB2312" w:cs="仿宋_GB2312"/>
          <w:b w:val="0"/>
          <w:bCs/>
          <w:color w:val="auto"/>
          <w:kern w:val="1"/>
          <w:sz w:val="32"/>
          <w:szCs w:val="32"/>
          <w:u w:val="single"/>
          <w:lang w:val="en-US" w:eastAsia="zh-CN"/>
        </w:rPr>
      </w:pPr>
      <w:r>
        <w:rPr>
          <w:rFonts w:hint="eastAsia" w:ascii="仿宋_GB2312" w:hAnsi="仿宋_GB2312" w:eastAsia="仿宋_GB2312" w:cs="仿宋_GB2312"/>
          <w:b w:val="0"/>
          <w:bCs/>
          <w:color w:val="auto"/>
          <w:kern w:val="1"/>
          <w:sz w:val="32"/>
          <w:szCs w:val="32"/>
        </w:rPr>
        <w:t>统一社会信用代码：</w:t>
      </w:r>
      <w:r>
        <w:rPr>
          <w:rFonts w:hint="eastAsia" w:ascii="仿宋_GB2312" w:hAnsi="宋体" w:eastAsia="仿宋_GB2312"/>
          <w:sz w:val="32"/>
          <w:szCs w:val="32"/>
          <w:u w:val="single"/>
          <w:lang w:val="en-US" w:eastAsia="zh-CN"/>
        </w:rPr>
        <w:t>91450225MAD3JWRW89</w:t>
      </w:r>
      <w:r>
        <w:rPr>
          <w:rFonts w:hint="eastAsia" w:ascii="仿宋_GB2312" w:hAnsi="仿宋_GB2312" w:eastAsia="仿宋_GB2312" w:cs="仿宋_GB2312"/>
          <w:b w:val="0"/>
          <w:bCs/>
          <w:color w:val="auto"/>
          <w:kern w:val="1"/>
          <w:sz w:val="32"/>
          <w:szCs w:val="32"/>
          <w:u w:val="single"/>
        </w:rPr>
        <w:t xml:space="preserve">                                 </w:t>
      </w:r>
    </w:p>
    <w:p>
      <w:pPr>
        <w:spacing w:line="540" w:lineRule="exact"/>
        <w:ind w:left="140" w:hanging="140"/>
        <w:rPr>
          <w:rFonts w:hint="eastAsia" w:ascii="仿宋_GB2312" w:hAnsi="仿宋_GB2312" w:eastAsia="仿宋_GB2312" w:cs="仿宋_GB2312"/>
          <w:b w:val="0"/>
          <w:bCs/>
          <w:color w:val="auto"/>
          <w:kern w:val="1"/>
          <w:sz w:val="32"/>
          <w:szCs w:val="32"/>
          <w:lang w:val="en-US" w:eastAsia="zh-CN"/>
        </w:rPr>
      </w:pPr>
      <w:r>
        <w:rPr>
          <w:rFonts w:hint="eastAsia" w:ascii="仿宋_GB2312" w:hAnsi="仿宋_GB2312" w:eastAsia="仿宋_GB2312" w:cs="仿宋_GB2312"/>
          <w:b w:val="0"/>
          <w:bCs/>
          <w:color w:val="auto"/>
          <w:kern w:val="1"/>
          <w:sz w:val="32"/>
          <w:szCs w:val="32"/>
        </w:rPr>
        <w:t>住所（住址）：</w:t>
      </w:r>
      <w:r>
        <w:rPr>
          <w:rFonts w:hint="eastAsia" w:ascii="仿宋_GB2312" w:hAnsi="Times New Roman" w:eastAsia="仿宋_GB2312" w:cs="仿宋_GB2312"/>
          <w:sz w:val="32"/>
          <w:u w:val="single"/>
          <w:lang w:eastAsia="zh-CN"/>
        </w:rPr>
        <w:t>广西壮族自治区柳州市融水县融水镇康田香杉科技园</w:t>
      </w:r>
      <w:r>
        <w:rPr>
          <w:rFonts w:hint="eastAsia" w:ascii="仿宋_GB2312" w:hAnsi="Times New Roman" w:eastAsia="仿宋_GB2312" w:cs="仿宋_GB2312"/>
          <w:sz w:val="32"/>
          <w:u w:val="single"/>
          <w:lang w:val="en-US" w:eastAsia="zh-CN"/>
        </w:rPr>
        <w:t>5#标准厂房1楼</w:t>
      </w:r>
      <w:r>
        <w:rPr>
          <w:rFonts w:hint="eastAsia" w:ascii="仿宋_GB2312" w:hAnsi="仿宋_GB2312" w:eastAsia="仿宋_GB2312" w:cs="仿宋_GB2312"/>
          <w:b w:val="0"/>
          <w:bCs/>
          <w:color w:val="auto"/>
          <w:kern w:val="1"/>
          <w:sz w:val="32"/>
          <w:szCs w:val="32"/>
          <w:u w:val="single"/>
        </w:rPr>
        <w:t xml:space="preserve">                                      </w:t>
      </w:r>
      <w:r>
        <w:rPr>
          <w:rFonts w:hint="eastAsia" w:ascii="仿宋_GB2312" w:hAnsi="仿宋_GB2312" w:eastAsia="仿宋_GB2312" w:cs="仿宋_GB2312"/>
          <w:b w:val="0"/>
          <w:bCs/>
          <w:color w:val="auto"/>
          <w:kern w:val="1"/>
          <w:sz w:val="32"/>
          <w:szCs w:val="32"/>
          <w:u w:val="single"/>
          <w:lang w:val="en-US" w:eastAsia="zh-CN"/>
        </w:rPr>
        <w:t xml:space="preserve"> </w:t>
      </w:r>
    </w:p>
    <w:p>
      <w:pPr>
        <w:spacing w:line="540" w:lineRule="exact"/>
        <w:rPr>
          <w:rFonts w:hint="eastAsia" w:ascii="仿宋_GB2312" w:hAnsi="仿宋_GB2312" w:eastAsia="仿宋_GB2312" w:cs="仿宋_GB2312"/>
          <w:b w:val="0"/>
          <w:bCs/>
          <w:color w:val="auto"/>
          <w:kern w:val="1"/>
          <w:sz w:val="32"/>
          <w:szCs w:val="32"/>
          <w:lang w:val="en-US" w:eastAsia="zh-CN"/>
        </w:rPr>
      </w:pPr>
      <w:r>
        <w:rPr>
          <w:rFonts w:hint="eastAsia" w:ascii="仿宋_GB2312" w:hAnsi="仿宋_GB2312" w:eastAsia="仿宋_GB2312" w:cs="仿宋_GB2312"/>
          <w:b w:val="0"/>
          <w:bCs/>
          <w:color w:val="auto"/>
          <w:kern w:val="1"/>
          <w:sz w:val="32"/>
          <w:szCs w:val="32"/>
        </w:rPr>
        <w:t>法定代表人：</w:t>
      </w:r>
      <w:r>
        <w:rPr>
          <w:rFonts w:hint="eastAsia" w:ascii="仿宋_GB2312" w:hAnsi="宋体" w:eastAsia="仿宋_GB2312"/>
          <w:sz w:val="32"/>
          <w:szCs w:val="32"/>
          <w:u w:val="single"/>
          <w:lang w:val="en-US" w:eastAsia="zh-CN"/>
        </w:rPr>
        <w:t>韦意</w:t>
      </w:r>
      <w:r>
        <w:rPr>
          <w:rFonts w:hint="eastAsia" w:ascii="仿宋_GB2312" w:hAnsi="仿宋_GB2312" w:eastAsia="仿宋_GB2312" w:cs="仿宋_GB2312"/>
          <w:b w:val="0"/>
          <w:bCs/>
          <w:color w:val="auto"/>
          <w:kern w:val="1"/>
          <w:sz w:val="32"/>
          <w:szCs w:val="32"/>
          <w:u w:val="single"/>
        </w:rPr>
        <w:t xml:space="preserve">                    </w:t>
      </w:r>
      <w:r>
        <w:rPr>
          <w:rFonts w:hint="eastAsia" w:ascii="仿宋_GB2312" w:hAnsi="仿宋_GB2312" w:eastAsia="仿宋_GB2312" w:cs="仿宋_GB2312"/>
          <w:b w:val="0"/>
          <w:bCs/>
          <w:color w:val="auto"/>
          <w:kern w:val="1"/>
          <w:sz w:val="32"/>
          <w:szCs w:val="32"/>
          <w:u w:val="single"/>
          <w:lang w:val="en-US" w:eastAsia="zh-CN"/>
        </w:rPr>
        <w:t xml:space="preserve">              </w:t>
      </w:r>
      <w:r>
        <w:rPr>
          <w:rFonts w:hint="eastAsia" w:ascii="仿宋_GB2312" w:hAnsi="仿宋_GB2312" w:eastAsia="仿宋_GB2312" w:cs="仿宋_GB2312"/>
          <w:b w:val="0"/>
          <w:bCs/>
          <w:color w:val="auto"/>
          <w:kern w:val="1"/>
          <w:sz w:val="32"/>
          <w:szCs w:val="32"/>
          <w:u w:val="single"/>
        </w:rPr>
        <w:t xml:space="preserve">   </w:t>
      </w:r>
    </w:p>
    <w:p>
      <w:pPr>
        <w:keepNext w:val="0"/>
        <w:keepLines w:val="0"/>
        <w:pageBreakBefore w:val="0"/>
        <w:widowControl w:val="0"/>
        <w:kinsoku/>
        <w:wordWrap/>
        <w:overflowPunct/>
        <w:topLinePunct w:val="0"/>
        <w:autoSpaceDE/>
        <w:autoSpaceDN/>
        <w:bidi w:val="0"/>
        <w:adjustRightInd w:val="0"/>
        <w:snapToGrid/>
        <w:spacing w:line="540" w:lineRule="exact"/>
        <w:ind w:firstLine="640" w:firstLineChars="200"/>
        <w:jc w:val="left"/>
        <w:textAlignment w:val="baseline"/>
        <w:rPr>
          <w:rFonts w:hint="eastAsia" w:ascii="仿宋_GB2312" w:eastAsia="仿宋_GB2312"/>
          <w:sz w:val="32"/>
          <w:szCs w:val="32"/>
          <w:lang w:val="en-US" w:eastAsia="zh-CN"/>
        </w:rPr>
      </w:pPr>
      <w:r>
        <w:rPr>
          <w:rFonts w:hint="eastAsia" w:ascii="仿宋_GB2312" w:hAnsi="仿宋_GB2312" w:eastAsia="仿宋_GB2312" w:cs="仿宋_GB2312"/>
          <w:b w:val="0"/>
          <w:bCs w:val="0"/>
          <w:sz w:val="32"/>
          <w:szCs w:val="32"/>
          <w:u w:val="none"/>
          <w:lang w:val="en-US" w:eastAsia="zh-CN"/>
        </w:rPr>
        <w:t>当事人自</w:t>
      </w:r>
      <w:r>
        <w:rPr>
          <w:rFonts w:hint="eastAsia" w:ascii="仿宋_GB2312" w:hAnsi="仿宋" w:eastAsia="仿宋_GB2312"/>
          <w:color w:val="auto"/>
          <w:sz w:val="32"/>
          <w:szCs w:val="32"/>
          <w:lang w:val="en-US" w:eastAsia="zh-CN"/>
        </w:rPr>
        <w:t>2023年11月3</w:t>
      </w:r>
      <w:r>
        <w:rPr>
          <w:rFonts w:hint="eastAsia" w:ascii="仿宋_GB2312" w:hAnsi="仿宋_GB2312" w:eastAsia="仿宋_GB2312" w:cs="仿宋_GB2312"/>
          <w:b w:val="0"/>
          <w:bCs w:val="0"/>
          <w:sz w:val="32"/>
          <w:szCs w:val="32"/>
          <w:u w:val="none"/>
          <w:lang w:val="en-US" w:eastAsia="zh-CN"/>
        </w:rPr>
        <w:t>日取得《营业执照》，并依法办理了《</w:t>
      </w:r>
      <w:r>
        <w:rPr>
          <w:rFonts w:hint="eastAsia" w:ascii="仿宋_GB2312" w:hAnsi="仿宋" w:eastAsia="仿宋_GB2312"/>
          <w:color w:val="000000"/>
          <w:sz w:val="32"/>
          <w:szCs w:val="32"/>
          <w:lang w:val="en-US" w:eastAsia="zh-CN"/>
        </w:rPr>
        <w:t>食品生产许可证》，在</w:t>
      </w:r>
      <w:r>
        <w:rPr>
          <w:rFonts w:hint="eastAsia" w:ascii="仿宋_GB2312" w:hAnsi="Times New Roman" w:eastAsia="仿宋_GB2312" w:cs="仿宋_GB2312"/>
          <w:sz w:val="32"/>
          <w:u w:val="none"/>
          <w:lang w:eastAsia="zh-CN"/>
        </w:rPr>
        <w:t>广西壮族自治区柳州市融水县融水镇康田香杉科技园</w:t>
      </w:r>
      <w:r>
        <w:rPr>
          <w:rFonts w:hint="eastAsia" w:ascii="仿宋_GB2312" w:hAnsi="Times New Roman" w:eastAsia="仿宋_GB2312" w:cs="仿宋_GB2312"/>
          <w:sz w:val="32"/>
          <w:u w:val="none"/>
          <w:lang w:val="en-US" w:eastAsia="zh-CN"/>
        </w:rPr>
        <w:t>5#标准厂房1楼</w:t>
      </w:r>
      <w:r>
        <w:rPr>
          <w:rFonts w:hint="eastAsia" w:ascii="仿宋_GB2312" w:eastAsia="仿宋_GB2312"/>
          <w:sz w:val="32"/>
          <w:szCs w:val="32"/>
          <w:lang w:eastAsia="zh-CN"/>
        </w:rPr>
        <w:t>食</w:t>
      </w:r>
      <w:r>
        <w:rPr>
          <w:rFonts w:hint="eastAsia" w:ascii="仿宋_GB2312" w:eastAsia="仿宋_GB2312"/>
          <w:sz w:val="32"/>
          <w:szCs w:val="32"/>
          <w:lang w:val="en-US" w:eastAsia="zh-CN"/>
        </w:rPr>
        <w:t>品生产、食品销售相关经营活动。</w:t>
      </w:r>
    </w:p>
    <w:p>
      <w:pPr>
        <w:pStyle w:val="4"/>
        <w:keepNext w:val="0"/>
        <w:keepLines w:val="0"/>
        <w:pageBreakBefore w:val="0"/>
        <w:widowControl w:val="0"/>
        <w:tabs>
          <w:tab w:val="right" w:pos="9240"/>
          <w:tab w:val="clear" w:pos="8306"/>
        </w:tabs>
        <w:kinsoku/>
        <w:wordWrap/>
        <w:overflowPunct/>
        <w:topLinePunct w:val="0"/>
        <w:autoSpaceDE/>
        <w:autoSpaceDN/>
        <w:bidi w:val="0"/>
        <w:adjustRightInd w:val="0"/>
        <w:spacing w:line="520" w:lineRule="exact"/>
        <w:ind w:firstLine="640" w:firstLineChars="200"/>
        <w:jc w:val="both"/>
        <w:textAlignment w:val="baseline"/>
        <w:rPr>
          <w:rFonts w:hint="eastAsia" w:ascii="仿宋_GB2312" w:hAnsi="仿宋" w:eastAsia="仿宋_GB2312"/>
          <w:b w:val="0"/>
          <w:bCs w:val="0"/>
          <w:color w:val="000000"/>
          <w:sz w:val="32"/>
          <w:szCs w:val="32"/>
          <w:lang w:val="en-US" w:eastAsia="zh-CN"/>
        </w:rPr>
      </w:pPr>
      <w:r>
        <w:rPr>
          <w:rFonts w:hint="eastAsia" w:ascii="仿宋_GB2312" w:hAnsi="仿宋" w:eastAsia="仿宋_GB2312"/>
          <w:b w:val="0"/>
          <w:bCs w:val="0"/>
          <w:color w:val="000000"/>
          <w:sz w:val="32"/>
          <w:szCs w:val="32"/>
          <w:lang w:val="en-US" w:eastAsia="zh-CN"/>
        </w:rPr>
        <w:t>2026年6月16日,广西民生中检联检测有限公司受本单位委托对</w:t>
      </w:r>
      <w:r>
        <w:rPr>
          <w:rFonts w:hint="eastAsia" w:ascii="仿宋_GB2312" w:hAnsi="宋体" w:eastAsia="仿宋_GB2312"/>
          <w:color w:val="auto"/>
          <w:sz w:val="32"/>
          <w:szCs w:val="32"/>
          <w:u w:val="none"/>
          <w:lang w:eastAsia="zh-CN"/>
        </w:rPr>
        <w:t>融水县广江农业科技有限公司</w:t>
      </w:r>
      <w:r>
        <w:rPr>
          <w:rFonts w:hint="eastAsia" w:ascii="仿宋_GB2312" w:hAnsi="仿宋" w:eastAsia="仿宋_GB2312"/>
          <w:b w:val="0"/>
          <w:bCs w:val="0"/>
          <w:color w:val="000000"/>
          <w:sz w:val="32"/>
          <w:szCs w:val="32"/>
          <w:lang w:val="en-US" w:eastAsia="zh-CN"/>
        </w:rPr>
        <w:t>进行监督抽检，抽检的产品名称：苗家玉兰笋片、规格型号：300g/袋、生产日期：2026-06-15，被抽样单位名称</w:t>
      </w:r>
      <w:r>
        <w:rPr>
          <w:rFonts w:hint="eastAsia" w:ascii="仿宋_GB2312" w:hAnsi="宋体" w:eastAsia="仿宋_GB2312"/>
          <w:color w:val="auto"/>
          <w:sz w:val="32"/>
          <w:szCs w:val="32"/>
          <w:u w:val="none"/>
          <w:lang w:eastAsia="zh-CN"/>
        </w:rPr>
        <w:t>融水县广江农业科技有限公司</w:t>
      </w:r>
      <w:r>
        <w:rPr>
          <w:rFonts w:hint="eastAsia" w:ascii="仿宋_GB2312" w:hAnsi="仿宋" w:eastAsia="仿宋_GB2312"/>
          <w:b w:val="0"/>
          <w:bCs w:val="0"/>
          <w:color w:val="000000"/>
          <w:sz w:val="32"/>
          <w:szCs w:val="32"/>
          <w:lang w:val="en-US" w:eastAsia="zh-CN"/>
        </w:rPr>
        <w:t>、标称生产者名称：</w:t>
      </w:r>
      <w:r>
        <w:rPr>
          <w:rFonts w:hint="eastAsia" w:ascii="仿宋_GB2312" w:hAnsi="宋体" w:eastAsia="仿宋_GB2312"/>
          <w:color w:val="auto"/>
          <w:sz w:val="32"/>
          <w:szCs w:val="32"/>
          <w:u w:val="none"/>
          <w:lang w:eastAsia="zh-CN"/>
        </w:rPr>
        <w:t>融水县广江农业科技有限公司</w:t>
      </w:r>
      <w:r>
        <w:rPr>
          <w:rFonts w:hint="eastAsia" w:ascii="仿宋_GB2312" w:hAnsi="仿宋" w:eastAsia="仿宋_GB2312"/>
          <w:b w:val="0"/>
          <w:bCs w:val="0"/>
          <w:color w:val="000000"/>
          <w:sz w:val="32"/>
          <w:szCs w:val="32"/>
          <w:lang w:val="en-US" w:eastAsia="zh-CN"/>
        </w:rPr>
        <w:t>。经广西华测检测认证有限公司检验，2026年07月06日签发的检验报告(N0:BFSQG060364014C）检验结论:经抽样检验，商业无菌项目不符合GB 7098-2025《食品安全国家标准 罐头食品》要求，检验结论为不合格。</w:t>
      </w:r>
    </w:p>
    <w:p>
      <w:pPr>
        <w:keepNext w:val="0"/>
        <w:keepLines w:val="0"/>
        <w:pageBreakBefore w:val="0"/>
        <w:widowControl w:val="0"/>
        <w:kinsoku/>
        <w:wordWrap/>
        <w:overflowPunct/>
        <w:topLinePunct w:val="0"/>
        <w:autoSpaceDE/>
        <w:autoSpaceDN/>
        <w:bidi w:val="0"/>
        <w:adjustRightInd w:val="0"/>
        <w:snapToGrid/>
        <w:spacing w:line="520" w:lineRule="exact"/>
        <w:ind w:firstLine="640" w:firstLineChars="200"/>
        <w:jc w:val="both"/>
        <w:textAlignment w:val="baseline"/>
        <w:rPr>
          <w:rFonts w:hint="eastAsia" w:ascii="仿宋_GB2312" w:hAnsi="仿宋" w:eastAsia="仿宋_GB2312"/>
          <w:b w:val="0"/>
          <w:bCs w:val="0"/>
          <w:color w:val="000000"/>
          <w:sz w:val="32"/>
          <w:szCs w:val="32"/>
          <w:lang w:val="en-US" w:eastAsia="zh-CN"/>
        </w:rPr>
      </w:pPr>
      <w:r>
        <w:rPr>
          <w:rFonts w:hint="eastAsia" w:ascii="仿宋_GB2312" w:eastAsia="仿宋_GB2312"/>
          <w:sz w:val="32"/>
          <w:szCs w:val="32"/>
          <w:lang w:val="en-US" w:eastAsia="zh-CN"/>
        </w:rPr>
        <w:t>本局执法人员于2026</w:t>
      </w:r>
      <w:r>
        <w:rPr>
          <w:rFonts w:hint="eastAsia" w:ascii="仿宋_GB2312" w:eastAsia="仿宋_GB2312"/>
          <w:sz w:val="32"/>
          <w:szCs w:val="32"/>
        </w:rPr>
        <w:t xml:space="preserve">年 </w:t>
      </w:r>
      <w:r>
        <w:rPr>
          <w:rFonts w:hint="eastAsia" w:ascii="仿宋_GB2312" w:eastAsia="仿宋_GB2312"/>
          <w:sz w:val="32"/>
          <w:szCs w:val="32"/>
          <w:lang w:val="en-US" w:eastAsia="zh-CN"/>
        </w:rPr>
        <w:t>7</w:t>
      </w:r>
      <w:r>
        <w:rPr>
          <w:rFonts w:hint="eastAsia" w:ascii="仿宋_GB2312" w:eastAsia="仿宋_GB2312"/>
          <w:sz w:val="32"/>
          <w:szCs w:val="32"/>
        </w:rPr>
        <w:t>月</w:t>
      </w:r>
      <w:r>
        <w:rPr>
          <w:rFonts w:hint="eastAsia" w:ascii="仿宋_GB2312" w:eastAsia="仿宋_GB2312"/>
          <w:sz w:val="32"/>
          <w:szCs w:val="32"/>
          <w:lang w:val="en-US" w:eastAsia="zh-CN"/>
        </w:rPr>
        <w:t>13</w:t>
      </w:r>
      <w:r>
        <w:rPr>
          <w:rFonts w:hint="eastAsia" w:ascii="仿宋_GB2312" w:eastAsia="仿宋_GB2312"/>
          <w:sz w:val="32"/>
          <w:szCs w:val="32"/>
        </w:rPr>
        <w:t>日</w:t>
      </w:r>
      <w:r>
        <w:rPr>
          <w:rFonts w:hint="eastAsia" w:ascii="仿宋_GB2312" w:hAnsi="仿宋" w:eastAsia="仿宋_GB2312"/>
          <w:sz w:val="32"/>
          <w:szCs w:val="32"/>
          <w:lang w:val="en-US" w:eastAsia="zh-CN"/>
        </w:rPr>
        <w:t>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检验报告</w:t>
      </w:r>
      <w:r>
        <w:rPr>
          <w:rFonts w:hint="eastAsia" w:ascii="仿宋_GB2312" w:hAnsi="仿宋_GB2312" w:eastAsia="仿宋_GB2312" w:cs="仿宋_GB2312"/>
          <w:sz w:val="32"/>
          <w:szCs w:val="32"/>
          <w:lang w:eastAsia="zh-CN"/>
        </w:rPr>
        <w:t>》</w:t>
      </w:r>
      <w:r>
        <w:rPr>
          <w:rFonts w:hint="eastAsia" w:ascii="仿宋_GB2312" w:eastAsia="仿宋_GB2312"/>
          <w:sz w:val="32"/>
          <w:szCs w:val="32"/>
          <w:lang w:val="en-US" w:eastAsia="zh-CN"/>
        </w:rPr>
        <w:t xml:space="preserve"> </w:t>
      </w:r>
      <w:r>
        <w:rPr>
          <w:rFonts w:hint="eastAsia" w:ascii="仿宋_GB2312" w:hAnsi="仿宋" w:eastAsia="仿宋_GB2312"/>
          <w:b w:val="0"/>
          <w:bCs w:val="0"/>
          <w:color w:val="000000"/>
          <w:sz w:val="32"/>
          <w:szCs w:val="32"/>
          <w:lang w:val="en-US" w:eastAsia="zh-CN"/>
        </w:rPr>
        <w:t>(N0:BFSQG060364014C）</w:t>
      </w:r>
      <w:r>
        <w:rPr>
          <w:rFonts w:hint="eastAsia" w:ascii="仿宋_GB2312" w:hAnsi="仿宋" w:eastAsia="仿宋_GB2312"/>
          <w:b w:val="0"/>
          <w:bCs w:val="0"/>
          <w:sz w:val="32"/>
          <w:szCs w:val="32"/>
          <w:lang w:val="en-US" w:eastAsia="zh-CN"/>
        </w:rPr>
        <w:t>和</w:t>
      </w:r>
      <w:r>
        <w:rPr>
          <w:rFonts w:hint="eastAsia" w:ascii="仿宋_GB2312" w:eastAsia="仿宋_GB2312"/>
          <w:b w:val="0"/>
          <w:bCs w:val="0"/>
          <w:sz w:val="32"/>
          <w:szCs w:val="32"/>
        </w:rPr>
        <w:t>《食品安全抽样检验结果通知书》</w:t>
      </w:r>
      <w:r>
        <w:rPr>
          <w:rFonts w:hint="eastAsia" w:ascii="仿宋_GB2312" w:hAnsi="仿宋" w:eastAsia="仿宋_GB2312"/>
          <w:b w:val="0"/>
          <w:bCs w:val="0"/>
          <w:color w:val="000000"/>
          <w:sz w:val="32"/>
          <w:szCs w:val="32"/>
          <w:lang w:val="en-US" w:eastAsia="zh-CN"/>
        </w:rPr>
        <w:t>(BFSQG060364014C）</w:t>
      </w:r>
      <w:r>
        <w:rPr>
          <w:rFonts w:hint="eastAsia" w:ascii="仿宋_GB2312" w:hAnsi="仿宋_GB2312" w:eastAsia="仿宋_GB2312" w:cs="仿宋_GB2312"/>
          <w:color w:val="auto"/>
          <w:sz w:val="32"/>
          <w:szCs w:val="32"/>
        </w:rPr>
        <w:t>送达</w:t>
      </w:r>
      <w:r>
        <w:rPr>
          <w:rFonts w:hint="eastAsia" w:ascii="仿宋_GB2312" w:hAnsi="仿宋_GB2312" w:eastAsia="仿宋_GB2312" w:cs="仿宋_GB2312"/>
          <w:color w:val="auto"/>
          <w:sz w:val="32"/>
          <w:szCs w:val="32"/>
          <w:lang w:eastAsia="zh-CN"/>
        </w:rPr>
        <w:t>到当事人</w:t>
      </w:r>
      <w:r>
        <w:rPr>
          <w:rFonts w:hint="eastAsia" w:ascii="仿宋_GB2312" w:hAnsi="仿宋_GB2312" w:eastAsia="仿宋_GB2312" w:cs="仿宋_GB2312"/>
          <w:color w:val="auto"/>
          <w:sz w:val="32"/>
          <w:szCs w:val="32"/>
        </w:rPr>
        <w:t>，并告知其享有的权利</w:t>
      </w:r>
      <w:r>
        <w:rPr>
          <w:rFonts w:hint="eastAsia" w:ascii="仿宋_GB2312" w:hAnsi="仿宋_GB2312" w:eastAsia="仿宋_GB2312" w:cs="仿宋_GB2312"/>
          <w:color w:val="auto"/>
          <w:sz w:val="32"/>
          <w:szCs w:val="32"/>
          <w:lang w:eastAsia="zh-CN"/>
        </w:rPr>
        <w:t>，当事人对检验结果未提出异议，不申请复检。</w:t>
      </w:r>
    </w:p>
    <w:p>
      <w:pPr>
        <w:pStyle w:val="4"/>
        <w:keepNext w:val="0"/>
        <w:keepLines w:val="0"/>
        <w:pageBreakBefore w:val="0"/>
        <w:widowControl w:val="0"/>
        <w:tabs>
          <w:tab w:val="right" w:pos="9240"/>
          <w:tab w:val="clear" w:pos="8306"/>
        </w:tabs>
        <w:kinsoku/>
        <w:wordWrap/>
        <w:overflowPunct/>
        <w:topLinePunct w:val="0"/>
        <w:autoSpaceDE/>
        <w:autoSpaceDN/>
        <w:bidi w:val="0"/>
        <w:adjustRightInd w:val="0"/>
        <w:spacing w:line="520" w:lineRule="exact"/>
        <w:ind w:firstLine="640" w:firstLineChars="200"/>
        <w:jc w:val="both"/>
        <w:textAlignment w:val="baseline"/>
        <w:rPr>
          <w:rFonts w:hint="eastAsia" w:ascii="仿宋_GB2312" w:hAnsi="仿宋" w:eastAsia="仿宋_GB2312"/>
          <w:color w:val="auto"/>
          <w:sz w:val="32"/>
          <w:szCs w:val="32"/>
          <w:lang w:val="en-US" w:eastAsia="zh-CN"/>
        </w:rPr>
      </w:pPr>
      <w:r>
        <w:rPr>
          <w:rFonts w:hint="eastAsia" w:ascii="仿宋_GB2312" w:hAnsi="仿宋_GB2312" w:eastAsia="仿宋_GB2312" w:cs="仿宋_GB2312"/>
          <w:color w:val="000000"/>
          <w:sz w:val="32"/>
          <w:szCs w:val="32"/>
          <w:u w:val="none"/>
        </w:rPr>
        <w:t>202</w:t>
      </w:r>
      <w:r>
        <w:rPr>
          <w:rFonts w:hint="eastAsia" w:ascii="仿宋_GB2312" w:hAnsi="仿宋_GB2312" w:eastAsia="仿宋_GB2312" w:cs="仿宋_GB2312"/>
          <w:color w:val="000000"/>
          <w:sz w:val="32"/>
          <w:szCs w:val="32"/>
          <w:u w:val="none"/>
          <w:lang w:val="en-US" w:eastAsia="zh-CN"/>
        </w:rPr>
        <w:t>6</w:t>
      </w:r>
      <w:r>
        <w:rPr>
          <w:rFonts w:hint="eastAsia" w:ascii="仿宋_GB2312" w:hAnsi="仿宋_GB2312" w:eastAsia="仿宋_GB2312" w:cs="仿宋_GB2312"/>
          <w:color w:val="000000"/>
          <w:sz w:val="32"/>
          <w:szCs w:val="32"/>
          <w:u w:val="none"/>
        </w:rPr>
        <w:t>年</w:t>
      </w:r>
      <w:r>
        <w:rPr>
          <w:rFonts w:hint="eastAsia" w:ascii="仿宋_GB2312" w:hAnsi="仿宋_GB2312" w:eastAsia="仿宋_GB2312" w:cs="仿宋_GB2312"/>
          <w:color w:val="000000"/>
          <w:sz w:val="32"/>
          <w:szCs w:val="32"/>
          <w:u w:val="none"/>
          <w:lang w:val="en-US" w:eastAsia="zh-CN"/>
        </w:rPr>
        <w:t>7</w:t>
      </w:r>
      <w:r>
        <w:rPr>
          <w:rFonts w:hint="eastAsia" w:ascii="仿宋_GB2312" w:hAnsi="仿宋_GB2312" w:eastAsia="仿宋_GB2312" w:cs="仿宋_GB2312"/>
          <w:color w:val="000000"/>
          <w:sz w:val="32"/>
          <w:szCs w:val="32"/>
          <w:u w:val="none"/>
        </w:rPr>
        <w:t>月</w:t>
      </w:r>
      <w:r>
        <w:rPr>
          <w:rFonts w:hint="eastAsia" w:ascii="仿宋_GB2312" w:hAnsi="仿宋_GB2312" w:eastAsia="仿宋_GB2312" w:cs="仿宋_GB2312"/>
          <w:color w:val="000000"/>
          <w:sz w:val="32"/>
          <w:szCs w:val="32"/>
          <w:u w:val="none"/>
          <w:lang w:val="en-US" w:eastAsia="zh-CN"/>
        </w:rPr>
        <w:t>20</w:t>
      </w:r>
      <w:r>
        <w:rPr>
          <w:rFonts w:hint="eastAsia" w:ascii="仿宋_GB2312" w:hAnsi="仿宋_GB2312" w:eastAsia="仿宋_GB2312" w:cs="仿宋_GB2312"/>
          <w:color w:val="000000"/>
          <w:sz w:val="32"/>
          <w:szCs w:val="32"/>
          <w:u w:val="none"/>
        </w:rPr>
        <w:t>日</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rPr>
        <w:t>经</w:t>
      </w:r>
      <w:r>
        <w:rPr>
          <w:rFonts w:hint="eastAsia" w:ascii="仿宋_GB2312" w:hAnsi="仿宋_GB2312" w:eastAsia="仿宋_GB2312" w:cs="仿宋_GB2312"/>
          <w:color w:val="000000"/>
          <w:sz w:val="32"/>
          <w:szCs w:val="32"/>
          <w:u w:val="none"/>
          <w:lang w:eastAsia="zh-CN"/>
        </w:rPr>
        <w:t>本</w:t>
      </w:r>
      <w:r>
        <w:rPr>
          <w:rFonts w:hint="eastAsia" w:ascii="仿宋_GB2312" w:hAnsi="仿宋_GB2312" w:eastAsia="仿宋_GB2312" w:cs="仿宋_GB2312"/>
          <w:color w:val="000000"/>
          <w:sz w:val="32"/>
          <w:szCs w:val="32"/>
          <w:u w:val="none"/>
        </w:rPr>
        <w:t>局领导审批同意，</w:t>
      </w:r>
      <w:r>
        <w:rPr>
          <w:rFonts w:hint="eastAsia" w:ascii="仿宋_GB2312" w:hAnsi="仿宋_GB2312" w:eastAsia="仿宋_GB2312" w:cs="仿宋_GB2312"/>
          <w:color w:val="000000"/>
          <w:sz w:val="32"/>
          <w:szCs w:val="32"/>
          <w:u w:val="none"/>
          <w:lang w:val="en-US" w:eastAsia="zh-CN"/>
        </w:rPr>
        <w:t>决定</w:t>
      </w:r>
      <w:r>
        <w:rPr>
          <w:rFonts w:hint="eastAsia" w:ascii="仿宋_GB2312" w:hAnsi="仿宋_GB2312" w:eastAsia="仿宋_GB2312" w:cs="仿宋_GB2312"/>
          <w:color w:val="000000"/>
          <w:sz w:val="32"/>
          <w:szCs w:val="32"/>
          <w:u w:val="none"/>
        </w:rPr>
        <w:t>对当事人</w:t>
      </w:r>
      <w:r>
        <w:rPr>
          <w:rFonts w:hint="eastAsia" w:ascii="仿宋_GB2312" w:hAnsi="仿宋_GB2312" w:eastAsia="仿宋_GB2312" w:cs="仿宋_GB2312"/>
          <w:color w:val="000000"/>
          <w:sz w:val="32"/>
          <w:szCs w:val="32"/>
          <w:u w:val="none"/>
          <w:lang w:val="en-US" w:eastAsia="zh-CN"/>
        </w:rPr>
        <w:t>上述行为进行</w:t>
      </w:r>
      <w:r>
        <w:rPr>
          <w:rFonts w:hint="eastAsia" w:ascii="仿宋_GB2312" w:hAnsi="仿宋_GB2312" w:eastAsia="仿宋_GB2312" w:cs="仿宋_GB2312"/>
          <w:color w:val="000000"/>
          <w:sz w:val="32"/>
          <w:szCs w:val="32"/>
          <w:u w:val="none"/>
        </w:rPr>
        <w:t>立案调查。202</w:t>
      </w:r>
      <w:r>
        <w:rPr>
          <w:rFonts w:hint="eastAsia" w:ascii="仿宋_GB2312" w:hAnsi="仿宋_GB2312" w:eastAsia="仿宋_GB2312" w:cs="仿宋_GB2312"/>
          <w:color w:val="000000"/>
          <w:sz w:val="32"/>
          <w:szCs w:val="32"/>
          <w:u w:val="none"/>
          <w:lang w:val="en-US" w:eastAsia="zh-CN"/>
        </w:rPr>
        <w:t>6</w:t>
      </w:r>
      <w:r>
        <w:rPr>
          <w:rFonts w:hint="eastAsia" w:ascii="仿宋_GB2312" w:hAnsi="仿宋_GB2312" w:eastAsia="仿宋_GB2312" w:cs="仿宋_GB2312"/>
          <w:color w:val="000000"/>
          <w:sz w:val="32"/>
          <w:szCs w:val="32"/>
          <w:u w:val="none"/>
        </w:rPr>
        <w:t>年</w:t>
      </w:r>
      <w:r>
        <w:rPr>
          <w:rFonts w:hint="eastAsia" w:ascii="仿宋_GB2312" w:hAnsi="仿宋_GB2312" w:eastAsia="仿宋_GB2312" w:cs="仿宋_GB2312"/>
          <w:color w:val="000000"/>
          <w:sz w:val="32"/>
          <w:szCs w:val="32"/>
          <w:u w:val="none"/>
          <w:lang w:val="en-US" w:eastAsia="zh-CN"/>
        </w:rPr>
        <w:t>8</w:t>
      </w:r>
      <w:r>
        <w:rPr>
          <w:rFonts w:hint="eastAsia" w:ascii="仿宋_GB2312" w:hAnsi="仿宋_GB2312" w:eastAsia="仿宋_GB2312" w:cs="仿宋_GB2312"/>
          <w:color w:val="000000"/>
          <w:sz w:val="32"/>
          <w:szCs w:val="32"/>
          <w:u w:val="none"/>
        </w:rPr>
        <w:t>月</w:t>
      </w:r>
      <w:r>
        <w:rPr>
          <w:rFonts w:hint="eastAsia" w:ascii="仿宋_GB2312" w:hAnsi="仿宋_GB2312" w:eastAsia="仿宋_GB2312" w:cs="仿宋_GB2312"/>
          <w:color w:val="000000"/>
          <w:sz w:val="32"/>
          <w:szCs w:val="32"/>
          <w:u w:val="none"/>
          <w:lang w:val="en-US" w:eastAsia="zh-CN"/>
        </w:rPr>
        <w:t>28</w:t>
      </w:r>
      <w:r>
        <w:rPr>
          <w:rFonts w:hint="eastAsia" w:ascii="仿宋_GB2312" w:hAnsi="仿宋_GB2312" w:eastAsia="仿宋_GB2312" w:cs="仿宋_GB2312"/>
          <w:color w:val="000000"/>
          <w:sz w:val="32"/>
          <w:szCs w:val="32"/>
          <w:u w:val="none"/>
        </w:rPr>
        <w:t>日，</w:t>
      </w:r>
      <w:r>
        <w:rPr>
          <w:rFonts w:hint="eastAsia" w:ascii="仿宋_GB2312" w:hAnsi="仿宋_GB2312" w:eastAsia="仿宋_GB2312" w:cs="仿宋_GB2312"/>
          <w:color w:val="000000"/>
          <w:sz w:val="32"/>
          <w:szCs w:val="32"/>
          <w:u w:val="none"/>
          <w:lang w:val="en-US" w:eastAsia="zh-CN"/>
        </w:rPr>
        <w:t>当事人法定代表人</w:t>
      </w:r>
      <w:r>
        <w:rPr>
          <w:rFonts w:hint="eastAsia" w:ascii="仿宋_GB2312" w:hAnsi="宋体" w:eastAsia="仿宋_GB2312"/>
          <w:sz w:val="32"/>
          <w:szCs w:val="32"/>
          <w:lang w:val="en-US" w:eastAsia="zh-CN"/>
        </w:rPr>
        <w:t>韦意</w:t>
      </w:r>
      <w:r>
        <w:rPr>
          <w:rFonts w:hint="eastAsia" w:ascii="仿宋_GB2312" w:hAnsi="仿宋_GB2312" w:eastAsia="仿宋_GB2312" w:cs="仿宋_GB2312"/>
          <w:color w:val="000000"/>
          <w:sz w:val="32"/>
          <w:szCs w:val="32"/>
          <w:u w:val="none"/>
          <w:lang w:val="en-US" w:eastAsia="zh-CN"/>
        </w:rPr>
        <w:t>到融水苗族自治县市场监督管理局生产股</w:t>
      </w:r>
      <w:r>
        <w:rPr>
          <w:rFonts w:hint="eastAsia" w:ascii="仿宋_GB2312" w:hAnsi="仿宋_GB2312" w:eastAsia="仿宋_GB2312" w:cs="仿宋_GB2312"/>
          <w:color w:val="000000"/>
          <w:sz w:val="32"/>
          <w:szCs w:val="32"/>
          <w:u w:val="none"/>
        </w:rPr>
        <w:t>接受执法人员询问调查，提供了</w:t>
      </w:r>
      <w:r>
        <w:rPr>
          <w:rFonts w:hint="eastAsia" w:ascii="仿宋_GB2312" w:hAnsi="宋体" w:eastAsia="仿宋_GB2312"/>
          <w:color w:val="auto"/>
          <w:sz w:val="32"/>
          <w:szCs w:val="32"/>
          <w:u w:val="none"/>
          <w:lang w:eastAsia="zh-CN"/>
        </w:rPr>
        <w:t>融水县广江农业科技有限公司</w:t>
      </w:r>
      <w:r>
        <w:rPr>
          <w:rFonts w:hint="eastAsia" w:ascii="仿宋_GB2312" w:hAnsi="仿宋_GB2312" w:eastAsia="仿宋_GB2312" w:cs="仿宋_GB2312"/>
          <w:color w:val="000000"/>
          <w:sz w:val="32"/>
          <w:szCs w:val="32"/>
          <w:u w:val="none"/>
        </w:rPr>
        <w:t>《营业执照》、</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食品生产许可证</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w:t>
      </w:r>
      <w:r>
        <w:rPr>
          <w:rFonts w:hint="eastAsia" w:ascii="仿宋_GB2312" w:hAnsi="仿宋_GB2312" w:eastAsia="仿宋_GB2312" w:cs="仿宋_GB2312"/>
          <w:color w:val="000000"/>
          <w:sz w:val="32"/>
          <w:szCs w:val="32"/>
          <w:u w:val="none"/>
        </w:rPr>
        <w:t>《居民身份证》</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产品出入库记录</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产品销售记录</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销货清单</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(NO:0088799)、</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出库单</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(NO:3605500)</w:t>
      </w:r>
      <w:r>
        <w:rPr>
          <w:rFonts w:hint="eastAsia" w:ascii="仿宋_GB2312" w:hAnsi="仿宋_GB2312" w:eastAsia="仿宋_GB2312" w:cs="仿宋_GB2312"/>
          <w:color w:val="000000"/>
          <w:sz w:val="32"/>
          <w:szCs w:val="32"/>
          <w:u w:val="none"/>
        </w:rPr>
        <w:t>复印件各一份</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auto"/>
          <w:sz w:val="32"/>
          <w:szCs w:val="32"/>
          <w:lang w:val="en-US" w:eastAsia="zh-CN"/>
        </w:rPr>
        <w:t>并承认</w:t>
      </w:r>
      <w:r>
        <w:rPr>
          <w:rFonts w:hint="eastAsia" w:ascii="仿宋_GB2312" w:eastAsia="仿宋_GB2312"/>
          <w:color w:val="auto"/>
          <w:sz w:val="32"/>
          <w:szCs w:val="32"/>
          <w:lang w:val="en-US" w:eastAsia="zh-CN"/>
        </w:rPr>
        <w:t>生产</w:t>
      </w:r>
      <w:r>
        <w:rPr>
          <w:rFonts w:hint="eastAsia" w:ascii="仿宋_GB2312" w:hAnsi="仿宋_GB2312" w:eastAsia="仿宋_GB2312" w:cs="仿宋_GB2312"/>
          <w:bCs/>
          <w:sz w:val="32"/>
          <w:szCs w:val="32"/>
          <w:u w:val="none"/>
        </w:rPr>
        <w:t>不符合食品安全标准的食品</w:t>
      </w:r>
      <w:r>
        <w:rPr>
          <w:rFonts w:hint="eastAsia" w:ascii="仿宋_GB2312" w:eastAsia="仿宋_GB2312"/>
          <w:color w:val="auto"/>
          <w:sz w:val="32"/>
          <w:szCs w:val="32"/>
          <w:lang w:val="en-US" w:eastAsia="zh-CN"/>
        </w:rPr>
        <w:t>的事实</w:t>
      </w:r>
      <w:r>
        <w:rPr>
          <w:rFonts w:hint="eastAsia" w:ascii="仿宋_GB2312" w:hAnsi="仿宋_GB2312" w:eastAsia="仿宋_GB2312" w:cs="仿宋_GB2312"/>
          <w:color w:val="auto"/>
          <w:sz w:val="32"/>
          <w:szCs w:val="32"/>
          <w:lang w:eastAsia="zh-CN"/>
        </w:rPr>
        <w:t>。</w:t>
      </w:r>
    </w:p>
    <w:p>
      <w:pPr>
        <w:keepNext w:val="0"/>
        <w:keepLines w:val="0"/>
        <w:pageBreakBefore w:val="0"/>
        <w:widowControl w:val="0"/>
        <w:tabs>
          <w:tab w:val="center" w:pos="4153"/>
        </w:tabs>
        <w:kinsoku/>
        <w:wordWrap/>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经核实，生产日期为</w:t>
      </w:r>
      <w:r>
        <w:rPr>
          <w:rFonts w:hint="eastAsia" w:ascii="仿宋_GB2312" w:hAnsi="仿宋" w:eastAsia="仿宋_GB2312"/>
          <w:color w:val="auto"/>
          <w:sz w:val="32"/>
          <w:szCs w:val="32"/>
          <w:lang w:val="en-US" w:eastAsia="zh-CN"/>
        </w:rPr>
        <w:t>2026年6月15日</w:t>
      </w:r>
      <w:r>
        <w:rPr>
          <w:rFonts w:hint="eastAsia" w:ascii="仿宋_GB2312" w:hAnsi="仿宋_GB2312" w:eastAsia="仿宋_GB2312" w:cs="仿宋_GB2312"/>
          <w:color w:val="auto"/>
          <w:sz w:val="32"/>
          <w:szCs w:val="32"/>
          <w:lang w:val="en-US" w:eastAsia="zh-CN"/>
        </w:rPr>
        <w:t>的不合格食品</w:t>
      </w:r>
      <w:r>
        <w:rPr>
          <w:rFonts w:hint="eastAsia" w:ascii="仿宋_GB2312" w:hAnsi="仿宋" w:eastAsia="仿宋_GB2312"/>
          <w:color w:val="auto"/>
          <w:sz w:val="32"/>
          <w:szCs w:val="32"/>
          <w:lang w:val="en-US" w:eastAsia="zh-CN"/>
        </w:rPr>
        <w:t>“</w:t>
      </w:r>
      <w:r>
        <w:rPr>
          <w:rFonts w:hint="eastAsia" w:ascii="仿宋_GB2312" w:hAnsi="仿宋" w:eastAsia="仿宋_GB2312"/>
          <w:b w:val="0"/>
          <w:bCs w:val="0"/>
          <w:color w:val="000000"/>
          <w:sz w:val="32"/>
          <w:szCs w:val="32"/>
          <w:lang w:val="en-US" w:eastAsia="zh-CN"/>
        </w:rPr>
        <w:t>苗家玉兰笋片”</w:t>
      </w:r>
      <w:r>
        <w:rPr>
          <w:rFonts w:hint="eastAsia" w:ascii="仿宋_GB2312" w:hAnsi="仿宋_GB2312" w:eastAsia="仿宋_GB2312" w:cs="仿宋_GB2312"/>
          <w:color w:val="auto"/>
          <w:sz w:val="32"/>
          <w:szCs w:val="32"/>
          <w:lang w:val="en-US" w:eastAsia="zh-CN"/>
        </w:rPr>
        <w:t>货值金额为904.50元，至当事人收到</w:t>
      </w:r>
      <w:r>
        <w:rPr>
          <w:rFonts w:hint="eastAsia" w:ascii="仿宋_GB2312" w:hAnsi="仿宋_GB2312" w:eastAsia="仿宋_GB2312" w:cs="仿宋_GB2312"/>
          <w:color w:val="auto"/>
          <w:sz w:val="32"/>
          <w:szCs w:val="32"/>
        </w:rPr>
        <w:t>检验报告</w:t>
      </w:r>
      <w:r>
        <w:rPr>
          <w:rFonts w:hint="eastAsia" w:ascii="仿宋_GB2312" w:hAnsi="仿宋_GB2312" w:eastAsia="仿宋_GB2312" w:cs="仿宋_GB2312"/>
          <w:color w:val="auto"/>
          <w:sz w:val="32"/>
          <w:szCs w:val="32"/>
          <w:lang w:val="en-US" w:eastAsia="zh-CN"/>
        </w:rPr>
        <w:t>时止，上述批次的不合格食品已经销售完毕，并无法召回</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销售所取得的收入为904.50元；本案涉案货值金额为904.50元，违法所得为904.50元。</w:t>
      </w:r>
    </w:p>
    <w:p>
      <w:pPr>
        <w:keepNext w:val="0"/>
        <w:keepLines w:val="0"/>
        <w:pageBreakBefore w:val="0"/>
        <w:widowControl w:val="0"/>
        <w:tabs>
          <w:tab w:val="center" w:pos="4153"/>
        </w:tabs>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color w:val="auto"/>
          <w:sz w:val="32"/>
          <w:szCs w:val="32"/>
          <w:lang w:val="en-US"/>
        </w:rPr>
      </w:pPr>
      <w:r>
        <w:rPr>
          <w:rFonts w:hint="eastAsia" w:ascii="仿宋_GB2312" w:hAnsi="仿宋_GB2312" w:eastAsia="仿宋_GB2312" w:cs="仿宋_GB2312"/>
          <w:b w:val="0"/>
          <w:bCs/>
          <w:color w:val="auto"/>
          <w:kern w:val="1"/>
          <w:sz w:val="32"/>
          <w:szCs w:val="32"/>
        </w:rPr>
        <w:t>上述事实，主要有以下证据证明：</w:t>
      </w:r>
    </w:p>
    <w:p>
      <w:pPr>
        <w:pStyle w:val="9"/>
        <w:keepNext w:val="0"/>
        <w:keepLines w:val="0"/>
        <w:pageBreakBefore w:val="0"/>
        <w:widowControl w:val="0"/>
        <w:numPr>
          <w:ilvl w:val="0"/>
          <w:numId w:val="3"/>
        </w:numPr>
        <w:tabs>
          <w:tab w:val="left" w:pos="312"/>
        </w:tabs>
        <w:kinsoku/>
        <w:wordWrap/>
        <w:overflowPunct/>
        <w:topLinePunct w:val="0"/>
        <w:autoSpaceDE/>
        <w:autoSpaceDN/>
        <w:bidi w:val="0"/>
        <w:adjustRightInd/>
        <w:snapToGrid/>
        <w:spacing w:line="520" w:lineRule="exact"/>
        <w:ind w:firstLine="612" w:firstLineChars="200"/>
        <w:textAlignment w:val="auto"/>
        <w:rPr>
          <w:rFonts w:hint="eastAsia" w:ascii="仿宋" w:hAnsi="仿宋" w:eastAsia="仿宋" w:cs="仿宋"/>
          <w:color w:val="000000"/>
          <w:sz w:val="32"/>
          <w:szCs w:val="32"/>
          <w:u w:val="none"/>
        </w:rPr>
      </w:pPr>
      <w:bookmarkStart w:id="4" w:name="CALCULATE—ZJCL—tajCltjes_zjclxx"/>
      <w:r>
        <w:rPr>
          <w:rFonts w:hint="eastAsia" w:ascii="仿宋" w:hAnsi="仿宋" w:eastAsia="仿宋" w:cs="仿宋"/>
          <w:color w:val="000000"/>
          <w:spacing w:val="-7"/>
          <w:sz w:val="32"/>
          <w:szCs w:val="32"/>
          <w:u w:val="none"/>
        </w:rPr>
        <w:t>《</w:t>
      </w:r>
      <w:r>
        <w:rPr>
          <w:rFonts w:hint="eastAsia" w:ascii="仿宋" w:hAnsi="仿宋" w:eastAsia="仿宋" w:cs="仿宋"/>
          <w:color w:val="000000"/>
          <w:sz w:val="32"/>
          <w:szCs w:val="32"/>
          <w:u w:val="none"/>
        </w:rPr>
        <w:t>营业执照》</w:t>
      </w:r>
      <w:r>
        <w:rPr>
          <w:rFonts w:hint="eastAsia" w:ascii="仿宋" w:hAnsi="仿宋" w:eastAsia="仿宋" w:cs="仿宋"/>
          <w:color w:val="000000"/>
          <w:sz w:val="32"/>
          <w:szCs w:val="32"/>
          <w:u w:val="none"/>
          <w:lang w:eastAsia="zh-CN"/>
        </w:rPr>
        <w:t>、《</w:t>
      </w:r>
      <w:r>
        <w:rPr>
          <w:rFonts w:hint="eastAsia" w:ascii="仿宋" w:hAnsi="仿宋" w:eastAsia="仿宋" w:cs="仿宋"/>
          <w:color w:val="000000"/>
          <w:sz w:val="32"/>
          <w:szCs w:val="32"/>
          <w:u w:val="none"/>
          <w:lang w:val="en-US" w:eastAsia="zh-CN"/>
        </w:rPr>
        <w:t>食品生产许可证</w:t>
      </w:r>
      <w:r>
        <w:rPr>
          <w:rFonts w:hint="eastAsia" w:ascii="仿宋" w:hAnsi="仿宋" w:eastAsia="仿宋" w:cs="仿宋"/>
          <w:color w:val="000000"/>
          <w:sz w:val="32"/>
          <w:szCs w:val="32"/>
          <w:u w:val="none"/>
          <w:lang w:eastAsia="zh-CN"/>
        </w:rPr>
        <w:t>》</w:t>
      </w:r>
      <w:r>
        <w:rPr>
          <w:rFonts w:hint="eastAsia" w:ascii="仿宋" w:hAnsi="仿宋" w:eastAsia="仿宋" w:cs="仿宋"/>
          <w:color w:val="000000"/>
          <w:sz w:val="32"/>
          <w:szCs w:val="32"/>
          <w:u w:val="none"/>
        </w:rPr>
        <w:t>复印件</w:t>
      </w:r>
      <w:r>
        <w:rPr>
          <w:rFonts w:hint="eastAsia" w:ascii="仿宋" w:hAnsi="仿宋" w:eastAsia="仿宋" w:cs="仿宋"/>
          <w:color w:val="000000"/>
          <w:sz w:val="32"/>
          <w:szCs w:val="32"/>
          <w:u w:val="none"/>
          <w:lang w:val="en-US" w:eastAsia="zh-CN"/>
        </w:rPr>
        <w:t>各一</w:t>
      </w:r>
      <w:r>
        <w:rPr>
          <w:rFonts w:hint="eastAsia" w:ascii="仿宋" w:hAnsi="仿宋" w:eastAsia="仿宋" w:cs="仿宋"/>
          <w:color w:val="000000"/>
          <w:sz w:val="32"/>
          <w:szCs w:val="32"/>
          <w:u w:val="none"/>
        </w:rPr>
        <w:t>份，</w:t>
      </w:r>
      <w:r>
        <w:rPr>
          <w:rFonts w:hint="eastAsia" w:ascii="仿宋" w:hAnsi="仿宋" w:eastAsia="仿宋" w:cs="仿宋"/>
          <w:color w:val="000000"/>
          <w:spacing w:val="-11"/>
          <w:sz w:val="32"/>
          <w:szCs w:val="32"/>
          <w:u w:val="none"/>
        </w:rPr>
        <w:t>证明</w:t>
      </w:r>
      <w:r>
        <w:rPr>
          <w:rFonts w:hint="eastAsia" w:ascii="仿宋" w:hAnsi="仿宋" w:eastAsia="仿宋" w:cs="仿宋"/>
          <w:color w:val="000000"/>
          <w:spacing w:val="-11"/>
          <w:sz w:val="32"/>
          <w:szCs w:val="32"/>
          <w:u w:val="none"/>
          <w:lang w:val="en-US" w:eastAsia="zh-CN"/>
        </w:rPr>
        <w:t>当事人</w:t>
      </w:r>
      <w:r>
        <w:rPr>
          <w:rFonts w:hint="eastAsia" w:ascii="仿宋" w:hAnsi="仿宋" w:eastAsia="仿宋" w:cs="仿宋"/>
          <w:color w:val="000000"/>
          <w:sz w:val="32"/>
          <w:szCs w:val="32"/>
          <w:u w:val="none"/>
          <w:lang w:val="en-US" w:eastAsia="zh-CN"/>
        </w:rPr>
        <w:t>具有</w:t>
      </w:r>
      <w:r>
        <w:rPr>
          <w:rFonts w:hint="eastAsia" w:ascii="仿宋_GB2312" w:eastAsia="仿宋_GB2312"/>
          <w:sz w:val="32"/>
          <w:szCs w:val="32"/>
          <w:lang w:val="en-US" w:eastAsia="zh-CN"/>
        </w:rPr>
        <w:t>罐头食品的生产、销售</w:t>
      </w:r>
      <w:r>
        <w:rPr>
          <w:rFonts w:hint="eastAsia" w:ascii="仿宋" w:hAnsi="仿宋" w:eastAsia="仿宋" w:cs="仿宋"/>
          <w:color w:val="000000"/>
          <w:spacing w:val="-11"/>
          <w:sz w:val="32"/>
          <w:szCs w:val="32"/>
          <w:u w:val="none"/>
        </w:rPr>
        <w:t>主体资质</w:t>
      </w:r>
      <w:r>
        <w:rPr>
          <w:rFonts w:hint="eastAsia" w:ascii="仿宋" w:hAnsi="仿宋" w:eastAsia="仿宋" w:cs="仿宋"/>
          <w:color w:val="000000"/>
          <w:sz w:val="32"/>
          <w:szCs w:val="32"/>
          <w:u w:val="none"/>
        </w:rPr>
        <w:t>；</w:t>
      </w:r>
    </w:p>
    <w:p>
      <w:pPr>
        <w:pStyle w:val="9"/>
        <w:keepNext w:val="0"/>
        <w:keepLines w:val="0"/>
        <w:pageBreakBefore w:val="0"/>
        <w:widowControl w:val="0"/>
        <w:numPr>
          <w:ilvl w:val="0"/>
          <w:numId w:val="3"/>
        </w:numPr>
        <w:tabs>
          <w:tab w:val="left" w:pos="312"/>
        </w:tabs>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221E1F"/>
          <w:sz w:val="32"/>
          <w:szCs w:val="32"/>
        </w:rPr>
      </w:pPr>
      <w:r>
        <w:rPr>
          <w:rFonts w:hint="eastAsia" w:ascii="仿宋" w:hAnsi="仿宋" w:eastAsia="仿宋"/>
          <w:color w:val="000000"/>
          <w:sz w:val="32"/>
          <w:szCs w:val="32"/>
          <w:u w:val="none"/>
          <w:lang w:val="en-US" w:eastAsia="zh-CN"/>
        </w:rPr>
        <w:t>韦意</w:t>
      </w:r>
      <w:r>
        <w:rPr>
          <w:rFonts w:hint="eastAsia" w:ascii="仿宋" w:hAnsi="仿宋" w:eastAsia="仿宋" w:cs="仿宋"/>
          <w:color w:val="000000"/>
          <w:sz w:val="32"/>
          <w:szCs w:val="32"/>
          <w:u w:val="none"/>
        </w:rPr>
        <w:t>《居民身份证》复印件</w:t>
      </w:r>
      <w:r>
        <w:rPr>
          <w:rFonts w:hint="eastAsia" w:ascii="仿宋" w:hAnsi="仿宋" w:eastAsia="仿宋" w:cs="仿宋"/>
          <w:color w:val="000000"/>
          <w:sz w:val="32"/>
          <w:szCs w:val="32"/>
          <w:u w:val="none"/>
          <w:lang w:eastAsia="zh-CN"/>
        </w:rPr>
        <w:t>一份</w:t>
      </w:r>
      <w:r>
        <w:rPr>
          <w:rFonts w:hint="eastAsia" w:ascii="仿宋" w:hAnsi="仿宋" w:eastAsia="仿宋" w:cs="仿宋"/>
          <w:color w:val="000000"/>
          <w:sz w:val="32"/>
          <w:szCs w:val="32"/>
          <w:u w:val="none"/>
        </w:rPr>
        <w:t>，证明</w:t>
      </w:r>
      <w:r>
        <w:rPr>
          <w:rFonts w:hint="eastAsia" w:ascii="仿宋" w:hAnsi="仿宋" w:eastAsia="仿宋" w:cs="仿宋"/>
          <w:color w:val="000000"/>
          <w:sz w:val="32"/>
          <w:szCs w:val="32"/>
          <w:u w:val="none"/>
          <w:lang w:val="en-US" w:eastAsia="zh-CN"/>
        </w:rPr>
        <w:t>法定代表人的身份；</w:t>
      </w:r>
    </w:p>
    <w:p>
      <w:pPr>
        <w:pStyle w:val="9"/>
        <w:keepNext w:val="0"/>
        <w:keepLines w:val="0"/>
        <w:pageBreakBefore w:val="0"/>
        <w:widowControl w:val="0"/>
        <w:numPr>
          <w:ilvl w:val="0"/>
          <w:numId w:val="3"/>
        </w:numPr>
        <w:tabs>
          <w:tab w:val="left" w:pos="312"/>
        </w:tabs>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221E1F"/>
          <w:sz w:val="32"/>
          <w:szCs w:val="32"/>
        </w:rPr>
      </w:pPr>
      <w:r>
        <w:rPr>
          <w:rFonts w:hint="eastAsia" w:ascii="仿宋_GB2312" w:hAnsi="仿宋_GB2312" w:eastAsia="仿宋_GB2312" w:cs="仿宋_GB2312"/>
          <w:color w:val="221E1F"/>
          <w:sz w:val="32"/>
          <w:szCs w:val="32"/>
        </w:rPr>
        <w:t>《食品安全抽样检验告知书》</w:t>
      </w:r>
      <w:r>
        <w:rPr>
          <w:rFonts w:hint="eastAsia" w:ascii="仿宋_GB2312" w:hAnsi="仿宋_GB2312" w:eastAsia="仿宋_GB2312" w:cs="仿宋_GB2312"/>
          <w:color w:val="221E1F"/>
          <w:sz w:val="32"/>
          <w:szCs w:val="32"/>
          <w:lang w:val="en-US" w:eastAsia="zh-CN"/>
        </w:rPr>
        <w:t>,《食品安全抽样检验抽样单》(抽样单编号：</w:t>
      </w:r>
      <w:r>
        <w:rPr>
          <w:rFonts w:hint="eastAsia" w:ascii="仿宋_GB2312" w:hAnsi="仿宋" w:eastAsia="仿宋_GB2312"/>
          <w:b w:val="0"/>
          <w:bCs w:val="0"/>
          <w:color w:val="000000"/>
          <w:sz w:val="32"/>
          <w:szCs w:val="32"/>
          <w:lang w:val="en-US" w:eastAsia="zh-CN"/>
        </w:rPr>
        <w:t>XBJ26450225634837517</w:t>
      </w:r>
      <w:r>
        <w:rPr>
          <w:rFonts w:hint="eastAsia" w:ascii="仿宋_GB2312" w:hAnsi="仿宋_GB2312" w:eastAsia="仿宋_GB2312" w:cs="仿宋_GB2312"/>
          <w:color w:val="221E1F"/>
          <w:sz w:val="32"/>
          <w:szCs w:val="32"/>
          <w:lang w:val="en-US" w:eastAsia="zh-CN"/>
        </w:rPr>
        <w:t>)各</w:t>
      </w:r>
      <w:r>
        <w:rPr>
          <w:rFonts w:hint="eastAsia" w:ascii="仿宋_GB2312" w:hAnsi="仿宋_GB2312" w:eastAsia="仿宋_GB2312" w:cs="仿宋_GB2312"/>
          <w:color w:val="221E1F"/>
          <w:sz w:val="32"/>
          <w:szCs w:val="32"/>
        </w:rPr>
        <w:t>一份，证明：已告知</w:t>
      </w:r>
      <w:r>
        <w:rPr>
          <w:rFonts w:hint="eastAsia" w:ascii="仿宋_GB2312" w:hAnsi="仿宋_GB2312" w:eastAsia="仿宋_GB2312" w:cs="仿宋_GB2312"/>
          <w:color w:val="221E1F"/>
          <w:sz w:val="32"/>
          <w:szCs w:val="32"/>
          <w:lang w:eastAsia="zh-CN"/>
        </w:rPr>
        <w:t>当事人</w:t>
      </w:r>
      <w:r>
        <w:rPr>
          <w:rFonts w:hint="eastAsia" w:ascii="仿宋_GB2312" w:hAnsi="仿宋_GB2312" w:eastAsia="仿宋_GB2312" w:cs="仿宋_GB2312"/>
          <w:color w:val="221E1F"/>
          <w:sz w:val="32"/>
          <w:szCs w:val="32"/>
        </w:rPr>
        <w:t xml:space="preserve">抽检事由和事项；                                                            </w:t>
      </w:r>
    </w:p>
    <w:p>
      <w:pPr>
        <w:keepNext w:val="0"/>
        <w:keepLines w:val="0"/>
        <w:pageBreakBefore w:val="0"/>
        <w:widowControl w:val="0"/>
        <w:kinsoku/>
        <w:wordWrap/>
        <w:overflowPunct/>
        <w:topLinePunct w:val="0"/>
        <w:autoSpaceDE/>
        <w:autoSpaceDN/>
        <w:bidi w:val="0"/>
        <w:adjustRightInd w:val="0"/>
        <w:snapToGrid/>
        <w:spacing w:line="520" w:lineRule="exact"/>
        <w:textAlignment w:val="baseline"/>
        <w:rPr>
          <w:rFonts w:hint="eastAsia" w:ascii="仿宋_GB2312" w:hAnsi="仿宋_GB2312" w:eastAsia="仿宋_GB2312" w:cs="仿宋_GB2312"/>
          <w:color w:val="221E1F"/>
          <w:sz w:val="32"/>
          <w:szCs w:val="32"/>
        </w:rPr>
      </w:pPr>
      <w:r>
        <w:rPr>
          <w:rFonts w:hint="eastAsia" w:ascii="仿宋_GB2312" w:hAnsi="仿宋_GB2312" w:eastAsia="仿宋_GB2312" w:cs="仿宋_GB2312"/>
          <w:color w:val="221E1F"/>
          <w:sz w:val="32"/>
          <w:szCs w:val="32"/>
        </w:rPr>
        <w:t xml:space="preserve">    </w:t>
      </w:r>
      <w:r>
        <w:rPr>
          <w:rFonts w:hint="eastAsia" w:ascii="仿宋_GB2312" w:hAnsi="仿宋_GB2312" w:eastAsia="仿宋_GB2312" w:cs="仿宋_GB2312"/>
          <w:color w:val="221E1F"/>
          <w:sz w:val="32"/>
          <w:szCs w:val="32"/>
          <w:lang w:val="en-US" w:eastAsia="zh-CN"/>
        </w:rPr>
        <w:t>4、</w:t>
      </w:r>
      <w:r>
        <w:rPr>
          <w:rFonts w:hint="eastAsia" w:ascii="仿宋_GB2312" w:hAnsi="仿宋_GB2312" w:eastAsia="仿宋_GB2312" w:cs="仿宋_GB2312"/>
          <w:color w:val="221E1F"/>
          <w:sz w:val="32"/>
          <w:szCs w:val="32"/>
        </w:rPr>
        <w:t>《检验报告》</w:t>
      </w:r>
      <w:r>
        <w:rPr>
          <w:rFonts w:hint="eastAsia" w:ascii="仿宋_GB2312" w:hAnsi="仿宋" w:eastAsia="仿宋_GB2312"/>
          <w:b w:val="0"/>
          <w:bCs w:val="0"/>
          <w:color w:val="000000"/>
          <w:sz w:val="32"/>
          <w:szCs w:val="32"/>
          <w:lang w:val="en-US" w:eastAsia="zh-CN"/>
        </w:rPr>
        <w:t>(N0:BFSQG060364014C）</w:t>
      </w:r>
      <w:r>
        <w:rPr>
          <w:rFonts w:hint="eastAsia" w:ascii="仿宋_GB2312" w:hAnsi="仿宋_GB2312" w:eastAsia="仿宋_GB2312" w:cs="仿宋_GB2312"/>
          <w:color w:val="221E1F"/>
          <w:sz w:val="32"/>
          <w:szCs w:val="32"/>
          <w:lang w:eastAsia="zh-CN"/>
        </w:rPr>
        <w:t>一</w:t>
      </w:r>
      <w:r>
        <w:rPr>
          <w:rFonts w:hint="eastAsia" w:ascii="仿宋_GB2312" w:hAnsi="仿宋_GB2312" w:eastAsia="仿宋_GB2312" w:cs="仿宋_GB2312"/>
          <w:color w:val="221E1F"/>
          <w:sz w:val="32"/>
          <w:szCs w:val="32"/>
        </w:rPr>
        <w:t xml:space="preserve">份,证明:该样品检验结论不合格；                                                       </w:t>
      </w:r>
    </w:p>
    <w:p>
      <w:pPr>
        <w:keepNext w:val="0"/>
        <w:keepLines w:val="0"/>
        <w:pageBreakBefore w:val="0"/>
        <w:widowControl w:val="0"/>
        <w:kinsoku/>
        <w:wordWrap/>
        <w:overflowPunct/>
        <w:topLinePunct w:val="0"/>
        <w:autoSpaceDE/>
        <w:autoSpaceDN/>
        <w:bidi w:val="0"/>
        <w:adjustRightInd w:val="0"/>
        <w:snapToGrid/>
        <w:spacing w:line="520" w:lineRule="exact"/>
        <w:ind w:firstLine="640" w:firstLineChars="200"/>
        <w:jc w:val="left"/>
        <w:textAlignment w:val="baseline"/>
        <w:rPr>
          <w:rFonts w:hint="eastAsia" w:ascii="仿宋_GB2312" w:hAnsi="仿宋_GB2312" w:eastAsia="仿宋_GB2312" w:cs="仿宋_GB2312"/>
          <w:color w:val="221E1F"/>
          <w:sz w:val="32"/>
          <w:szCs w:val="32"/>
        </w:rPr>
      </w:pPr>
      <w:r>
        <w:rPr>
          <w:rFonts w:hint="eastAsia" w:ascii="仿宋_GB2312" w:hAnsi="仿宋_GB2312" w:eastAsia="仿宋_GB2312" w:cs="仿宋_GB2312"/>
          <w:color w:val="221E1F"/>
          <w:sz w:val="32"/>
          <w:szCs w:val="32"/>
          <w:lang w:val="en-US" w:eastAsia="zh-CN"/>
        </w:rPr>
        <w:t>5、</w:t>
      </w:r>
      <w:r>
        <w:rPr>
          <w:rFonts w:hint="eastAsia" w:ascii="仿宋_GB2312" w:hAnsi="仿宋_GB2312" w:eastAsia="仿宋_GB2312" w:cs="仿宋_GB2312"/>
          <w:color w:val="221E1F"/>
          <w:sz w:val="32"/>
          <w:szCs w:val="32"/>
        </w:rPr>
        <w:t>《食品安全抽样检验结果通知书》</w:t>
      </w:r>
      <w:r>
        <w:rPr>
          <w:rFonts w:hint="eastAsia" w:ascii="仿宋_GB2312" w:hAnsi="仿宋_GB2312" w:eastAsia="仿宋_GB2312" w:cs="仿宋_GB2312"/>
          <w:color w:val="221E1F"/>
          <w:sz w:val="32"/>
          <w:szCs w:val="32"/>
          <w:lang w:eastAsia="zh-CN"/>
        </w:rPr>
        <w:t>（</w:t>
      </w:r>
      <w:r>
        <w:rPr>
          <w:rFonts w:hint="eastAsia" w:ascii="仿宋_GB2312" w:hAnsi="仿宋" w:eastAsia="仿宋_GB2312"/>
          <w:b w:val="0"/>
          <w:bCs w:val="0"/>
          <w:color w:val="000000"/>
          <w:sz w:val="32"/>
          <w:szCs w:val="32"/>
          <w:lang w:val="en-US" w:eastAsia="zh-CN"/>
        </w:rPr>
        <w:t>BFSQG060364014C</w:t>
      </w:r>
      <w:r>
        <w:rPr>
          <w:rFonts w:hint="eastAsia" w:ascii="仿宋_GB2312" w:hAnsi="仿宋_GB2312" w:eastAsia="仿宋_GB2312" w:cs="仿宋_GB2312"/>
          <w:color w:val="221E1F"/>
          <w:sz w:val="32"/>
          <w:szCs w:val="32"/>
          <w:lang w:eastAsia="zh-CN"/>
        </w:rPr>
        <w:t>）一</w:t>
      </w:r>
      <w:r>
        <w:rPr>
          <w:rFonts w:hint="eastAsia" w:ascii="仿宋_GB2312" w:hAnsi="仿宋_GB2312" w:eastAsia="仿宋_GB2312" w:cs="仿宋_GB2312"/>
          <w:color w:val="221E1F"/>
          <w:sz w:val="32"/>
          <w:szCs w:val="32"/>
        </w:rPr>
        <w:t xml:space="preserve">份,证明：已告知当事人检验结果及享有的权利； </w:t>
      </w:r>
    </w:p>
    <w:p>
      <w:pPr>
        <w:keepNext w:val="0"/>
        <w:keepLines w:val="0"/>
        <w:pageBreakBefore w:val="0"/>
        <w:widowControl w:val="0"/>
        <w:kinsoku/>
        <w:wordWrap/>
        <w:overflowPunct/>
        <w:topLinePunct w:val="0"/>
        <w:autoSpaceDE/>
        <w:autoSpaceDN/>
        <w:bidi w:val="0"/>
        <w:adjustRightInd w:val="0"/>
        <w:snapToGrid/>
        <w:spacing w:line="520" w:lineRule="exact"/>
        <w:ind w:firstLine="640" w:firstLineChars="200"/>
        <w:jc w:val="left"/>
        <w:textAlignment w:val="baseline"/>
        <w:rPr>
          <w:rFonts w:hint="eastAsia" w:ascii="仿宋_GB2312" w:hAnsi="仿宋_GB2312" w:eastAsia="仿宋_GB2312" w:cs="仿宋_GB2312"/>
          <w:color w:val="221E1F"/>
          <w:sz w:val="32"/>
          <w:szCs w:val="32"/>
        </w:rPr>
      </w:pPr>
      <w:r>
        <w:rPr>
          <w:rFonts w:hint="eastAsia" w:ascii="仿宋_GB2312" w:hAnsi="仿宋_GB2312" w:eastAsia="仿宋_GB2312" w:cs="仿宋_GB2312"/>
          <w:color w:val="221E1F"/>
          <w:sz w:val="32"/>
          <w:szCs w:val="32"/>
          <w:lang w:val="en-US" w:eastAsia="zh-CN"/>
        </w:rPr>
        <w:t>6、《放弃复检权利的声明》一份，证明：当事人对检验结论无异议，不申请复检。</w:t>
      </w:r>
      <w:r>
        <w:rPr>
          <w:rFonts w:hint="eastAsia" w:ascii="仿宋_GB2312" w:hAnsi="仿宋_GB2312" w:eastAsia="仿宋_GB2312" w:cs="仿宋_GB2312"/>
          <w:color w:val="221E1F"/>
          <w:sz w:val="32"/>
          <w:szCs w:val="32"/>
        </w:rPr>
        <w:t xml:space="preserve">   </w:t>
      </w:r>
    </w:p>
    <w:p>
      <w:pPr>
        <w:pStyle w:val="9"/>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221E1F"/>
          <w:sz w:val="32"/>
          <w:szCs w:val="32"/>
        </w:rPr>
      </w:pPr>
      <w:r>
        <w:rPr>
          <w:rFonts w:hint="eastAsia" w:ascii="仿宋_GB2312" w:hAnsi="仿宋_GB2312" w:eastAsia="仿宋_GB2312" w:cs="仿宋_GB2312"/>
          <w:color w:val="auto"/>
          <w:sz w:val="32"/>
          <w:szCs w:val="32"/>
          <w:u w:val="none"/>
          <w:lang w:val="en-US" w:eastAsia="zh-CN"/>
        </w:rPr>
        <w:t>7</w:t>
      </w:r>
      <w:r>
        <w:rPr>
          <w:rFonts w:hint="eastAsia" w:ascii="仿宋_GB2312" w:hAnsi="仿宋_GB2312" w:eastAsia="仿宋_GB2312" w:cs="仿宋_GB2312"/>
          <w:color w:val="auto"/>
          <w:sz w:val="32"/>
          <w:szCs w:val="32"/>
          <w:u w:val="none"/>
          <w:lang w:eastAsia="zh-CN"/>
        </w:rPr>
        <w:t>、《行政检查通知书》《行政检查审批表》《</w:t>
      </w:r>
      <w:r>
        <w:rPr>
          <w:rFonts w:hint="eastAsia" w:ascii="仿宋_GB2312" w:hAnsi="仿宋_GB2312" w:eastAsia="仿宋_GB2312" w:cs="仿宋_GB2312"/>
          <w:color w:val="auto"/>
          <w:sz w:val="32"/>
          <w:szCs w:val="32"/>
          <w:u w:val="none"/>
          <w:lang w:val="en-US" w:eastAsia="zh-CN"/>
        </w:rPr>
        <w:t>送达地址确认书</w:t>
      </w:r>
      <w:r>
        <w:rPr>
          <w:rFonts w:hint="eastAsia" w:ascii="仿宋_GB2312" w:hAnsi="仿宋_GB2312" w:eastAsia="仿宋_GB2312" w:cs="仿宋_GB2312"/>
          <w:color w:val="auto"/>
          <w:sz w:val="32"/>
          <w:szCs w:val="32"/>
          <w:u w:val="none"/>
          <w:lang w:eastAsia="zh-CN"/>
        </w:rPr>
        <w:t>》各</w:t>
      </w:r>
      <w:r>
        <w:rPr>
          <w:rFonts w:hint="eastAsia" w:ascii="仿宋_GB2312" w:hAnsi="仿宋_GB2312" w:eastAsia="仿宋_GB2312" w:cs="仿宋_GB2312"/>
          <w:color w:val="221E1F"/>
          <w:sz w:val="32"/>
          <w:szCs w:val="32"/>
          <w:lang w:val="en-US" w:eastAsia="zh-CN"/>
        </w:rPr>
        <w:t>一份</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证明：执法人员依法开展行政检查及处置；</w:t>
      </w:r>
      <w:r>
        <w:rPr>
          <w:rFonts w:hint="eastAsia" w:ascii="仿宋_GB2312" w:hAnsi="仿宋_GB2312" w:eastAsia="仿宋_GB2312" w:cs="仿宋_GB2312"/>
          <w:color w:val="221E1F"/>
          <w:sz w:val="32"/>
          <w:szCs w:val="32"/>
        </w:rPr>
        <w:t xml:space="preserve">                                          </w:t>
      </w:r>
    </w:p>
    <w:p>
      <w:pPr>
        <w:keepNext w:val="0"/>
        <w:keepLines w:val="0"/>
        <w:pageBreakBefore w:val="0"/>
        <w:widowControl w:val="0"/>
        <w:kinsoku/>
        <w:wordWrap/>
        <w:overflowPunct/>
        <w:topLinePunct w:val="0"/>
        <w:autoSpaceDE/>
        <w:autoSpaceDN/>
        <w:bidi w:val="0"/>
        <w:adjustRightInd w:val="0"/>
        <w:snapToGrid/>
        <w:spacing w:line="520" w:lineRule="exact"/>
        <w:ind w:firstLine="640" w:firstLineChars="200"/>
        <w:textAlignment w:val="baseline"/>
        <w:rPr>
          <w:rFonts w:hint="eastAsia" w:ascii="仿宋_GB2312" w:hAnsi="仿宋_GB2312" w:eastAsia="仿宋_GB2312" w:cs="仿宋_GB2312"/>
          <w:color w:val="221E1F"/>
          <w:sz w:val="32"/>
          <w:szCs w:val="32"/>
        </w:rPr>
      </w:pPr>
      <w:r>
        <w:rPr>
          <w:rFonts w:hint="eastAsia" w:ascii="仿宋_GB2312" w:hAnsi="仿宋_GB2312" w:eastAsia="仿宋_GB2312" w:cs="仿宋_GB2312"/>
          <w:color w:val="221E1F"/>
          <w:sz w:val="32"/>
          <w:szCs w:val="32"/>
          <w:lang w:val="en-US" w:eastAsia="zh-CN"/>
        </w:rPr>
        <w:t>8、</w:t>
      </w:r>
      <w:r>
        <w:rPr>
          <w:rFonts w:hint="eastAsia" w:ascii="仿宋_GB2312" w:hAnsi="仿宋_GB2312" w:eastAsia="仿宋_GB2312" w:cs="仿宋_GB2312"/>
          <w:color w:val="221E1F"/>
          <w:sz w:val="32"/>
          <w:szCs w:val="32"/>
        </w:rPr>
        <w:t>《现场笔录》（202</w:t>
      </w:r>
      <w:r>
        <w:rPr>
          <w:rFonts w:hint="eastAsia" w:ascii="仿宋_GB2312" w:hAnsi="仿宋_GB2312" w:eastAsia="仿宋_GB2312" w:cs="仿宋_GB2312"/>
          <w:color w:val="221E1F"/>
          <w:sz w:val="32"/>
          <w:szCs w:val="32"/>
          <w:lang w:val="en-US" w:eastAsia="zh-CN"/>
        </w:rPr>
        <w:t>6</w:t>
      </w:r>
      <w:r>
        <w:rPr>
          <w:rFonts w:hint="eastAsia" w:ascii="仿宋_GB2312" w:hAnsi="仿宋_GB2312" w:eastAsia="仿宋_GB2312" w:cs="仿宋_GB2312"/>
          <w:color w:val="221E1F"/>
          <w:sz w:val="32"/>
          <w:szCs w:val="32"/>
        </w:rPr>
        <w:t>年</w:t>
      </w:r>
      <w:r>
        <w:rPr>
          <w:rFonts w:hint="eastAsia" w:ascii="仿宋_GB2312" w:hAnsi="仿宋_GB2312" w:eastAsia="仿宋_GB2312" w:cs="仿宋_GB2312"/>
          <w:color w:val="221E1F"/>
          <w:sz w:val="32"/>
          <w:szCs w:val="32"/>
          <w:lang w:val="en-US" w:eastAsia="zh-CN"/>
        </w:rPr>
        <w:t>7</w:t>
      </w:r>
      <w:r>
        <w:rPr>
          <w:rFonts w:hint="eastAsia" w:ascii="仿宋_GB2312" w:hAnsi="仿宋_GB2312" w:eastAsia="仿宋_GB2312" w:cs="仿宋_GB2312"/>
          <w:color w:val="221E1F"/>
          <w:sz w:val="32"/>
          <w:szCs w:val="32"/>
        </w:rPr>
        <w:t>月</w:t>
      </w:r>
      <w:r>
        <w:rPr>
          <w:rFonts w:hint="eastAsia" w:ascii="仿宋_GB2312" w:hAnsi="仿宋_GB2312" w:eastAsia="仿宋_GB2312" w:cs="仿宋_GB2312"/>
          <w:color w:val="221E1F"/>
          <w:sz w:val="32"/>
          <w:szCs w:val="32"/>
          <w:lang w:val="en-US" w:eastAsia="zh-CN"/>
        </w:rPr>
        <w:t>13</w:t>
      </w:r>
      <w:r>
        <w:rPr>
          <w:rFonts w:hint="eastAsia" w:ascii="仿宋_GB2312" w:hAnsi="仿宋_GB2312" w:eastAsia="仿宋_GB2312" w:cs="仿宋_GB2312"/>
          <w:color w:val="221E1F"/>
          <w:sz w:val="32"/>
          <w:szCs w:val="32"/>
        </w:rPr>
        <w:t>日）</w:t>
      </w:r>
      <w:r>
        <w:rPr>
          <w:rFonts w:hint="eastAsia" w:ascii="仿宋_GB2312" w:hAnsi="仿宋_GB2312" w:eastAsia="仿宋_GB2312" w:cs="仿宋_GB2312"/>
          <w:color w:val="221E1F"/>
          <w:sz w:val="32"/>
          <w:szCs w:val="32"/>
          <w:lang w:val="en-US" w:eastAsia="zh-CN"/>
        </w:rPr>
        <w:t>一份</w:t>
      </w:r>
      <w:r>
        <w:rPr>
          <w:rFonts w:hint="eastAsia" w:ascii="仿宋_GB2312" w:hAnsi="仿宋_GB2312" w:eastAsia="仿宋_GB2312" w:cs="仿宋_GB2312"/>
          <w:color w:val="221E1F"/>
          <w:sz w:val="32"/>
          <w:szCs w:val="32"/>
        </w:rPr>
        <w:t xml:space="preserve">,证明：抽检样品不合格后执法人员检查后处置现场记录；                                                        </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221E1F"/>
          <w:sz w:val="32"/>
          <w:szCs w:val="32"/>
          <w:lang w:val="en-US" w:eastAsia="zh-CN"/>
        </w:rPr>
        <w:t>9、</w:t>
      </w:r>
      <w:r>
        <w:rPr>
          <w:rFonts w:hint="eastAsia" w:ascii="仿宋_GB2312" w:hAnsi="仿宋_GB2312" w:eastAsia="仿宋_GB2312" w:cs="仿宋_GB2312"/>
          <w:sz w:val="32"/>
          <w:szCs w:val="32"/>
        </w:rPr>
        <w:t>《询问笔录》</w:t>
      </w:r>
      <w:r>
        <w:rPr>
          <w:rFonts w:hint="eastAsia" w:ascii="仿宋_GB2312" w:hAnsi="仿宋_GB2312" w:eastAsia="仿宋_GB2312" w:cs="仿宋_GB2312"/>
          <w:color w:val="221E1F"/>
          <w:sz w:val="32"/>
          <w:szCs w:val="32"/>
        </w:rPr>
        <w:t>（202</w:t>
      </w:r>
      <w:r>
        <w:rPr>
          <w:rFonts w:hint="eastAsia" w:ascii="仿宋_GB2312" w:hAnsi="仿宋_GB2312" w:eastAsia="仿宋_GB2312" w:cs="仿宋_GB2312"/>
          <w:color w:val="221E1F"/>
          <w:sz w:val="32"/>
          <w:szCs w:val="32"/>
          <w:lang w:val="en-US" w:eastAsia="zh-CN"/>
        </w:rPr>
        <w:t>6</w:t>
      </w:r>
      <w:r>
        <w:rPr>
          <w:rFonts w:hint="eastAsia" w:ascii="仿宋_GB2312" w:hAnsi="仿宋_GB2312" w:eastAsia="仿宋_GB2312" w:cs="仿宋_GB2312"/>
          <w:color w:val="221E1F"/>
          <w:sz w:val="32"/>
          <w:szCs w:val="32"/>
        </w:rPr>
        <w:t>年</w:t>
      </w:r>
      <w:r>
        <w:rPr>
          <w:rFonts w:hint="eastAsia" w:ascii="仿宋_GB2312" w:hAnsi="仿宋_GB2312" w:eastAsia="仿宋_GB2312" w:cs="仿宋_GB2312"/>
          <w:color w:val="221E1F"/>
          <w:sz w:val="32"/>
          <w:szCs w:val="32"/>
          <w:lang w:val="en-US" w:eastAsia="zh-CN"/>
        </w:rPr>
        <w:t>8</w:t>
      </w:r>
      <w:r>
        <w:rPr>
          <w:rFonts w:hint="eastAsia" w:ascii="仿宋_GB2312" w:hAnsi="仿宋_GB2312" w:eastAsia="仿宋_GB2312" w:cs="仿宋_GB2312"/>
          <w:color w:val="221E1F"/>
          <w:sz w:val="32"/>
          <w:szCs w:val="32"/>
        </w:rPr>
        <w:t>月</w:t>
      </w:r>
      <w:r>
        <w:rPr>
          <w:rFonts w:hint="eastAsia" w:ascii="仿宋_GB2312" w:hAnsi="仿宋_GB2312" w:eastAsia="仿宋_GB2312" w:cs="仿宋_GB2312"/>
          <w:color w:val="221E1F"/>
          <w:sz w:val="32"/>
          <w:szCs w:val="32"/>
          <w:lang w:val="en-US" w:eastAsia="zh-CN"/>
        </w:rPr>
        <w:t>28</w:t>
      </w:r>
      <w:r>
        <w:rPr>
          <w:rFonts w:hint="eastAsia" w:ascii="仿宋_GB2312" w:hAnsi="仿宋_GB2312" w:eastAsia="仿宋_GB2312" w:cs="仿宋_GB2312"/>
          <w:color w:val="221E1F"/>
          <w:sz w:val="32"/>
          <w:szCs w:val="32"/>
        </w:rPr>
        <w:t>日）</w:t>
      </w:r>
      <w:r>
        <w:rPr>
          <w:rFonts w:hint="eastAsia" w:ascii="仿宋_GB2312" w:hAnsi="仿宋_GB2312" w:eastAsia="仿宋_GB2312" w:cs="仿宋_GB2312"/>
          <w:sz w:val="32"/>
          <w:szCs w:val="32"/>
        </w:rPr>
        <w:t>一份,证明：</w:t>
      </w:r>
      <w:r>
        <w:rPr>
          <w:rFonts w:hint="eastAsia" w:ascii="仿宋_GB2312" w:hAnsi="仿宋_GB2312" w:eastAsia="仿宋_GB2312" w:cs="仿宋_GB2312"/>
          <w:color w:val="000000"/>
          <w:sz w:val="32"/>
          <w:szCs w:val="32"/>
        </w:rPr>
        <w:t>当事人</w:t>
      </w:r>
      <w:r>
        <w:rPr>
          <w:rFonts w:hint="eastAsia" w:ascii="仿宋_GB2312" w:hAnsi="仿宋_GB2312" w:eastAsia="仿宋_GB2312" w:cs="仿宋_GB2312"/>
          <w:sz w:val="32"/>
          <w:szCs w:val="32"/>
        </w:rPr>
        <w:t>承认违法事实；</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221E1F"/>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产品出入库记录</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产品销售记录</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销货清单</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(NO:0088799)、</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出库单</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(NO:3605500)、</w:t>
      </w:r>
      <w:r>
        <w:rPr>
          <w:rFonts w:hint="eastAsia" w:ascii="仿宋" w:hAnsi="仿宋" w:eastAsia="仿宋" w:cs="仿宋"/>
          <w:color w:val="000000"/>
          <w:sz w:val="32"/>
          <w:szCs w:val="32"/>
          <w:u w:val="none"/>
          <w:lang w:val="en-US" w:eastAsia="zh-CN"/>
        </w:rPr>
        <w:t>《情况说明》</w:t>
      </w:r>
      <w:r>
        <w:rPr>
          <w:rFonts w:hint="eastAsia" w:ascii="仿宋_GB2312" w:hAnsi="仿宋_GB2312" w:eastAsia="仿宋_GB2312" w:cs="仿宋_GB2312"/>
          <w:color w:val="000000"/>
          <w:sz w:val="32"/>
          <w:szCs w:val="32"/>
          <w:u w:val="none"/>
        </w:rPr>
        <w:t>复印件</w:t>
      </w:r>
      <w:r>
        <w:rPr>
          <w:rFonts w:hint="eastAsia" w:ascii="仿宋_GB2312" w:hAnsi="仿宋_GB2312" w:eastAsia="仿宋_GB2312" w:cs="仿宋_GB2312"/>
          <w:color w:val="221E1F"/>
          <w:sz w:val="32"/>
          <w:szCs w:val="32"/>
          <w:lang w:val="en-US" w:eastAsia="zh-CN"/>
        </w:rPr>
        <w:t>各一份，证明：上述批次不合格食品</w:t>
      </w:r>
      <w:r>
        <w:rPr>
          <w:rFonts w:hint="eastAsia" w:ascii="仿宋_GB2312" w:hAnsi="仿宋" w:eastAsia="仿宋_GB2312"/>
          <w:color w:val="auto"/>
          <w:sz w:val="32"/>
          <w:szCs w:val="32"/>
          <w:lang w:val="en-US" w:eastAsia="zh-CN"/>
        </w:rPr>
        <w:t>“</w:t>
      </w:r>
      <w:r>
        <w:rPr>
          <w:rFonts w:hint="eastAsia" w:ascii="仿宋_GB2312" w:hAnsi="仿宋" w:eastAsia="仿宋_GB2312"/>
          <w:b w:val="0"/>
          <w:bCs w:val="0"/>
          <w:color w:val="000000"/>
          <w:sz w:val="32"/>
          <w:szCs w:val="32"/>
          <w:lang w:val="en-US" w:eastAsia="zh-CN"/>
        </w:rPr>
        <w:t>苗家玉兰笋片”</w:t>
      </w:r>
      <w:r>
        <w:rPr>
          <w:rFonts w:hint="eastAsia" w:ascii="仿宋_GB2312" w:hAnsi="仿宋" w:eastAsia="仿宋_GB2312"/>
          <w:color w:val="auto"/>
          <w:sz w:val="32"/>
          <w:szCs w:val="32"/>
          <w:lang w:val="en-US" w:eastAsia="zh-CN"/>
        </w:rPr>
        <w:t>的</w:t>
      </w:r>
      <w:r>
        <w:rPr>
          <w:rFonts w:hint="eastAsia" w:ascii="仿宋_GB2312" w:hAnsi="仿宋_GB2312" w:eastAsia="仿宋_GB2312" w:cs="仿宋_GB2312"/>
          <w:color w:val="221E1F"/>
          <w:sz w:val="32"/>
          <w:szCs w:val="32"/>
          <w:lang w:val="en-US" w:eastAsia="zh-CN"/>
        </w:rPr>
        <w:t>生产数量及货值金额。</w:t>
      </w:r>
      <w:r>
        <w:rPr>
          <w:rFonts w:hint="eastAsia" w:ascii="仿宋_GB2312" w:hAnsi="仿宋_GB2312" w:eastAsia="仿宋_GB2312" w:cs="仿宋_GB2312"/>
          <w:color w:val="221E1F"/>
          <w:sz w:val="32"/>
          <w:szCs w:val="32"/>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 w:hAnsi="仿宋" w:eastAsia="仿宋" w:cs="仿宋"/>
          <w:color w:val="000000"/>
          <w:sz w:val="32"/>
          <w:szCs w:val="32"/>
          <w:u w:val="none"/>
          <w:lang w:val="en-US" w:eastAsia="zh-CN"/>
        </w:rPr>
      </w:pPr>
      <w:r>
        <w:rPr>
          <w:rFonts w:hint="eastAsia" w:ascii="仿宋" w:hAnsi="仿宋" w:eastAsia="仿宋" w:cs="仿宋"/>
          <w:color w:val="000000"/>
          <w:sz w:val="32"/>
          <w:szCs w:val="32"/>
          <w:u w:val="none"/>
          <w:lang w:val="en-US" w:eastAsia="zh-CN"/>
        </w:rPr>
        <w:t>11、《召回公告》、《整改报告》各一份，证明：当事人已开展后处置工作。</w:t>
      </w:r>
    </w:p>
    <w:p>
      <w:pPr>
        <w:pStyle w:val="9"/>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40" w:lineRule="exact"/>
        <w:ind w:firstLine="640" w:firstLineChars="200"/>
        <w:jc w:val="left"/>
        <w:textAlignment w:val="auto"/>
        <w:rPr>
          <w:rFonts w:hint="eastAsia" w:ascii="Times New Roman" w:hAnsi="Times New Roman" w:eastAsia="仿宋_GB2312" w:cs="仿宋_GB2312"/>
          <w:sz w:val="32"/>
          <w:u w:val="none"/>
        </w:rPr>
      </w:pPr>
      <w:r>
        <w:rPr>
          <w:rFonts w:hint="eastAsia" w:ascii="仿宋" w:hAnsi="仿宋" w:eastAsia="仿宋" w:cs="仿宋"/>
          <w:color w:val="000000"/>
          <w:sz w:val="32"/>
          <w:szCs w:val="32"/>
          <w:u w:val="none"/>
          <w:lang w:val="en-US" w:eastAsia="zh-CN"/>
        </w:rPr>
        <w:t>12</w:t>
      </w:r>
      <w:r>
        <w:rPr>
          <w:rFonts w:hint="eastAsia" w:ascii="仿宋" w:hAnsi="仿宋" w:eastAsia="仿宋" w:cs="仿宋"/>
          <w:color w:val="000000"/>
          <w:sz w:val="32"/>
          <w:szCs w:val="32"/>
          <w:u w:val="none"/>
        </w:rPr>
        <w:t>、</w:t>
      </w:r>
      <w:r>
        <w:rPr>
          <w:rFonts w:hint="eastAsia" w:ascii="仿宋" w:hAnsi="仿宋" w:eastAsia="仿宋" w:cs="仿宋"/>
          <w:color w:val="000000"/>
          <w:sz w:val="32"/>
          <w:szCs w:val="32"/>
          <w:u w:val="none"/>
          <w:lang w:eastAsia="zh-CN"/>
        </w:rPr>
        <w:t>证据</w:t>
      </w:r>
      <w:r>
        <w:rPr>
          <w:rFonts w:hint="eastAsia" w:ascii="仿宋" w:hAnsi="仿宋" w:eastAsia="仿宋" w:cs="仿宋"/>
          <w:color w:val="000000"/>
          <w:sz w:val="32"/>
          <w:szCs w:val="32"/>
          <w:u w:val="none"/>
          <w:lang w:val="en-US" w:eastAsia="zh-CN"/>
        </w:rPr>
        <w:t>提取单</w:t>
      </w:r>
      <w:r>
        <w:rPr>
          <w:rFonts w:hint="eastAsia" w:ascii="仿宋_GB2312" w:hAnsi="仿宋_GB2312" w:eastAsia="仿宋_GB2312" w:cs="仿宋_GB2312"/>
          <w:color w:val="auto"/>
          <w:sz w:val="32"/>
          <w:u w:val="none"/>
          <w:lang w:eastAsia="zh-CN"/>
        </w:rPr>
        <w:t>（</w:t>
      </w:r>
      <w:r>
        <w:rPr>
          <w:rFonts w:hint="eastAsia" w:ascii="仿宋_GB2312" w:hAnsi="仿宋_GB2312" w:eastAsia="仿宋_GB2312" w:cs="仿宋_GB2312"/>
          <w:color w:val="auto"/>
          <w:sz w:val="32"/>
          <w:u w:val="none"/>
          <w:lang w:val="en-US" w:eastAsia="zh-CN"/>
        </w:rPr>
        <w:t>抽样检验照片1张，</w:t>
      </w:r>
      <w:r>
        <w:rPr>
          <w:rFonts w:hint="eastAsia" w:ascii="仿宋_GB2312" w:hAnsi="仿宋_GB2312" w:eastAsia="仿宋_GB2312" w:cs="仿宋_GB2312"/>
          <w:color w:val="auto"/>
          <w:sz w:val="32"/>
          <w:u w:val="none"/>
        </w:rPr>
        <w:t>现场检查照片</w:t>
      </w:r>
      <w:r>
        <w:rPr>
          <w:rFonts w:hint="eastAsia" w:ascii="仿宋_GB2312" w:hAnsi="仿宋_GB2312" w:eastAsia="仿宋_GB2312" w:cs="仿宋_GB2312"/>
          <w:color w:val="auto"/>
          <w:sz w:val="32"/>
          <w:u w:val="none"/>
          <w:lang w:val="en-US" w:eastAsia="zh-CN"/>
        </w:rPr>
        <w:t>2张）</w:t>
      </w:r>
      <w:r>
        <w:rPr>
          <w:rFonts w:hint="eastAsia" w:ascii="Times New Roman" w:hAnsi="Times New Roman" w:eastAsia="仿宋_GB2312" w:cs="仿宋_GB2312"/>
          <w:sz w:val="32"/>
          <w:u w:val="none"/>
          <w:lang w:val="en-US" w:eastAsia="zh-CN"/>
        </w:rPr>
        <w:t>，</w:t>
      </w:r>
      <w:r>
        <w:rPr>
          <w:rFonts w:hint="eastAsia" w:ascii="Times New Roman" w:hAnsi="Times New Roman" w:eastAsia="仿宋_GB2312" w:cs="仿宋_GB2312"/>
          <w:sz w:val="32"/>
          <w:u w:val="none"/>
        </w:rPr>
        <w:t>证明当事人的违法事实。</w:t>
      </w:r>
      <w:bookmarkEnd w:id="4"/>
    </w:p>
    <w:p>
      <w:pPr>
        <w:pStyle w:val="9"/>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40" w:lineRule="exact"/>
        <w:ind w:firstLine="640" w:firstLineChars="200"/>
        <w:jc w:val="left"/>
        <w:textAlignment w:val="auto"/>
        <w:rPr>
          <w:rFonts w:hint="eastAsia" w:ascii="Times New Roman" w:hAnsi="Times New Roman" w:eastAsia="仿宋_GB2312" w:cs="仿宋_GB2312"/>
          <w:sz w:val="32"/>
          <w:u w:val="none"/>
        </w:rPr>
      </w:pPr>
    </w:p>
    <w:p>
      <w:pPr>
        <w:pStyle w:val="3"/>
        <w:keepNext w:val="0"/>
        <w:keepLines w:val="0"/>
        <w:pageBreakBefore w:val="0"/>
        <w:widowControl w:val="0"/>
        <w:tabs>
          <w:tab w:val="left" w:pos="9060"/>
        </w:tabs>
        <w:kinsoku/>
        <w:overflowPunct/>
        <w:topLinePunct w:val="0"/>
        <w:bidi w:val="0"/>
        <w:snapToGrid/>
        <w:spacing w:line="540" w:lineRule="exact"/>
        <w:ind w:firstLine="640" w:firstLineChars="200"/>
        <w:jc w:val="left"/>
        <w:rPr>
          <w:rFonts w:hint="eastAsia" w:ascii="仿宋_GB2312" w:hAnsi="仿宋_GB2312" w:eastAsia="仿宋_GB2312" w:cs="仿宋_GB2312"/>
          <w:b w:val="0"/>
          <w:bCs/>
          <w:color w:val="auto"/>
          <w:sz w:val="32"/>
          <w:szCs w:val="32"/>
          <w:u w:val="single"/>
          <w:lang w:val="en-US" w:eastAsia="zh-CN"/>
        </w:rPr>
      </w:pPr>
      <w:r>
        <w:rPr>
          <w:rFonts w:hint="eastAsia" w:ascii="仿宋_GB2312" w:hAnsi="仿宋_GB2312" w:eastAsia="仿宋_GB2312" w:cs="仿宋_GB2312"/>
          <w:color w:val="000000"/>
          <w:sz w:val="32"/>
          <w:szCs w:val="32"/>
          <w:u w:val="none"/>
        </w:rPr>
        <w:t>202</w:t>
      </w:r>
      <w:r>
        <w:rPr>
          <w:rFonts w:hint="eastAsia" w:ascii="仿宋_GB2312" w:hAnsi="仿宋_GB2312" w:eastAsia="仿宋_GB2312" w:cs="仿宋_GB2312"/>
          <w:color w:val="000000"/>
          <w:sz w:val="32"/>
          <w:szCs w:val="32"/>
          <w:u w:val="none"/>
          <w:lang w:val="en-US" w:eastAsia="zh-CN"/>
        </w:rPr>
        <w:t>6</w:t>
      </w:r>
      <w:r>
        <w:rPr>
          <w:rFonts w:hint="eastAsia" w:ascii="仿宋_GB2312" w:hAnsi="仿宋_GB2312" w:eastAsia="仿宋_GB2312" w:cs="仿宋_GB2312"/>
          <w:color w:val="000000"/>
          <w:sz w:val="32"/>
          <w:szCs w:val="32"/>
          <w:u w:val="none"/>
        </w:rPr>
        <w:t>年</w:t>
      </w:r>
      <w:r>
        <w:rPr>
          <w:rFonts w:hint="eastAsia" w:ascii="仿宋_GB2312" w:hAnsi="仿宋_GB2312" w:eastAsia="仿宋_GB2312" w:cs="仿宋_GB2312"/>
          <w:color w:val="000000"/>
          <w:sz w:val="32"/>
          <w:szCs w:val="32"/>
          <w:u w:val="none"/>
          <w:lang w:val="en-US" w:eastAsia="zh-CN"/>
        </w:rPr>
        <w:t>9</w:t>
      </w:r>
      <w:r>
        <w:rPr>
          <w:rFonts w:hint="eastAsia" w:ascii="仿宋_GB2312" w:hAnsi="仿宋_GB2312" w:eastAsia="仿宋_GB2312" w:cs="仿宋_GB2312"/>
          <w:color w:val="000000"/>
          <w:sz w:val="32"/>
          <w:szCs w:val="32"/>
          <w:u w:val="none"/>
        </w:rPr>
        <w:t>月</w:t>
      </w:r>
      <w:r>
        <w:rPr>
          <w:rFonts w:hint="eastAsia" w:ascii="仿宋_GB2312" w:hAnsi="仿宋_GB2312" w:eastAsia="仿宋_GB2312" w:cs="仿宋_GB2312"/>
          <w:color w:val="000000"/>
          <w:sz w:val="32"/>
          <w:szCs w:val="32"/>
          <w:u w:val="none"/>
          <w:lang w:val="en-US" w:eastAsia="zh-CN"/>
        </w:rPr>
        <w:t>14</w:t>
      </w:r>
      <w:r>
        <w:rPr>
          <w:rFonts w:hint="eastAsia" w:ascii="仿宋_GB2312" w:hAnsi="仿宋_GB2312" w:eastAsia="仿宋_GB2312" w:cs="仿宋_GB2312"/>
          <w:color w:val="000000"/>
          <w:sz w:val="32"/>
          <w:szCs w:val="32"/>
          <w:u w:val="none"/>
        </w:rPr>
        <w:t>日我局向当事人送达《行政处罚告知书》（融市监罚告〔202</w:t>
      </w:r>
      <w:r>
        <w:rPr>
          <w:rFonts w:hint="eastAsia" w:ascii="仿宋_GB2312" w:hAnsi="仿宋_GB2312" w:eastAsia="仿宋_GB2312" w:cs="仿宋_GB2312"/>
          <w:color w:val="000000"/>
          <w:sz w:val="32"/>
          <w:szCs w:val="32"/>
          <w:u w:val="none"/>
          <w:lang w:val="en-US" w:eastAsia="zh-CN"/>
        </w:rPr>
        <w:t>6</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val="en-US" w:eastAsia="zh-CN"/>
        </w:rPr>
        <w:t>163</w:t>
      </w:r>
      <w:r>
        <w:rPr>
          <w:rFonts w:hint="eastAsia" w:ascii="仿宋_GB2312" w:hAnsi="仿宋_GB2312" w:eastAsia="仿宋_GB2312" w:cs="仿宋_GB2312"/>
          <w:color w:val="000000"/>
          <w:sz w:val="32"/>
          <w:szCs w:val="32"/>
          <w:u w:val="none"/>
        </w:rPr>
        <w:t>号），当事人对</w:t>
      </w:r>
      <w:r>
        <w:rPr>
          <w:rFonts w:hint="eastAsia" w:ascii="仿宋_GB2312" w:hAnsi="仿宋_GB2312" w:eastAsia="仿宋_GB2312" w:cs="仿宋_GB2312"/>
          <w:color w:val="auto"/>
          <w:sz w:val="32"/>
          <w:szCs w:val="32"/>
          <w:u w:val="none"/>
          <w:lang w:eastAsia="zh-CN"/>
        </w:rPr>
        <w:t>本</w:t>
      </w:r>
      <w:r>
        <w:rPr>
          <w:rFonts w:hint="eastAsia" w:ascii="仿宋_GB2312" w:hAnsi="仿宋_GB2312" w:eastAsia="仿宋_GB2312" w:cs="仿宋_GB2312"/>
          <w:color w:val="auto"/>
          <w:sz w:val="32"/>
          <w:szCs w:val="32"/>
          <w:u w:val="none"/>
        </w:rPr>
        <w:t>局</w:t>
      </w:r>
      <w:r>
        <w:rPr>
          <w:rFonts w:hint="eastAsia" w:ascii="仿宋_GB2312" w:hAnsi="仿宋_GB2312" w:eastAsia="仿宋_GB2312" w:cs="仿宋_GB2312"/>
          <w:color w:val="000000"/>
          <w:sz w:val="32"/>
          <w:szCs w:val="32"/>
          <w:u w:val="none"/>
        </w:rPr>
        <w:t>拟作出的行政处罚决定没有异议，在规定期限内没有提出陈述、申辩，视为放弃此权利</w:t>
      </w:r>
      <w:r>
        <w:rPr>
          <w:rFonts w:hint="eastAsia" w:ascii="仿宋_GB2312" w:hAnsi="仿宋_GB2312" w:eastAsia="仿宋_GB2312" w:cs="仿宋_GB2312"/>
          <w:color w:val="000000"/>
          <w:sz w:val="32"/>
          <w:szCs w:val="32"/>
          <w:u w:val="none"/>
          <w:lang w:eastAsia="zh-CN"/>
        </w:rPr>
        <w:t>。</w:t>
      </w:r>
    </w:p>
    <w:p>
      <w:pPr>
        <w:pStyle w:val="3"/>
        <w:keepNext w:val="0"/>
        <w:keepLines w:val="0"/>
        <w:pageBreakBefore w:val="0"/>
        <w:widowControl w:val="0"/>
        <w:kinsoku/>
        <w:overflowPunct/>
        <w:topLinePunct w:val="0"/>
        <w:bidi w:val="0"/>
        <w:snapToGrid/>
        <w:spacing w:line="540" w:lineRule="exact"/>
        <w:ind w:firstLine="627" w:firstLineChars="196"/>
        <w:jc w:val="left"/>
        <w:rPr>
          <w:rFonts w:hint="eastAsia" w:ascii="仿宋_GB2312" w:hAnsi="仿宋_GB2312" w:eastAsia="仿宋_GB2312" w:cs="仿宋_GB2312"/>
          <w:b w:val="0"/>
          <w:bCs/>
          <w:color w:val="auto"/>
          <w:sz w:val="32"/>
          <w:szCs w:val="32"/>
          <w:u w:val="single"/>
          <w:lang w:val="en-US" w:eastAsia="zh-CN"/>
        </w:rPr>
      </w:pPr>
      <w:r>
        <w:rPr>
          <w:rFonts w:hint="eastAsia" w:ascii="仿宋_GB2312" w:hAnsi="仿宋_GB2312" w:eastAsia="仿宋_GB2312" w:cs="仿宋_GB2312"/>
          <w:kern w:val="1"/>
          <w:sz w:val="32"/>
          <w:szCs w:val="32"/>
        </w:rPr>
        <w:t>本局认为，</w:t>
      </w:r>
      <w:r>
        <w:rPr>
          <w:rFonts w:hint="eastAsia" w:ascii="仿宋_GB2312" w:hAnsi="Times New Roman" w:eastAsia="仿宋_GB2312" w:cs="仿宋_GB2312"/>
          <w:sz w:val="32"/>
          <w:u w:val="none"/>
          <w:lang w:val="en-US" w:eastAsia="zh-CN"/>
        </w:rPr>
        <w:t>当事人</w:t>
      </w:r>
      <w:r>
        <w:rPr>
          <w:rFonts w:hint="eastAsia" w:ascii="仿宋_GB2312" w:hAnsi="仿宋_GB2312" w:eastAsia="仿宋_GB2312" w:cs="仿宋_GB2312"/>
          <w:bCs/>
          <w:sz w:val="32"/>
          <w:szCs w:val="32"/>
          <w:u w:val="none"/>
        </w:rPr>
        <w:t>生产经营不符合食品安全标准的食品</w:t>
      </w:r>
      <w:r>
        <w:rPr>
          <w:rFonts w:hint="eastAsia" w:ascii="仿宋_GB2312" w:hAnsi="Times New Roman" w:eastAsia="仿宋_GB2312" w:cs="仿宋_GB2312"/>
          <w:sz w:val="32"/>
          <w:u w:val="none"/>
          <w:lang w:eastAsia="zh-CN"/>
        </w:rPr>
        <w:t>的</w:t>
      </w:r>
      <w:r>
        <w:rPr>
          <w:rFonts w:hint="eastAsia" w:ascii="仿宋_GB2312" w:hAnsi="Times New Roman" w:eastAsia="仿宋_GB2312" w:cs="仿宋_GB2312"/>
          <w:sz w:val="32"/>
          <w:u w:val="none"/>
        </w:rPr>
        <w:t>行为</w:t>
      </w:r>
      <w:r>
        <w:rPr>
          <w:rFonts w:hint="eastAsia" w:ascii="仿宋_GB2312" w:hAnsi="Times New Roman" w:eastAsia="仿宋_GB2312" w:cs="仿宋_GB2312"/>
          <w:sz w:val="32"/>
          <w:u w:val="none"/>
          <w:lang w:eastAsia="zh-CN"/>
        </w:rPr>
        <w:t>，</w:t>
      </w:r>
      <w:r>
        <w:rPr>
          <w:rFonts w:hint="eastAsia" w:ascii="仿宋_GB2312" w:hAnsi="Times New Roman" w:eastAsia="仿宋_GB2312" w:cs="仿宋_GB2312"/>
          <w:sz w:val="32"/>
          <w:u w:val="none"/>
        </w:rPr>
        <w:t>违反了《</w:t>
      </w:r>
      <w:r>
        <w:rPr>
          <w:rFonts w:hint="eastAsia" w:ascii="仿宋_GB2312" w:eastAsia="仿宋_GB2312"/>
          <w:sz w:val="32"/>
          <w:szCs w:val="32"/>
          <w:lang w:val="en-US" w:eastAsia="zh-CN"/>
        </w:rPr>
        <w:t>中华人民共和国食品安全法</w:t>
      </w:r>
      <w:r>
        <w:rPr>
          <w:rFonts w:hint="eastAsia" w:ascii="仿宋_GB2312" w:hAnsi="Times New Roman" w:eastAsia="仿宋_GB2312" w:cs="仿宋_GB2312"/>
          <w:sz w:val="32"/>
          <w:u w:val="none"/>
        </w:rPr>
        <w:t>》第</w:t>
      </w:r>
      <w:r>
        <w:rPr>
          <w:rFonts w:hint="eastAsia" w:ascii="仿宋_GB2312" w:hAnsi="Times New Roman" w:eastAsia="仿宋_GB2312" w:cs="仿宋_GB2312"/>
          <w:sz w:val="32"/>
          <w:u w:val="none"/>
          <w:lang w:val="en-US" w:eastAsia="zh-CN"/>
        </w:rPr>
        <w:t>三</w:t>
      </w:r>
      <w:r>
        <w:rPr>
          <w:rFonts w:hint="eastAsia" w:ascii="仿宋_GB2312" w:hAnsi="Times New Roman" w:eastAsia="仿宋_GB2312" w:cs="仿宋_GB2312"/>
          <w:sz w:val="32"/>
          <w:u w:val="none"/>
        </w:rPr>
        <w:t>十</w:t>
      </w:r>
      <w:r>
        <w:rPr>
          <w:rFonts w:hint="eastAsia" w:ascii="仿宋_GB2312" w:hAnsi="Times New Roman" w:eastAsia="仿宋_GB2312" w:cs="仿宋_GB2312"/>
          <w:sz w:val="32"/>
          <w:u w:val="none"/>
          <w:lang w:val="en-US" w:eastAsia="zh-CN"/>
        </w:rPr>
        <w:t>四</w:t>
      </w:r>
      <w:r>
        <w:rPr>
          <w:rFonts w:hint="eastAsia" w:ascii="仿宋_GB2312" w:hAnsi="Times New Roman" w:eastAsia="仿宋_GB2312" w:cs="仿宋_GB2312"/>
          <w:sz w:val="32"/>
          <w:u w:val="none"/>
        </w:rPr>
        <w:t>条</w:t>
      </w:r>
      <w:r>
        <w:rPr>
          <w:rFonts w:hint="eastAsia" w:ascii="仿宋_GB2312" w:hAnsi="Times New Roman" w:eastAsia="仿宋_GB2312" w:cs="仿宋_GB2312"/>
          <w:sz w:val="32"/>
          <w:u w:val="none"/>
          <w:lang w:val="en-US" w:eastAsia="zh-CN"/>
        </w:rPr>
        <w:t>第一款第十三项“禁止生产经营下列食品、食品添加剂、食品有关产品：（十三）其它不符合法律、法规或者食品安全标准的食品、食品添加剂、食品有关产品。”</w:t>
      </w:r>
      <w:r>
        <w:rPr>
          <w:rFonts w:hint="eastAsia" w:ascii="仿宋_GB2312" w:hAnsi="Times New Roman" w:eastAsia="仿宋_GB2312" w:cs="仿宋_GB2312"/>
          <w:sz w:val="32"/>
          <w:u w:val="none"/>
        </w:rPr>
        <w:t>的规定，构成了</w:t>
      </w:r>
      <w:r>
        <w:rPr>
          <w:rFonts w:hint="eastAsia" w:ascii="仿宋_GB2312" w:hAnsi="仿宋_GB2312" w:eastAsia="仿宋_GB2312" w:cs="仿宋_GB2312"/>
          <w:bCs/>
          <w:sz w:val="32"/>
          <w:szCs w:val="32"/>
          <w:u w:val="none"/>
        </w:rPr>
        <w:t>生产经营不符合食品安全标准的食品</w:t>
      </w:r>
      <w:r>
        <w:rPr>
          <w:rFonts w:hint="eastAsia" w:ascii="仿宋_GB2312" w:hAnsi="Times New Roman" w:eastAsia="仿宋_GB2312" w:cs="仿宋_GB2312"/>
          <w:sz w:val="32"/>
          <w:u w:val="none"/>
        </w:rPr>
        <w:t>的违法行为</w:t>
      </w:r>
      <w:r>
        <w:rPr>
          <w:rFonts w:hint="eastAsia" w:ascii="仿宋_GB2312" w:hAnsi="仿宋_GB2312" w:eastAsia="仿宋_GB2312" w:cs="仿宋_GB2312"/>
          <w:color w:val="000000"/>
          <w:sz w:val="32"/>
          <w:szCs w:val="32"/>
          <w:u w:val="none"/>
        </w:rPr>
        <w:t>。</w:t>
      </w:r>
    </w:p>
    <w:p>
      <w:pPr>
        <w:pStyle w:val="3"/>
        <w:keepNext w:val="0"/>
        <w:keepLines w:val="0"/>
        <w:pageBreakBefore w:val="0"/>
        <w:widowControl w:val="0"/>
        <w:tabs>
          <w:tab w:val="left" w:pos="9060"/>
        </w:tabs>
        <w:kinsoku/>
        <w:overflowPunct/>
        <w:topLinePunct w:val="0"/>
        <w:bidi w:val="0"/>
        <w:snapToGrid/>
        <w:spacing w:line="540" w:lineRule="exact"/>
        <w:ind w:firstLine="640" w:firstLineChars="200"/>
        <w:jc w:val="left"/>
        <w:rPr>
          <w:rFonts w:hint="eastAsia" w:ascii="Times New Roman" w:hAnsi="仿宋_GB2312" w:eastAsia="仿宋_GB2312" w:cs="仿宋_GB2312"/>
          <w:bCs/>
          <w:color w:val="auto"/>
          <w:sz w:val="32"/>
          <w:szCs w:val="32"/>
          <w:u w:val="none"/>
          <w:lang w:val="en-US" w:eastAsia="zh-CN"/>
        </w:rPr>
      </w:pPr>
      <w:r>
        <w:rPr>
          <w:rFonts w:hint="eastAsia" w:ascii="Times New Roman" w:hAnsi="仿宋_GB2312" w:eastAsia="仿宋_GB2312" w:cs="仿宋_GB2312"/>
          <w:bCs/>
          <w:sz w:val="32"/>
          <w:szCs w:val="32"/>
          <w:u w:val="none"/>
          <w:lang w:val="en-US" w:eastAsia="zh-CN"/>
        </w:rPr>
        <w:t>当事人的上述违法行为未造成食品安全事故等人身危害后果，并积极配合市场监管部门调查并主动提供证据材料，且已经销售的产品货值金额不足一千元，符合《广西壮族自治区市场监督管理行政处罚裁量权适用规定》第十二条第一款第二项：“（二）积极配合市场监管部门调查并主动提供证据材料的”的情形， 依据《中华人民共和国食品安全法》</w:t>
      </w:r>
      <w:r>
        <w:rPr>
          <w:rFonts w:hint="eastAsia" w:ascii="仿宋_GB2312" w:hAnsi="Times New Roman" w:eastAsia="仿宋_GB2312" w:cs="仿宋_GB2312"/>
          <w:sz w:val="32"/>
          <w:u w:val="none"/>
        </w:rPr>
        <w:t>第一百二十</w:t>
      </w:r>
      <w:r>
        <w:rPr>
          <w:rFonts w:hint="eastAsia" w:ascii="仿宋_GB2312" w:hAnsi="Times New Roman" w:eastAsia="仿宋_GB2312" w:cs="仿宋_GB2312"/>
          <w:sz w:val="32"/>
          <w:u w:val="none"/>
          <w:lang w:val="en-US" w:eastAsia="zh-CN"/>
        </w:rPr>
        <w:t>四</w:t>
      </w:r>
      <w:r>
        <w:rPr>
          <w:rFonts w:hint="eastAsia" w:ascii="仿宋_GB2312" w:hAnsi="Times New Roman" w:eastAsia="仿宋_GB2312" w:cs="仿宋_GB2312"/>
          <w:sz w:val="32"/>
          <w:u w:val="none"/>
        </w:rPr>
        <w:t>条</w:t>
      </w:r>
      <w:r>
        <w:rPr>
          <w:rFonts w:hint="eastAsia" w:ascii="仿宋_GB2312" w:hAnsi="Times New Roman" w:eastAsia="仿宋_GB2312" w:cs="仿宋_GB2312"/>
          <w:sz w:val="32"/>
          <w:u w:val="none"/>
          <w:lang w:val="en-US" w:eastAsia="zh-CN"/>
        </w:rPr>
        <w:t>第二款：“除前款和本法</w:t>
      </w:r>
      <w:r>
        <w:rPr>
          <w:rFonts w:hint="eastAsia" w:ascii="仿宋_GB2312" w:hAnsi="Times New Roman" w:eastAsia="仿宋_GB2312" w:cs="仿宋_GB2312"/>
          <w:sz w:val="32"/>
          <w:u w:val="none"/>
        </w:rPr>
        <w:t>第一百二十</w:t>
      </w:r>
      <w:r>
        <w:rPr>
          <w:rFonts w:hint="eastAsia" w:ascii="仿宋_GB2312" w:hAnsi="Times New Roman" w:eastAsia="仿宋_GB2312" w:cs="仿宋_GB2312"/>
          <w:sz w:val="32"/>
          <w:u w:val="none"/>
          <w:lang w:val="en-US" w:eastAsia="zh-CN"/>
        </w:rPr>
        <w:t>三</w:t>
      </w:r>
      <w:r>
        <w:rPr>
          <w:rFonts w:hint="eastAsia" w:ascii="仿宋_GB2312" w:hAnsi="Times New Roman" w:eastAsia="仿宋_GB2312" w:cs="仿宋_GB2312"/>
          <w:sz w:val="32"/>
          <w:u w:val="none"/>
        </w:rPr>
        <w:t>条</w:t>
      </w:r>
      <w:r>
        <w:rPr>
          <w:rFonts w:hint="eastAsia" w:ascii="仿宋_GB2312" w:hAnsi="Times New Roman" w:eastAsia="仿宋_GB2312" w:cs="仿宋_GB2312"/>
          <w:sz w:val="32"/>
          <w:u w:val="none"/>
          <w:lang w:eastAsia="zh-CN"/>
        </w:rPr>
        <w:t>、</w:t>
      </w:r>
      <w:r>
        <w:rPr>
          <w:rFonts w:hint="eastAsia" w:ascii="仿宋_GB2312" w:hAnsi="Times New Roman" w:eastAsia="仿宋_GB2312" w:cs="仿宋_GB2312"/>
          <w:sz w:val="32"/>
          <w:u w:val="none"/>
        </w:rPr>
        <w:t>第一百二十</w:t>
      </w:r>
      <w:r>
        <w:rPr>
          <w:rFonts w:hint="eastAsia" w:ascii="仿宋_GB2312" w:hAnsi="Times New Roman" w:eastAsia="仿宋_GB2312" w:cs="仿宋_GB2312"/>
          <w:sz w:val="32"/>
          <w:u w:val="none"/>
          <w:lang w:val="en-US" w:eastAsia="zh-CN"/>
        </w:rPr>
        <w:t>五</w:t>
      </w:r>
      <w:r>
        <w:rPr>
          <w:rFonts w:hint="eastAsia" w:ascii="仿宋_GB2312" w:hAnsi="Times New Roman" w:eastAsia="仿宋_GB2312" w:cs="仿宋_GB2312"/>
          <w:sz w:val="32"/>
          <w:u w:val="none"/>
        </w:rPr>
        <w:t>条</w:t>
      </w:r>
      <w:r>
        <w:rPr>
          <w:rFonts w:hint="eastAsia" w:ascii="仿宋_GB2312" w:hAnsi="Times New Roman" w:eastAsia="仿宋_GB2312" w:cs="仿宋_GB2312"/>
          <w:sz w:val="32"/>
          <w:u w:val="none"/>
          <w:lang w:eastAsia="zh-CN"/>
        </w:rPr>
        <w:t>规定的情形外，生产经营不符合法律、法规或者食品安全标准的食品、食品添加剂的，依照前款规定给予处罚。”，</w:t>
      </w:r>
      <w:r>
        <w:rPr>
          <w:rFonts w:hint="eastAsia" w:ascii="Times New Roman" w:hAnsi="仿宋_GB2312" w:eastAsia="仿宋_GB2312" w:cs="仿宋_GB2312"/>
          <w:bCs/>
          <w:sz w:val="32"/>
          <w:szCs w:val="32"/>
          <w:u w:val="none"/>
          <w:lang w:val="en-US" w:eastAsia="zh-CN"/>
        </w:rPr>
        <w:t>参照《广西壮族自治区市场监督管理行政处罚裁量基准》 “六十七、《食品安全法》行政处罚裁量基准”序号 7 的减轻适用情形。</w:t>
      </w:r>
      <w:r>
        <w:rPr>
          <w:rFonts w:hint="eastAsia" w:ascii="Times New Roman" w:hAnsi="仿宋_GB2312" w:eastAsia="仿宋_GB2312" w:cs="仿宋_GB2312"/>
          <w:bCs/>
          <w:color w:val="auto"/>
          <w:sz w:val="32"/>
          <w:szCs w:val="3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color w:val="auto"/>
          <w:sz w:val="32"/>
          <w:szCs w:val="32"/>
          <w:u w:val="single" w:color="auto"/>
          <w:lang w:val="en-US" w:eastAsia="zh-CN"/>
        </w:rPr>
      </w:pPr>
      <w:r>
        <w:rPr>
          <w:rFonts w:hint="eastAsia" w:ascii="仿宋_GB2312" w:hAnsi="仿宋_GB2312" w:eastAsia="仿宋_GB2312" w:cs="仿宋_GB2312"/>
          <w:b w:val="0"/>
          <w:bCs/>
          <w:color w:val="auto"/>
          <w:kern w:val="1"/>
          <w:sz w:val="32"/>
          <w:szCs w:val="32"/>
        </w:rPr>
        <w:t>综上，</w:t>
      </w:r>
      <w:bookmarkStart w:id="5" w:name="CALCULATE—AJCF—tAjCfes_cXzcfnr"/>
      <w:bookmarkStart w:id="6" w:name="OLE_LINK12"/>
      <w:r>
        <w:rPr>
          <w:rFonts w:hint="eastAsia" w:ascii="Times New Roman" w:hAnsi="仿宋_GB2312" w:eastAsia="仿宋_GB2312" w:cs="仿宋_GB2312"/>
          <w:bCs/>
          <w:sz w:val="32"/>
          <w:szCs w:val="32"/>
          <w:u w:val="none"/>
          <w:lang w:val="en-US" w:eastAsia="zh-CN"/>
        </w:rPr>
        <w:t>依据《中华人民共和国食品安全法》</w:t>
      </w:r>
      <w:r>
        <w:rPr>
          <w:rFonts w:hint="eastAsia" w:ascii="仿宋_GB2312" w:hAnsi="Times New Roman" w:eastAsia="仿宋_GB2312" w:cs="仿宋_GB2312"/>
          <w:sz w:val="32"/>
          <w:u w:val="none"/>
        </w:rPr>
        <w:t>第一百二十</w:t>
      </w:r>
      <w:r>
        <w:rPr>
          <w:rFonts w:hint="eastAsia" w:ascii="仿宋_GB2312" w:hAnsi="Times New Roman" w:eastAsia="仿宋_GB2312" w:cs="仿宋_GB2312"/>
          <w:sz w:val="32"/>
          <w:u w:val="none"/>
          <w:lang w:val="en-US" w:eastAsia="zh-CN"/>
        </w:rPr>
        <w:t>四</w:t>
      </w:r>
      <w:r>
        <w:rPr>
          <w:rFonts w:hint="eastAsia" w:ascii="仿宋_GB2312" w:hAnsi="Times New Roman" w:eastAsia="仿宋_GB2312" w:cs="仿宋_GB2312"/>
          <w:sz w:val="32"/>
          <w:u w:val="none"/>
        </w:rPr>
        <w:t>条</w:t>
      </w:r>
      <w:r>
        <w:rPr>
          <w:rFonts w:hint="eastAsia" w:ascii="仿宋_GB2312" w:hAnsi="Times New Roman" w:eastAsia="仿宋_GB2312" w:cs="仿宋_GB2312"/>
          <w:sz w:val="32"/>
          <w:u w:val="none"/>
          <w:lang w:val="en-US" w:eastAsia="zh-CN"/>
        </w:rPr>
        <w:t>第二款：“除前款和本法</w:t>
      </w:r>
      <w:r>
        <w:rPr>
          <w:rFonts w:hint="eastAsia" w:ascii="仿宋_GB2312" w:hAnsi="Times New Roman" w:eastAsia="仿宋_GB2312" w:cs="仿宋_GB2312"/>
          <w:sz w:val="32"/>
          <w:u w:val="none"/>
        </w:rPr>
        <w:t>第一百二十</w:t>
      </w:r>
      <w:r>
        <w:rPr>
          <w:rFonts w:hint="eastAsia" w:ascii="仿宋_GB2312" w:hAnsi="Times New Roman" w:eastAsia="仿宋_GB2312" w:cs="仿宋_GB2312"/>
          <w:sz w:val="32"/>
          <w:u w:val="none"/>
          <w:lang w:val="en-US" w:eastAsia="zh-CN"/>
        </w:rPr>
        <w:t>三</w:t>
      </w:r>
      <w:r>
        <w:rPr>
          <w:rFonts w:hint="eastAsia" w:ascii="仿宋_GB2312" w:hAnsi="Times New Roman" w:eastAsia="仿宋_GB2312" w:cs="仿宋_GB2312"/>
          <w:sz w:val="32"/>
          <w:u w:val="none"/>
        </w:rPr>
        <w:t>条</w:t>
      </w:r>
      <w:r>
        <w:rPr>
          <w:rFonts w:hint="eastAsia" w:ascii="仿宋_GB2312" w:hAnsi="Times New Roman" w:eastAsia="仿宋_GB2312" w:cs="仿宋_GB2312"/>
          <w:sz w:val="32"/>
          <w:u w:val="none"/>
          <w:lang w:eastAsia="zh-CN"/>
        </w:rPr>
        <w:t>、</w:t>
      </w:r>
      <w:r>
        <w:rPr>
          <w:rFonts w:hint="eastAsia" w:ascii="仿宋_GB2312" w:hAnsi="Times New Roman" w:eastAsia="仿宋_GB2312" w:cs="仿宋_GB2312"/>
          <w:sz w:val="32"/>
          <w:u w:val="none"/>
        </w:rPr>
        <w:t>第一百二十</w:t>
      </w:r>
      <w:r>
        <w:rPr>
          <w:rFonts w:hint="eastAsia" w:ascii="仿宋_GB2312" w:hAnsi="Times New Roman" w:eastAsia="仿宋_GB2312" w:cs="仿宋_GB2312"/>
          <w:sz w:val="32"/>
          <w:u w:val="none"/>
          <w:lang w:val="en-US" w:eastAsia="zh-CN"/>
        </w:rPr>
        <w:t>五</w:t>
      </w:r>
      <w:r>
        <w:rPr>
          <w:rFonts w:hint="eastAsia" w:ascii="仿宋_GB2312" w:hAnsi="Times New Roman" w:eastAsia="仿宋_GB2312" w:cs="仿宋_GB2312"/>
          <w:sz w:val="32"/>
          <w:u w:val="none"/>
        </w:rPr>
        <w:t>条</w:t>
      </w:r>
      <w:r>
        <w:rPr>
          <w:rFonts w:hint="eastAsia" w:ascii="仿宋_GB2312" w:hAnsi="Times New Roman" w:eastAsia="仿宋_GB2312" w:cs="仿宋_GB2312"/>
          <w:sz w:val="32"/>
          <w:u w:val="none"/>
          <w:lang w:eastAsia="zh-CN"/>
        </w:rPr>
        <w:t>规定的情形外，生产经营不符合法律、法规或者食品安全标准的食品、食品添加剂的，依照前款规定给予处罚。”、《</w:t>
      </w:r>
      <w:r>
        <w:rPr>
          <w:rFonts w:hint="eastAsia" w:ascii="仿宋_GB2312" w:hAnsi="Times New Roman" w:eastAsia="仿宋_GB2312" w:cs="仿宋_GB2312"/>
          <w:sz w:val="32"/>
          <w:u w:val="none"/>
          <w:lang w:val="en-US" w:eastAsia="zh-CN"/>
        </w:rPr>
        <w:t>中华人民共和国行政处罚法</w:t>
      </w:r>
      <w:r>
        <w:rPr>
          <w:rFonts w:hint="eastAsia" w:ascii="仿宋_GB2312" w:hAnsi="Times New Roman" w:eastAsia="仿宋_GB2312" w:cs="仿宋_GB2312"/>
          <w:sz w:val="32"/>
          <w:u w:val="none"/>
          <w:lang w:eastAsia="zh-CN"/>
        </w:rPr>
        <w:t>》</w:t>
      </w:r>
      <w:r>
        <w:rPr>
          <w:rFonts w:hint="eastAsia" w:ascii="仿宋_GB2312" w:hAnsi="Times New Roman" w:eastAsia="仿宋_GB2312" w:cs="仿宋_GB2312"/>
          <w:sz w:val="32"/>
          <w:u w:val="none"/>
          <w:lang w:val="en-US" w:eastAsia="zh-CN"/>
        </w:rPr>
        <w:t>第二十八条第一款“行政机关实施行政处罚时，应当责令当事人改正或者限期改正违法行为。”</w:t>
      </w:r>
      <w:r>
        <w:rPr>
          <w:rFonts w:hint="eastAsia" w:ascii="仿宋_GB2312" w:hAnsi="Times New Roman" w:eastAsia="仿宋_GB2312" w:cs="仿宋_GB2312"/>
          <w:sz w:val="32"/>
          <w:u w:val="none"/>
          <w:lang w:eastAsia="zh-CN"/>
        </w:rPr>
        <w:t>的</w:t>
      </w:r>
      <w:r>
        <w:rPr>
          <w:rFonts w:hint="eastAsia" w:ascii="仿宋_GB2312" w:hAnsi="Times New Roman" w:eastAsia="仿宋_GB2312" w:cs="仿宋_GB2312"/>
          <w:sz w:val="32"/>
          <w:u w:val="none"/>
          <w:lang w:val="en-US" w:eastAsia="zh-CN"/>
        </w:rPr>
        <w:t>规定，结合当事人符合减轻适用情形，参照</w:t>
      </w:r>
      <w:r>
        <w:rPr>
          <w:rFonts w:hint="eastAsia" w:ascii="Times New Roman" w:hAnsi="仿宋_GB2312" w:eastAsia="仿宋_GB2312" w:cs="仿宋_GB2312"/>
          <w:bCs/>
          <w:sz w:val="32"/>
          <w:szCs w:val="32"/>
          <w:u w:val="none"/>
          <w:lang w:val="en-US" w:eastAsia="zh-CN"/>
        </w:rPr>
        <w:t>《广西壮族自治区市场监督管理行政处罚裁量基准》 “六十七、《食品安全法》行政处罚裁量基准”序号 7</w:t>
      </w:r>
      <w:r>
        <w:rPr>
          <w:rFonts w:hint="eastAsia" w:ascii="仿宋_GB2312" w:hAnsi="Times New Roman" w:eastAsia="仿宋_GB2312" w:cs="仿宋_GB2312"/>
          <w:sz w:val="32"/>
          <w:u w:val="none"/>
          <w:lang w:val="en-US" w:eastAsia="zh-CN"/>
        </w:rPr>
        <w:t>减轻</w:t>
      </w:r>
      <w:r>
        <w:rPr>
          <w:rFonts w:hint="eastAsia" w:ascii="仿宋_GB2312" w:hAnsi="仿宋_GB2312" w:eastAsia="仿宋_GB2312" w:cs="仿宋_GB2312"/>
          <w:sz w:val="32"/>
          <w:u w:val="none"/>
          <w:lang w:val="en-US" w:eastAsia="zh-CN"/>
        </w:rPr>
        <w:t>适用情形“</w:t>
      </w:r>
      <w:r>
        <w:rPr>
          <w:rFonts w:hint="eastAsia" w:ascii="仿宋_GB2312" w:hAnsi="仿宋_GB2312" w:eastAsia="仿宋_GB2312" w:cs="仿宋_GB2312"/>
          <w:color w:val="auto"/>
          <w:sz w:val="32"/>
          <w:szCs w:val="32"/>
          <w:highlight w:val="none"/>
        </w:rPr>
        <w:t>没收违法所得和违法生产经营的食品、食品添加剂，并可以没收用于违法生产经营的工具、设备、原料等物品；并处</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万元以下罚款。</w:t>
      </w:r>
      <w:r>
        <w:rPr>
          <w:rFonts w:hint="eastAsia" w:ascii="仿宋_GB2312" w:hAnsi="Times New Roman" w:eastAsia="仿宋_GB2312" w:cs="仿宋_GB2312"/>
          <w:sz w:val="32"/>
          <w:u w:val="none"/>
          <w:lang w:val="en-US" w:eastAsia="zh-CN"/>
        </w:rPr>
        <w:t>”的规定</w:t>
      </w:r>
      <w:r>
        <w:rPr>
          <w:rFonts w:hint="eastAsia" w:ascii="Times New Roman" w:hAnsi="仿宋_GB2312" w:eastAsia="仿宋_GB2312" w:cs="仿宋_GB2312"/>
          <w:bCs/>
          <w:color w:val="auto"/>
          <w:sz w:val="32"/>
          <w:szCs w:val="32"/>
          <w:u w:val="none"/>
          <w:lang w:val="en-US" w:eastAsia="zh-CN"/>
        </w:rPr>
        <w:t>，本局</w:t>
      </w:r>
      <w:r>
        <w:rPr>
          <w:rFonts w:hint="eastAsia" w:ascii="仿宋_GB2312" w:hAnsi="仿宋_GB2312" w:eastAsia="仿宋_GB2312" w:cs="仿宋_GB2312"/>
          <w:b w:val="0"/>
          <w:bCs/>
          <w:color w:val="auto"/>
          <w:kern w:val="1"/>
          <w:sz w:val="32"/>
          <w:szCs w:val="32"/>
        </w:rPr>
        <w:t>现责令当事人改正上述违法行为，</w:t>
      </w:r>
      <w:bookmarkEnd w:id="5"/>
      <w:bookmarkEnd w:id="6"/>
      <w:r>
        <w:rPr>
          <w:rFonts w:hint="eastAsia" w:ascii="仿宋_GB2312" w:hAnsi="仿宋_GB2312" w:eastAsia="仿宋_GB2312" w:cs="仿宋_GB2312"/>
          <w:b w:val="0"/>
          <w:bCs/>
          <w:color w:val="auto"/>
          <w:kern w:val="1"/>
          <w:sz w:val="32"/>
          <w:szCs w:val="32"/>
        </w:rPr>
        <w:t>并决定处罚如下</w:t>
      </w:r>
      <w:r>
        <w:rPr>
          <w:rFonts w:hint="eastAsia" w:ascii="仿宋_GB2312" w:hAnsi="Times New Roman" w:eastAsia="仿宋_GB2312" w:cs="仿宋_GB2312"/>
          <w:color w:val="auto"/>
          <w:sz w:val="32"/>
          <w:u w:val="none"/>
        </w:rPr>
        <w:t>：</w:t>
      </w:r>
      <w:r>
        <w:rPr>
          <w:rFonts w:hint="eastAsia" w:ascii="仿宋_GB2312" w:hAnsi="Times New Roman" w:eastAsia="仿宋_GB2312" w:cs="仿宋_GB2312"/>
          <w:sz w:val="32"/>
          <w:u w:val="none"/>
          <w:lang w:val="en-US" w:eastAsia="zh-CN"/>
        </w:rPr>
        <w:t>1.没收违法所得</w:t>
      </w:r>
      <w:r>
        <w:rPr>
          <w:rFonts w:hint="eastAsia" w:ascii="仿宋_GB2312" w:hAnsi="仿宋_GB2312" w:eastAsia="仿宋_GB2312" w:cs="仿宋_GB2312"/>
          <w:color w:val="auto"/>
          <w:sz w:val="32"/>
          <w:szCs w:val="32"/>
          <w:lang w:val="en-US" w:eastAsia="zh-CN"/>
        </w:rPr>
        <w:t>904.50</w:t>
      </w:r>
      <w:r>
        <w:rPr>
          <w:rFonts w:hint="eastAsia" w:ascii="仿宋_GB2312" w:hAnsi="Times New Roman" w:eastAsia="仿宋_GB2312" w:cs="仿宋_GB2312"/>
          <w:sz w:val="32"/>
          <w:u w:val="none"/>
          <w:lang w:val="en-US" w:eastAsia="zh-CN"/>
        </w:rPr>
        <w:t>元；2.并</w:t>
      </w:r>
      <w:r>
        <w:rPr>
          <w:rFonts w:hint="eastAsia" w:ascii="仿宋_GB2312" w:hAnsi="Times New Roman" w:eastAsia="仿宋_GB2312" w:cs="仿宋_GB2312"/>
          <w:sz w:val="32"/>
          <w:u w:val="none"/>
        </w:rPr>
        <w:t>处</w:t>
      </w:r>
      <w:r>
        <w:rPr>
          <w:rFonts w:hint="eastAsia" w:ascii="仿宋_GB2312" w:hAnsi="Times New Roman" w:eastAsia="仿宋_GB2312" w:cs="仿宋_GB2312"/>
          <w:sz w:val="32"/>
          <w:u w:val="none"/>
          <w:lang w:val="en-US" w:eastAsia="zh-CN"/>
        </w:rPr>
        <w:t>罚款5000.00</w:t>
      </w:r>
      <w:r>
        <w:rPr>
          <w:rFonts w:hint="eastAsia" w:ascii="仿宋_GB2312" w:hAnsi="Times New Roman" w:eastAsia="仿宋_GB2312" w:cs="仿宋_GB2312"/>
          <w:sz w:val="32"/>
          <w:u w:val="none"/>
        </w:rPr>
        <w:t>元的行政处罚</w:t>
      </w:r>
      <w:r>
        <w:rPr>
          <w:rFonts w:hint="eastAsia" w:ascii="仿宋_GB2312" w:hAnsi="Times New Roman" w:eastAsia="仿宋_GB2312" w:cs="仿宋_GB2312"/>
          <w:sz w:val="32"/>
          <w:u w:val="none"/>
          <w:lang w:eastAsia="zh-CN"/>
        </w:rPr>
        <w:t>。</w:t>
      </w:r>
      <w:r>
        <w:rPr>
          <w:rFonts w:hint="eastAsia" w:ascii="仿宋_GB2312" w:hAnsi="Times New Roman" w:eastAsia="仿宋_GB2312" w:cs="仿宋_GB2312"/>
          <w:sz w:val="32"/>
          <w:u w:val="none"/>
          <w:lang w:val="en-US" w:eastAsia="zh-CN"/>
        </w:rPr>
        <w:t>以上罚没款合计5</w:t>
      </w:r>
      <w:r>
        <w:rPr>
          <w:rFonts w:hint="eastAsia" w:ascii="仿宋_GB2312" w:hAnsi="仿宋_GB2312" w:eastAsia="仿宋_GB2312" w:cs="仿宋_GB2312"/>
          <w:color w:val="auto"/>
          <w:sz w:val="32"/>
          <w:szCs w:val="32"/>
          <w:lang w:val="en-US" w:eastAsia="zh-CN"/>
        </w:rPr>
        <w:t>904.50</w:t>
      </w:r>
      <w:r>
        <w:rPr>
          <w:rFonts w:hint="eastAsia" w:ascii="仿宋_GB2312" w:hAnsi="Times New Roman" w:eastAsia="仿宋_GB2312" w:cs="仿宋_GB2312"/>
          <w:sz w:val="32"/>
          <w:u w:val="none"/>
          <w:lang w:val="en-US" w:eastAsia="zh-CN"/>
        </w:rPr>
        <w:t>元。</w:t>
      </w:r>
      <w:r>
        <w:rPr>
          <w:rFonts w:hint="eastAsia" w:ascii="仿宋_GB2312" w:hAnsi="Times New Roman" w:eastAsia="仿宋_GB2312" w:cs="仿宋_GB2312"/>
          <w:sz w:val="32"/>
          <w:szCs w:val="32"/>
          <w:u w:val="none"/>
        </w:rPr>
        <w:t xml:space="preserve">            </w:t>
      </w:r>
    </w:p>
    <w:p>
      <w:pPr>
        <w:pStyle w:val="3"/>
        <w:keepNext w:val="0"/>
        <w:keepLines w:val="0"/>
        <w:pageBreakBefore w:val="0"/>
        <w:widowControl w:val="0"/>
        <w:tabs>
          <w:tab w:val="left" w:pos="8395"/>
        </w:tabs>
        <w:kinsoku/>
        <w:wordWrap w:val="0"/>
        <w:overflowPunct/>
        <w:topLinePunct w:val="0"/>
        <w:autoSpaceDE w:val="0"/>
        <w:autoSpaceDN w:val="0"/>
        <w:bidi w:val="0"/>
        <w:adjustRightInd w:val="0"/>
        <w:snapToGrid/>
        <w:spacing w:line="540" w:lineRule="exact"/>
        <w:ind w:firstLine="640" w:firstLineChars="200"/>
        <w:jc w:val="left"/>
        <w:textAlignment w:val="auto"/>
        <w:rPr>
          <w:rFonts w:hint="default" w:ascii="Times New Roman" w:eastAsia="仿宋_GB2312" w:cs="仿宋_GB2312"/>
          <w:b w:val="0"/>
          <w:bCs/>
          <w:color w:val="auto"/>
          <w:u w:val="single"/>
          <w:lang w:val="en-US" w:eastAsia="zh-CN"/>
        </w:rPr>
      </w:pPr>
      <w:r>
        <w:rPr>
          <w:rFonts w:hint="eastAsia" w:ascii="仿宋_GB2312" w:hAnsi="仿宋_GB2312" w:eastAsia="仿宋_GB2312" w:cs="仿宋_GB2312"/>
          <w:b w:val="0"/>
          <w:bCs w:val="0"/>
          <w:color w:val="000000"/>
          <w:sz w:val="32"/>
          <w:szCs w:val="32"/>
        </w:rPr>
        <w:t>当事人应当自收到本行政处罚决定之日起十五日内到融水苗族自治县市场监督管理局财务股开具《广西壮族自治</w:t>
      </w:r>
      <w:bookmarkStart w:id="9" w:name="_GoBack"/>
      <w:bookmarkEnd w:id="9"/>
      <w:r>
        <w:rPr>
          <w:rFonts w:hint="eastAsia" w:ascii="仿宋_GB2312" w:hAnsi="仿宋_GB2312" w:eastAsia="仿宋_GB2312" w:cs="仿宋_GB2312"/>
          <w:b w:val="0"/>
          <w:bCs w:val="0"/>
          <w:color w:val="000000"/>
          <w:sz w:val="32"/>
          <w:szCs w:val="32"/>
        </w:rPr>
        <w:t>区非税收入电子缴款通知书》，持此缴款通知书到相应银行缴纳罚没款。到期不缴纳罚款的，依据《中华人民共和国行政处罚法》第七十二条的规定，本局将每日按罚款数额的百分之三加处罚款，并依法申请人民法院强制执行。当事人如不服本行政处罚决定，可以在收到本行政处罚决定书之日起六十日内向融水苗族自治县人民政府申请行政复议；也可以在六个月内依法向柳州市柳北区人民法院提起行政诉讼。申请行政复议或者提起行政诉讼期间</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行政处罚不停止执行</w:t>
      </w:r>
      <w:r>
        <w:rPr>
          <w:rFonts w:hint="eastAsia" w:ascii="仿宋_GB2312" w:hAnsi="仿宋_GB2312" w:eastAsia="仿宋_GB2312" w:cs="仿宋_GB2312"/>
          <w:b w:val="0"/>
          <w:bCs w:val="0"/>
          <w:color w:val="000000"/>
          <w:sz w:val="32"/>
          <w:szCs w:val="32"/>
          <w:lang w:eastAsia="zh-CN"/>
        </w:rPr>
        <w:t>。</w:t>
      </w:r>
    </w:p>
    <w:p>
      <w:pPr>
        <w:keepNext w:val="0"/>
        <w:keepLines w:val="0"/>
        <w:pageBreakBefore w:val="0"/>
        <w:widowControl/>
        <w:kinsoku/>
        <w:overflowPunct/>
        <w:topLinePunct w:val="0"/>
        <w:bidi w:val="0"/>
        <w:snapToGrid w:val="0"/>
        <w:spacing w:line="540" w:lineRule="exact"/>
        <w:jc w:val="left"/>
        <w:rPr>
          <w:rFonts w:hint="eastAsia" w:ascii="Times New Roman" w:hAnsi="Times New Roman" w:eastAsia="仿宋_GB2312" w:cs="仿宋_GB2312"/>
          <w:color w:val="auto"/>
          <w:sz w:val="32"/>
          <w:szCs w:val="32"/>
          <w:lang w:val="en-US" w:eastAsia="zh-Hans"/>
        </w:rPr>
      </w:pPr>
    </w:p>
    <w:p>
      <w:pPr>
        <w:keepNext w:val="0"/>
        <w:keepLines w:val="0"/>
        <w:pageBreakBefore w:val="0"/>
        <w:widowControl/>
        <w:kinsoku/>
        <w:overflowPunct/>
        <w:topLinePunct w:val="0"/>
        <w:bidi w:val="0"/>
        <w:snapToGrid w:val="0"/>
        <w:spacing w:line="540" w:lineRule="exact"/>
        <w:ind w:firstLine="6240" w:firstLineChars="1950"/>
        <w:jc w:val="left"/>
        <w:rPr>
          <w:rFonts w:hint="eastAsia" w:ascii="Times New Roman" w:hAnsi="Times New Roman" w:eastAsia="仿宋_GB2312" w:cs="仿宋_GB2312"/>
          <w:color w:val="auto"/>
          <w:sz w:val="32"/>
          <w:szCs w:val="32"/>
          <w:lang w:val="en-US" w:eastAsia="zh-Hans"/>
        </w:rPr>
      </w:pPr>
    </w:p>
    <w:p>
      <w:pPr>
        <w:keepNext w:val="0"/>
        <w:keepLines w:val="0"/>
        <w:pageBreakBefore w:val="0"/>
        <w:kinsoku/>
        <w:overflowPunct/>
        <w:topLinePunct w:val="0"/>
        <w:bidi w:val="0"/>
        <w:spacing w:line="540" w:lineRule="exact"/>
        <w:ind w:right="640" w:firstLine="2880" w:firstLineChars="900"/>
        <w:jc w:val="left"/>
        <w:rPr>
          <w:rFonts w:ascii="Times New Roman" w:hAnsi="Times New Roman" w:eastAsia="仿宋_GB2312" w:cs="仿宋"/>
          <w:color w:val="auto"/>
          <w:sz w:val="32"/>
          <w:szCs w:val="32"/>
        </w:rPr>
      </w:pPr>
      <w:bookmarkStart w:id="7" w:name="DYNAMIC—DWXX—tAj_dwmc—2"/>
      <w:r>
        <w:rPr>
          <w:rFonts w:hint="eastAsia" w:ascii="Times New Roman" w:hAnsi="Times New Roman" w:eastAsia="仿宋_GB2312" w:cs="仿宋"/>
          <w:color w:val="auto"/>
          <w:sz w:val="32"/>
        </w:rPr>
        <w:t>融水苗族自治县市场监督管理局</w:t>
      </w:r>
      <w:bookmarkEnd w:id="7"/>
      <w:r>
        <w:rPr>
          <w:rFonts w:hint="eastAsia" w:ascii="Times New Roman" w:hAnsi="Times New Roman" w:eastAsia="仿宋_GB2312" w:cs="仿宋"/>
          <w:color w:val="auto"/>
          <w:sz w:val="32"/>
          <w:szCs w:val="32"/>
        </w:rPr>
        <w:t xml:space="preserve">    </w:t>
      </w:r>
    </w:p>
    <w:p>
      <w:pPr>
        <w:keepNext w:val="0"/>
        <w:keepLines w:val="0"/>
        <w:pageBreakBefore w:val="0"/>
        <w:kinsoku/>
        <w:overflowPunct/>
        <w:topLinePunct w:val="0"/>
        <w:bidi w:val="0"/>
        <w:spacing w:line="540" w:lineRule="exact"/>
        <w:ind w:right="640" w:firstLine="5068" w:firstLineChars="1584"/>
        <w:jc w:val="left"/>
        <w:outlineLvl w:val="1"/>
        <w:rPr>
          <w:rFonts w:ascii="Times New Roman" w:hAnsi="Times New Roman" w:eastAsia="仿宋_GB2312" w:cs="仿宋"/>
          <w:color w:val="auto"/>
          <w:sz w:val="32"/>
          <w:szCs w:val="32"/>
        </w:rPr>
      </w:pPr>
      <w:r>
        <w:rPr>
          <w:rFonts w:hint="eastAsia" w:ascii="Times New Roman" w:hAnsi="Times New Roman" w:eastAsia="仿宋_GB2312" w:cs="仿宋"/>
          <w:color w:val="auto"/>
          <w:sz w:val="32"/>
          <w:szCs w:val="32"/>
        </w:rPr>
        <w:t>（印 章）</w:t>
      </w:r>
    </w:p>
    <w:p>
      <w:pPr>
        <w:keepNext w:val="0"/>
        <w:keepLines w:val="0"/>
        <w:pageBreakBefore w:val="0"/>
        <w:widowControl w:val="0"/>
        <w:kinsoku/>
        <w:wordWrap/>
        <w:overflowPunct/>
        <w:topLinePunct w:val="0"/>
        <w:autoSpaceDE/>
        <w:autoSpaceDN/>
        <w:bidi w:val="0"/>
        <w:adjustRightInd/>
        <w:snapToGrid/>
        <w:spacing w:line="540" w:lineRule="exact"/>
        <w:ind w:right="630" w:rightChars="300" w:firstLine="4480" w:firstLineChars="1400"/>
        <w:jc w:val="left"/>
        <w:textAlignment w:val="auto"/>
        <w:outlineLvl w:val="9"/>
        <w:rPr>
          <w:rFonts w:hint="eastAsia" w:ascii="Times New Roman" w:hAnsi="Times New Roman" w:eastAsia="仿宋_GB2312" w:cs="仿宋_GB2312"/>
          <w:color w:val="auto"/>
          <w:sz w:val="32"/>
          <w:szCs w:val="32"/>
        </w:rPr>
      </w:pPr>
      <w:bookmarkStart w:id="8" w:name="CALCULATE—TIME—NOW"/>
      <w:r>
        <w:rPr>
          <w:rFonts w:hint="eastAsia" w:ascii="仿宋_GB2312" w:hAnsi="Times New Roman" w:eastAsia="仿宋_GB2312" w:cs="仿宋"/>
          <w:color w:val="auto"/>
          <w:sz w:val="32"/>
        </w:rPr>
        <w:t>2026年9月</w:t>
      </w:r>
      <w:r>
        <w:rPr>
          <w:rFonts w:hint="eastAsia" w:ascii="仿宋_GB2312" w:hAnsi="Times New Roman" w:eastAsia="仿宋_GB2312" w:cs="仿宋"/>
          <w:color w:val="auto"/>
          <w:sz w:val="32"/>
          <w:lang w:val="en-US" w:eastAsia="zh-CN"/>
        </w:rPr>
        <w:t>24</w:t>
      </w:r>
      <w:r>
        <w:rPr>
          <w:rFonts w:hint="eastAsia" w:ascii="仿宋_GB2312" w:hAnsi="Times New Roman" w:eastAsia="仿宋_GB2312" w:cs="仿宋"/>
          <w:color w:val="auto"/>
          <w:sz w:val="32"/>
        </w:rPr>
        <w:t>日</w:t>
      </w:r>
      <w:bookmarkEnd w:id="8"/>
      <w:r>
        <w:rPr>
          <w:rFonts w:hint="eastAsia" w:ascii="Times New Roman" w:hAnsi="Times New Roman" w:eastAsia="仿宋_GB2312" w:cs="仿宋_GB2312"/>
          <w:color w:val="auto"/>
          <w:sz w:val="32"/>
          <w:szCs w:val="32"/>
        </w:rPr>
        <w:t xml:space="preserve"> </w:t>
      </w:r>
    </w:p>
    <w:p>
      <w:pPr>
        <w:keepNext w:val="0"/>
        <w:keepLines w:val="0"/>
        <w:pageBreakBefore w:val="0"/>
        <w:widowControl w:val="0"/>
        <w:kinsoku/>
        <w:wordWrap/>
        <w:overflowPunct/>
        <w:topLinePunct w:val="0"/>
        <w:autoSpaceDE/>
        <w:autoSpaceDN/>
        <w:bidi w:val="0"/>
        <w:adjustRightInd/>
        <w:snapToGrid/>
        <w:spacing w:line="540" w:lineRule="exact"/>
        <w:ind w:right="630" w:rightChars="300" w:firstLine="4480" w:firstLineChars="1400"/>
        <w:jc w:val="left"/>
        <w:textAlignment w:val="auto"/>
        <w:outlineLvl w:val="9"/>
        <w:rPr>
          <w:rFonts w:hint="eastAsia" w:ascii="Times New Roman" w:hAnsi="Times New Roman"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right="630" w:rightChars="300" w:firstLine="4480" w:firstLineChars="1400"/>
        <w:jc w:val="left"/>
        <w:textAlignment w:val="auto"/>
        <w:outlineLvl w:val="9"/>
        <w:rPr>
          <w:rFonts w:hint="eastAsia" w:ascii="Times New Roman" w:hAnsi="Times New Roman"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right="630" w:rightChars="300" w:firstLine="4480" w:firstLineChars="1400"/>
        <w:jc w:val="left"/>
        <w:textAlignment w:val="auto"/>
        <w:outlineLvl w:val="9"/>
        <w:rPr>
          <w:rFonts w:hint="eastAsia" w:ascii="Times New Roman" w:hAnsi="Times New Roman"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right="630" w:rightChars="300"/>
        <w:jc w:val="left"/>
        <w:textAlignment w:val="auto"/>
        <w:outlineLvl w:val="9"/>
        <w:rPr>
          <w:rFonts w:hint="eastAsia" w:ascii="Times New Roman" w:hAnsi="Times New Roman"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right="630" w:rightChars="300"/>
        <w:jc w:val="left"/>
        <w:textAlignment w:val="auto"/>
        <w:outlineLvl w:val="9"/>
        <w:rPr>
          <w:rFonts w:hint="eastAsia" w:ascii="Times New Roman" w:hAnsi="Times New Roman"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right="630" w:rightChars="300" w:firstLine="4480" w:firstLineChars="1400"/>
        <w:jc w:val="left"/>
        <w:textAlignment w:val="auto"/>
        <w:outlineLvl w:val="9"/>
        <w:rPr>
          <w:rFonts w:hint="eastAsia" w:ascii="Times New Roman" w:hAnsi="Times New Roman" w:eastAsia="仿宋_GB2312" w:cs="仿宋_GB2312"/>
          <w:color w:val="auto"/>
          <w:sz w:val="32"/>
          <w:szCs w:val="32"/>
        </w:rPr>
      </w:pPr>
    </w:p>
    <w:p>
      <w:pPr>
        <w:pStyle w:val="3"/>
        <w:spacing w:before="1"/>
        <w:ind w:left="163"/>
        <w:rPr>
          <w:rFonts w:ascii="Times New Roman" w:hAnsi="Times New Roman" w:eastAsia="仿宋_GB2312" w:cs="仿宋"/>
          <w:bCs/>
          <w:color w:val="auto"/>
          <w:sz w:val="44"/>
          <w:szCs w:val="44"/>
        </w:rPr>
      </w:pPr>
      <w:r>
        <w:rPr>
          <w:rFonts w:ascii="Times New Roman" w:hAnsi="Times New Roman" w:eastAsia="仿宋_GB2312"/>
          <w:color w:val="auto"/>
          <w:sz w:val="32"/>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auto"/>
          <w:spacing w:val="-16"/>
        </w:rPr>
        <w:t>（市场监督管理部门将依法向社会公开行政处罚决定信息）</w:t>
      </w:r>
    </w:p>
    <w:p>
      <w:pPr>
        <w:spacing w:line="500" w:lineRule="exact"/>
        <w:rPr>
          <w:color w:val="auto"/>
        </w:rPr>
      </w:pPr>
      <w:r>
        <w:rPr>
          <w:rFonts w:ascii="Times New Roman" w:hAnsi="Times New Roman" w:eastAsia="仿宋_GB2312" w:cs="仿宋"/>
          <w:bCs/>
          <w:color w:val="auto"/>
          <w:sz w:val="32"/>
          <w:szCs w:val="32"/>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2" name="直接连接符 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2336;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i+/zkdcAAAAKAQAADwAAAAAAAAABACAAAAAiAAAAZHJzL2Rvd25yZXYueG1sUEsBAhQAFAAA&#10;AAgAh07iQPMr2KrwAQAA2QMAAA4AAAAAAAAAAQAgAAAAJgEAAGRycy9lMm9Eb2MueG1sUEsFBgAA&#10;AAAGAAYAWQEAAIgFA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auto"/>
          <w:sz w:val="32"/>
          <w:szCs w:val="32"/>
        </w:rPr>
        <w:t>本文书一式</w:t>
      </w:r>
      <w:r>
        <w:rPr>
          <w:rFonts w:hint="eastAsia" w:ascii="Times New Roman" w:hAnsi="Times New Roman" w:eastAsia="仿宋_GB2312" w:cs="仿宋"/>
          <w:color w:val="auto"/>
          <w:sz w:val="32"/>
          <w:szCs w:val="32"/>
          <w:lang w:val="en-US" w:eastAsia="zh-CN"/>
        </w:rPr>
        <w:t xml:space="preserve"> </w:t>
      </w:r>
      <w:r>
        <w:rPr>
          <w:rFonts w:hint="eastAsia" w:ascii="Times New Roman" w:hAnsi="Times New Roman" w:eastAsia="仿宋_GB2312" w:cs="仿宋"/>
          <w:color w:val="auto"/>
          <w:sz w:val="32"/>
          <w:szCs w:val="32"/>
          <w:u w:val="none"/>
          <w:lang w:val="en-US" w:eastAsia="zh-CN"/>
        </w:rPr>
        <w:t>二</w:t>
      </w:r>
      <w:r>
        <w:rPr>
          <w:rFonts w:hint="eastAsia" w:ascii="Times New Roman" w:hAnsi="Times New Roman" w:eastAsia="仿宋_GB2312" w:cs="仿宋"/>
          <w:color w:val="auto"/>
          <w:sz w:val="32"/>
          <w:szCs w:val="32"/>
          <w:u w:val="none"/>
        </w:rPr>
        <w:t xml:space="preserve"> 份，</w:t>
      </w:r>
      <w:r>
        <w:rPr>
          <w:rFonts w:hint="eastAsia" w:ascii="Times New Roman" w:hAnsi="Times New Roman" w:eastAsia="仿宋_GB2312" w:cs="仿宋"/>
          <w:color w:val="auto"/>
          <w:sz w:val="32"/>
          <w:szCs w:val="32"/>
          <w:u w:val="none"/>
          <w:lang w:val="en-US" w:eastAsia="zh-CN"/>
        </w:rPr>
        <w:t>一</w:t>
      </w:r>
      <w:r>
        <w:rPr>
          <w:rFonts w:hint="eastAsia" w:ascii="Times New Roman" w:hAnsi="Times New Roman" w:eastAsia="仿宋_GB2312" w:cs="仿宋"/>
          <w:color w:val="auto"/>
          <w:sz w:val="32"/>
          <w:szCs w:val="32"/>
        </w:rPr>
        <w:t>份送达，一份归档。</w:t>
      </w:r>
      <w:r>
        <w:rPr>
          <w:rFonts w:ascii="Times New Roman" w:hAnsi="Times New Roman" w:eastAsia="仿宋_GB2312" w:cs="仿宋"/>
          <w:bCs/>
          <w:color w:val="auto"/>
          <w:sz w:val="32"/>
          <w:szCs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Segoe Print"/>
    <w:panose1 w:val="00000400000000000000"/>
    <w:charset w:val="00"/>
    <w:family w:val="roman"/>
    <w:pitch w:val="default"/>
    <w:sig w:usb0="00000000" w:usb1="00000000" w:usb2="00000000" w:usb3="00000000" w:csb0="00000000"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54838B"/>
    <w:multiLevelType w:val="singleLevel"/>
    <w:tmpl w:val="AA54838B"/>
    <w:lvl w:ilvl="0" w:tentative="0">
      <w:start w:val="1"/>
      <w:numFmt w:val="decimal"/>
      <w:suff w:val="nothing"/>
      <w:lvlText w:val="%1、"/>
      <w:lvlJc w:val="left"/>
    </w:lvl>
  </w:abstractNum>
  <w:abstractNum w:abstractNumId="1">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2">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3a570657-d4b9-4633-8bde-b1be1a221b99"/>
  </w:docVars>
  <w:rsids>
    <w:rsidRoot w:val="5BA419F7"/>
    <w:rsid w:val="00193C35"/>
    <w:rsid w:val="0032134F"/>
    <w:rsid w:val="010A478A"/>
    <w:rsid w:val="02B83402"/>
    <w:rsid w:val="042774DD"/>
    <w:rsid w:val="048D2705"/>
    <w:rsid w:val="04CD463F"/>
    <w:rsid w:val="04FA4431"/>
    <w:rsid w:val="05C51508"/>
    <w:rsid w:val="06476E0A"/>
    <w:rsid w:val="06BAE61F"/>
    <w:rsid w:val="071C7669"/>
    <w:rsid w:val="07580619"/>
    <w:rsid w:val="0776795A"/>
    <w:rsid w:val="07DA78EE"/>
    <w:rsid w:val="08365B64"/>
    <w:rsid w:val="087864F3"/>
    <w:rsid w:val="090B4D3A"/>
    <w:rsid w:val="09290BEC"/>
    <w:rsid w:val="09AA7B69"/>
    <w:rsid w:val="0A2F38BD"/>
    <w:rsid w:val="0A3665F0"/>
    <w:rsid w:val="0B22091D"/>
    <w:rsid w:val="0CF71776"/>
    <w:rsid w:val="0D242541"/>
    <w:rsid w:val="0FB748D6"/>
    <w:rsid w:val="103E22C5"/>
    <w:rsid w:val="11524677"/>
    <w:rsid w:val="115320F9"/>
    <w:rsid w:val="11936FD1"/>
    <w:rsid w:val="119E3BCA"/>
    <w:rsid w:val="1350279A"/>
    <w:rsid w:val="14203063"/>
    <w:rsid w:val="143E1E38"/>
    <w:rsid w:val="1490670C"/>
    <w:rsid w:val="152E563E"/>
    <w:rsid w:val="15B93156"/>
    <w:rsid w:val="16D23D7F"/>
    <w:rsid w:val="18325353"/>
    <w:rsid w:val="188449CB"/>
    <w:rsid w:val="18B229B2"/>
    <w:rsid w:val="19FE4517"/>
    <w:rsid w:val="1AE345F4"/>
    <w:rsid w:val="1B37398D"/>
    <w:rsid w:val="1B6106B9"/>
    <w:rsid w:val="1C7339BB"/>
    <w:rsid w:val="1C7A5BA8"/>
    <w:rsid w:val="1E3F65B2"/>
    <w:rsid w:val="1E664711"/>
    <w:rsid w:val="1EC222D9"/>
    <w:rsid w:val="1F2B5D07"/>
    <w:rsid w:val="1FC004DE"/>
    <w:rsid w:val="1FD31F15"/>
    <w:rsid w:val="212E3259"/>
    <w:rsid w:val="22287087"/>
    <w:rsid w:val="22C93D74"/>
    <w:rsid w:val="237778B4"/>
    <w:rsid w:val="23F5677C"/>
    <w:rsid w:val="24626694"/>
    <w:rsid w:val="258D6CE0"/>
    <w:rsid w:val="27A45517"/>
    <w:rsid w:val="2B1B3EFC"/>
    <w:rsid w:val="2CDE1189"/>
    <w:rsid w:val="2CEA3815"/>
    <w:rsid w:val="2DDA2626"/>
    <w:rsid w:val="2DE10173"/>
    <w:rsid w:val="2F327E79"/>
    <w:rsid w:val="2F7CE1EF"/>
    <w:rsid w:val="2F8A6913"/>
    <w:rsid w:val="30DB5683"/>
    <w:rsid w:val="30FA2F6D"/>
    <w:rsid w:val="31562B39"/>
    <w:rsid w:val="31BE0AF5"/>
    <w:rsid w:val="32AC7566"/>
    <w:rsid w:val="32CE76E8"/>
    <w:rsid w:val="3334290F"/>
    <w:rsid w:val="33740640"/>
    <w:rsid w:val="351D6CAC"/>
    <w:rsid w:val="3585615B"/>
    <w:rsid w:val="363C12E3"/>
    <w:rsid w:val="368E5656"/>
    <w:rsid w:val="377FBB27"/>
    <w:rsid w:val="37F16547"/>
    <w:rsid w:val="38B63DA7"/>
    <w:rsid w:val="3930619F"/>
    <w:rsid w:val="3A4E178D"/>
    <w:rsid w:val="3BF97ECA"/>
    <w:rsid w:val="3C2965F0"/>
    <w:rsid w:val="3D6B1177"/>
    <w:rsid w:val="3E5F4AE1"/>
    <w:rsid w:val="3E853745"/>
    <w:rsid w:val="3F2604DF"/>
    <w:rsid w:val="3F6783E4"/>
    <w:rsid w:val="3F6A121D"/>
    <w:rsid w:val="3F842066"/>
    <w:rsid w:val="3FFF82D4"/>
    <w:rsid w:val="402E7C06"/>
    <w:rsid w:val="40FE5F8F"/>
    <w:rsid w:val="419B5F3D"/>
    <w:rsid w:val="425049CE"/>
    <w:rsid w:val="43201712"/>
    <w:rsid w:val="43B06F1C"/>
    <w:rsid w:val="442B16EC"/>
    <w:rsid w:val="458F64B9"/>
    <w:rsid w:val="45C51FFB"/>
    <w:rsid w:val="46157ACD"/>
    <w:rsid w:val="46DA50FC"/>
    <w:rsid w:val="47243FC5"/>
    <w:rsid w:val="48C10000"/>
    <w:rsid w:val="4A555101"/>
    <w:rsid w:val="4ADF49AE"/>
    <w:rsid w:val="4B8F0B22"/>
    <w:rsid w:val="4C02380F"/>
    <w:rsid w:val="4C7C04B3"/>
    <w:rsid w:val="4CC8271B"/>
    <w:rsid w:val="4D9306AE"/>
    <w:rsid w:val="4E8950D9"/>
    <w:rsid w:val="4F722566"/>
    <w:rsid w:val="4F93378A"/>
    <w:rsid w:val="503F09B5"/>
    <w:rsid w:val="516D5500"/>
    <w:rsid w:val="51927A2D"/>
    <w:rsid w:val="52802336"/>
    <w:rsid w:val="52A96FED"/>
    <w:rsid w:val="53A0483E"/>
    <w:rsid w:val="547C0750"/>
    <w:rsid w:val="55FE5622"/>
    <w:rsid w:val="57503162"/>
    <w:rsid w:val="586C6A21"/>
    <w:rsid w:val="58A4140A"/>
    <w:rsid w:val="591F0542"/>
    <w:rsid w:val="59A10938"/>
    <w:rsid w:val="5BA419F7"/>
    <w:rsid w:val="5BEF1DBF"/>
    <w:rsid w:val="5BF91583"/>
    <w:rsid w:val="5BFB2E57"/>
    <w:rsid w:val="5C5D2BD9"/>
    <w:rsid w:val="5D611C09"/>
    <w:rsid w:val="5DD7483B"/>
    <w:rsid w:val="5E5FAB03"/>
    <w:rsid w:val="5E605C94"/>
    <w:rsid w:val="5EA00CBE"/>
    <w:rsid w:val="5F9FEDD5"/>
    <w:rsid w:val="5FBEF003"/>
    <w:rsid w:val="5FE33914"/>
    <w:rsid w:val="5FFA4D85"/>
    <w:rsid w:val="602422E6"/>
    <w:rsid w:val="60B635F2"/>
    <w:rsid w:val="60C16F3B"/>
    <w:rsid w:val="612E7E8C"/>
    <w:rsid w:val="617678F3"/>
    <w:rsid w:val="61DC2B1A"/>
    <w:rsid w:val="636955DE"/>
    <w:rsid w:val="646E5E05"/>
    <w:rsid w:val="64E43803"/>
    <w:rsid w:val="657F58CB"/>
    <w:rsid w:val="6623142A"/>
    <w:rsid w:val="66934D57"/>
    <w:rsid w:val="69DA51E6"/>
    <w:rsid w:val="6AA91EAE"/>
    <w:rsid w:val="6AD7030F"/>
    <w:rsid w:val="6BA277B7"/>
    <w:rsid w:val="6BCC1BB9"/>
    <w:rsid w:val="6C6723F1"/>
    <w:rsid w:val="6CA517CF"/>
    <w:rsid w:val="6D064CEC"/>
    <w:rsid w:val="6D6C7F13"/>
    <w:rsid w:val="6D923254"/>
    <w:rsid w:val="6DD2313B"/>
    <w:rsid w:val="6E04767D"/>
    <w:rsid w:val="6E355D52"/>
    <w:rsid w:val="6E6950E9"/>
    <w:rsid w:val="6ED952C0"/>
    <w:rsid w:val="6F013B3F"/>
    <w:rsid w:val="6F732ABB"/>
    <w:rsid w:val="6FF58B64"/>
    <w:rsid w:val="6FF8F863"/>
    <w:rsid w:val="70CF02CA"/>
    <w:rsid w:val="70F532B7"/>
    <w:rsid w:val="71013020"/>
    <w:rsid w:val="710D7C3E"/>
    <w:rsid w:val="71FC56E7"/>
    <w:rsid w:val="7376089F"/>
    <w:rsid w:val="74E06ABE"/>
    <w:rsid w:val="75B2DA43"/>
    <w:rsid w:val="75BD90DB"/>
    <w:rsid w:val="75CC41D0"/>
    <w:rsid w:val="75F8119D"/>
    <w:rsid w:val="76222141"/>
    <w:rsid w:val="76704CDE"/>
    <w:rsid w:val="76D869B3"/>
    <w:rsid w:val="76FD0A98"/>
    <w:rsid w:val="77DF8BD4"/>
    <w:rsid w:val="77EFD5CC"/>
    <w:rsid w:val="77FFADAC"/>
    <w:rsid w:val="7835649C"/>
    <w:rsid w:val="789620E4"/>
    <w:rsid w:val="78FD530C"/>
    <w:rsid w:val="7AFB4DD2"/>
    <w:rsid w:val="7B0F6E9A"/>
    <w:rsid w:val="7B170734"/>
    <w:rsid w:val="7BA46A39"/>
    <w:rsid w:val="7BFD6076"/>
    <w:rsid w:val="7C8E43D6"/>
    <w:rsid w:val="7DA813EB"/>
    <w:rsid w:val="7DFF108F"/>
    <w:rsid w:val="7EED8AE6"/>
    <w:rsid w:val="7F5A6980"/>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439</Words>
  <Characters>439</Characters>
  <Lines>0</Lines>
  <Paragraphs>0</Paragraphs>
  <TotalTime>19</TotalTime>
  <ScaleCrop>false</ScaleCrop>
  <LinksUpToDate>false</LinksUpToDate>
  <CharactersWithSpaces>1173</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Administrator</cp:lastModifiedBy>
  <cp:lastPrinted>2026-09-29T01:30:44Z</cp:lastPrinted>
  <dcterms:modified xsi:type="dcterms:W3CDTF">2026-09-29T01:33:04Z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B8FD51762AA649638AB4434B51FBE6C7</vt:lpwstr>
  </property>
</Properties>
</file>