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2792">
      <w:pPr>
        <w:keepNext w:val="0"/>
        <w:keepLines w:val="0"/>
        <w:pageBreakBefore w:val="0"/>
        <w:numPr>
          <w:ilvl w:val="0"/>
          <w:numId w:val="2"/>
        </w:numPr>
        <w:kinsoku/>
        <w:overflowPunct/>
        <w:topLinePunct w:val="0"/>
        <w:bidi w:val="0"/>
        <w:spacing w:line="640" w:lineRule="exact"/>
        <w:ind w:firstLine="880" w:firstLineChars="200"/>
        <w:jc w:val="center"/>
        <w:textAlignment w:val="auto"/>
        <w:outlineLvl w:val="0"/>
        <w:rPr>
          <w:rFonts w:hint="eastAsia" w:ascii="方正小标宋简体" w:hAnsi="方正小标宋简体" w:eastAsia="方正小标宋简体" w:cs="方正小标宋简体"/>
          <w:color w:val="auto"/>
          <w:sz w:val="44"/>
          <w:szCs w:val="44"/>
          <w:u w:val="none" w:color="auto"/>
        </w:rPr>
      </w:pPr>
      <w:bookmarkStart w:id="0" w:name="DYNAMIC—DWXX—tAj_dwmc"/>
      <w:r>
        <w:rPr>
          <w:rFonts w:hint="default" w:ascii="方正小标宋简体" w:hAnsi="方正小标宋简体" w:eastAsia="方正小标宋简体" w:cs="方正小标宋简体"/>
          <w:color w:val="000000"/>
          <w:sz w:val="44"/>
          <w:u w:val="none" w:color="auto"/>
        </w:rPr>
        <w:t>融水苗族自治县市场监督管理局</w:t>
      </w:r>
      <w:bookmarkEnd w:id="0"/>
    </w:p>
    <w:p w14:paraId="07D4E4DC">
      <w:pPr>
        <w:pStyle w:val="2"/>
        <w:keepNext w:val="0"/>
        <w:keepLines w:val="0"/>
        <w:pageBreakBefore w:val="0"/>
        <w:numPr>
          <w:ilvl w:val="0"/>
          <w:numId w:val="2"/>
        </w:numPr>
        <w:kinsoku/>
        <w:overflowPunct/>
        <w:topLinePunct w:val="0"/>
        <w:bidi w:val="0"/>
        <w:spacing w:before="0" w:after="0" w:line="640" w:lineRule="exact"/>
        <w:ind w:firstLine="880" w:firstLineChars="200"/>
        <w:jc w:val="center"/>
        <w:textAlignment w:val="auto"/>
        <w:rPr>
          <w:rFonts w:hint="eastAsia" w:eastAsia="方正小标宋简体" w:cs="方正小标宋简体"/>
          <w:color w:val="auto"/>
          <w:sz w:val="44"/>
          <w:szCs w:val="44"/>
          <w:u w:val="none" w:color="auto"/>
        </w:rPr>
      </w:pPr>
      <w:bookmarkStart w:id="1" w:name="_Toc76683344"/>
      <w:r>
        <w:rPr>
          <w:rFonts w:hint="eastAsia" w:hAnsi="方正小标宋简体" w:eastAsia="方正小标宋简体" w:cs="方正小标宋简体"/>
          <w:color w:val="000000"/>
          <w:sz w:val="44"/>
          <w:szCs w:val="44"/>
          <w:u w:val="none" w:color="auto"/>
          <w:lang w:val="en-US"/>
        </w:rPr>
        <w:t>行政处罚</w:t>
      </w:r>
      <w:r>
        <w:rPr>
          <w:rFonts w:hint="eastAsia" w:hAnsi="方正小标宋简体" w:eastAsia="方正小标宋简体" w:cs="方正小标宋简体"/>
          <w:color w:val="000000"/>
          <w:sz w:val="44"/>
          <w:szCs w:val="44"/>
          <w:u w:val="none" w:color="auto"/>
          <w:lang w:val="en-US" w:eastAsia="zh-Hans"/>
        </w:rPr>
        <w:t>决定</w:t>
      </w:r>
      <w:r>
        <w:rPr>
          <w:rFonts w:hint="eastAsia" w:hAnsi="方正小标宋简体" w:eastAsia="方正小标宋简体" w:cs="方正小标宋简体"/>
          <w:color w:val="000000"/>
          <w:sz w:val="44"/>
          <w:szCs w:val="44"/>
          <w:u w:val="none" w:color="auto"/>
          <w:lang w:val="en-US"/>
        </w:rPr>
        <w:t>书</w:t>
      </w:r>
      <w:bookmarkEnd w:id="1"/>
    </w:p>
    <w:p w14:paraId="39C4BA6C">
      <w:pPr>
        <w:keepNext w:val="0"/>
        <w:keepLines w:val="0"/>
        <w:pageBreakBefore w:val="0"/>
        <w:widowControl/>
        <w:kinsoku/>
        <w:overflowPunct/>
        <w:topLinePunct w:val="0"/>
        <w:bidi w:val="0"/>
        <w:snapToGrid w:val="0"/>
        <w:spacing w:line="560" w:lineRule="exact"/>
        <w:ind w:right="55" w:firstLine="640" w:firstLineChars="200"/>
        <w:jc w:val="center"/>
        <w:textAlignment w:val="auto"/>
        <w:outlineLvl w:val="1"/>
        <w:rPr>
          <w:rFonts w:hint="eastAsia" w:ascii="Times New Roman" w:hAnsi="仿宋_GB2312" w:eastAsia="仿宋_GB2312" w:cs="仿宋_GB2312"/>
          <w:bCs/>
          <w:color w:val="auto"/>
          <w:sz w:val="32"/>
          <w:szCs w:val="32"/>
          <w:u w:val="none" w:color="auto"/>
        </w:rPr>
      </w:pPr>
      <w:bookmarkStart w:id="2" w:name="tAj_wh"/>
      <w:r>
        <w:rPr>
          <w:rFonts w:hint="eastAsia" w:ascii="Times New Roman" w:hAnsi="Times New Roman" w:eastAsia="仿宋_GB2312" w:cs="Mongolian Baiti"/>
          <w:color w:val="000000"/>
          <w:sz w:val="32"/>
          <w:u w:val="none" w:color="auto"/>
        </w:rPr>
        <w:t>融水市监处罚〔2026〕162号</w:t>
      </w:r>
      <w:bookmarkEnd w:id="2"/>
    </w:p>
    <w:p w14:paraId="4D0CFEBB">
      <w:pPr>
        <w:keepNext w:val="0"/>
        <w:keepLines w:val="0"/>
        <w:pageBreakBefore w:val="0"/>
        <w:kinsoku/>
        <w:overflowPunct/>
        <w:topLinePunct w:val="0"/>
        <w:bidi w:val="0"/>
        <w:spacing w:before="315" w:beforeLines="100" w:line="540" w:lineRule="exact"/>
        <w:ind w:left="142"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融水县亿客隆超市</w:t>
      </w:r>
      <w:bookmarkEnd w:id="3"/>
      <w:r>
        <w:rPr>
          <w:rFonts w:hint="eastAsia" w:ascii="仿宋_GB2312" w:hAnsi="仿宋_GB2312" w:eastAsia="仿宋_GB2312" w:cs="仿宋_GB2312"/>
          <w:b w:val="0"/>
          <w:bCs/>
          <w:color w:val="000000"/>
          <w:kern w:val="1"/>
          <w:sz w:val="32"/>
          <w:szCs w:val="32"/>
          <w:u w:val="none" w:color="auto"/>
        </w:rPr>
        <w:t xml:space="preserve">                                            </w:t>
      </w:r>
    </w:p>
    <w:p w14:paraId="6703EC82">
      <w:pPr>
        <w:keepNext w:val="0"/>
        <w:keepLines w:val="0"/>
        <w:pageBreakBefore w:val="0"/>
        <w:kinsoku/>
        <w:overflowPunct/>
        <w:topLinePunct w:val="0"/>
        <w:bidi w:val="0"/>
        <w:spacing w:line="540" w:lineRule="exact"/>
        <w:ind w:left="140" w:firstLine="640" w:firstLineChars="200"/>
        <w:textAlignment w:val="auto"/>
        <w:rPr>
          <w:rFonts w:hint="eastAsia" w:ascii="仿宋_GB2312" w:hAnsi="仿宋_GB2312" w:eastAsia="仿宋_GB2312" w:cs="仿宋_GB2312"/>
          <w:b w:val="0"/>
          <w:bCs/>
          <w:color w:val="auto"/>
          <w:kern w:val="1"/>
          <w:sz w:val="32"/>
          <w:szCs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r>
        <w:rPr>
          <w:rFonts w:hint="eastAsia" w:ascii="仿宋_GB2312" w:hAnsi="仿宋_GB2312" w:eastAsia="仿宋_GB2312" w:cs="仿宋_GB2312"/>
          <w:b w:val="0"/>
          <w:bCs/>
          <w:color w:val="000000"/>
          <w:kern w:val="1"/>
          <w:sz w:val="32"/>
          <w:szCs w:val="32"/>
          <w:u w:val="none" w:color="auto"/>
        </w:rPr>
        <w:t xml:space="preserve">                                  </w:t>
      </w:r>
    </w:p>
    <w:p w14:paraId="1A4BF32A">
      <w:pPr>
        <w:keepNext w:val="0"/>
        <w:keepLines w:val="0"/>
        <w:pageBreakBefore w:val="0"/>
        <w:kinsoku/>
        <w:overflowPunct/>
        <w:topLinePunct w:val="0"/>
        <w:bidi w:val="0"/>
        <w:spacing w:line="540" w:lineRule="exact"/>
        <w:ind w:left="140"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92450225MABWKY4W50</w:t>
      </w:r>
      <w:bookmarkEnd w:id="5"/>
      <w:r>
        <w:rPr>
          <w:rFonts w:hint="eastAsia" w:ascii="仿宋_GB2312" w:hAnsi="仿宋_GB2312" w:eastAsia="仿宋_GB2312" w:cs="仿宋_GB2312"/>
          <w:b w:val="0"/>
          <w:bCs/>
          <w:color w:val="000000"/>
          <w:kern w:val="1"/>
          <w:sz w:val="32"/>
          <w:szCs w:val="32"/>
          <w:u w:val="none" w:color="auto"/>
        </w:rPr>
        <w:t xml:space="preserve">                                  </w:t>
      </w:r>
    </w:p>
    <w:p w14:paraId="059BF795">
      <w:pPr>
        <w:keepNext w:val="0"/>
        <w:keepLines w:val="0"/>
        <w:pageBreakBefore w:val="0"/>
        <w:kinsoku/>
        <w:overflowPunct/>
        <w:topLinePunct w:val="0"/>
        <w:bidi w:val="0"/>
        <w:spacing w:line="540" w:lineRule="exact"/>
        <w:ind w:left="140"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广西壮族自治区柳州市融水苗族自治县和睦镇和睦街</w:t>
      </w:r>
      <w:bookmarkEnd w:id="6"/>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7D9D3C08">
      <w:pPr>
        <w:keepNext w:val="0"/>
        <w:keepLines w:val="0"/>
        <w:pageBreakBefore w:val="0"/>
        <w:kinsoku/>
        <w:overflowPunct/>
        <w:topLinePunct w:val="0"/>
        <w:bidi w:val="0"/>
        <w:spacing w:line="540" w:lineRule="exact"/>
        <w:ind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法定代表人（负责人</w:t>
      </w: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林镇南</w:t>
      </w:r>
      <w:bookmarkEnd w:id="7"/>
      <w:r>
        <w:rPr>
          <w:rFonts w:hint="eastAsia" w:ascii="仿宋_GB2312" w:hAnsi="仿宋_GB2312" w:eastAsia="仿宋_GB2312" w:cs="仿宋_GB2312"/>
          <w:b w:val="0"/>
          <w:bCs/>
          <w:color w:val="000000"/>
          <w:kern w:val="1"/>
          <w:sz w:val="32"/>
          <w:szCs w:val="32"/>
          <w:u w:val="none" w:color="auto"/>
        </w:rPr>
        <w:t xml:space="preserve">                       </w:t>
      </w:r>
    </w:p>
    <w:p w14:paraId="71DF08E0">
      <w:pPr>
        <w:keepNext w:val="0"/>
        <w:keepLines w:val="0"/>
        <w:pageBreakBefore w:val="0"/>
        <w:kinsoku/>
        <w:overflowPunct/>
        <w:topLinePunct w:val="0"/>
        <w:bidi w:val="0"/>
        <w:spacing w:line="540" w:lineRule="exact"/>
        <w:ind w:firstLine="640" w:firstLineChars="200"/>
        <w:textAlignment w:val="auto"/>
        <w:rPr>
          <w:rFonts w:hint="eastAsia" w:ascii="仿宋_GB2312" w:hAnsi="仿宋_GB2312" w:eastAsia="仿宋_GB2312" w:cs="仿宋_GB2312"/>
          <w:b w:val="0"/>
          <w:bCs/>
          <w:color w:val="auto"/>
          <w:sz w:val="32"/>
          <w:szCs w:val="32"/>
          <w:u w:val="none" w:color="auto"/>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430521199512</w:t>
      </w:r>
      <w:bookmarkEnd w:id="8"/>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bCs/>
          <w:color w:val="000000"/>
          <w:kern w:val="1"/>
          <w:sz w:val="32"/>
          <w:szCs w:val="32"/>
          <w:u w:val="none" w:color="auto"/>
        </w:rPr>
        <w:t xml:space="preserve">                                     </w:t>
      </w:r>
    </w:p>
    <w:p w14:paraId="365C9073">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color w:val="auto"/>
          <w:sz w:val="32"/>
          <w:u w:val="none" w:color="auto"/>
        </w:rPr>
      </w:pPr>
      <w:bookmarkStart w:id="9" w:name="CALCULATE—AYHC—tAjHc_cHcqkjlaay"/>
      <w:r>
        <w:rPr>
          <w:rFonts w:hint="eastAsia" w:ascii="仿宋_GB2312" w:hAnsi="仿宋_GB2312" w:eastAsia="仿宋_GB2312" w:cs="仿宋_GB2312"/>
          <w:b w:val="0"/>
          <w:color w:val="000000"/>
          <w:sz w:val="32"/>
          <w:u w:val="none" w:color="auto"/>
        </w:rPr>
        <w:t>2026年06月12日广西民生中检联检测有限公司工作人员到融水县和亿客隆超市进行食品安全监督抽检，在该超市员工李婷婷的陪同下随机抽取了糖果、蔬菜制品等共计10个批次的样品，并在其见证下现场封样。经检验，该公司于2026年07月06日签发的1份检验报告(No:BFSQG060278027C),样品名称“小红泡椒”,检验项</w:t>
      </w:r>
      <w:r>
        <w:rPr>
          <w:rFonts w:hint="eastAsia" w:ascii="仿宋_GB2312" w:hAnsi="仿宋_GB2312" w:eastAsia="仿宋_GB2312" w:cs="仿宋_GB2312"/>
          <w:b w:val="0"/>
          <w:color w:val="000000"/>
          <w:sz w:val="32"/>
          <w:u w:val="none" w:color="auto"/>
          <w:lang w:eastAsia="zh-CN"/>
        </w:rPr>
        <w:t>目为</w:t>
      </w:r>
      <w:r>
        <w:rPr>
          <w:rFonts w:hint="eastAsia" w:ascii="仿宋_GB2312" w:hAnsi="仿宋_GB2312" w:eastAsia="仿宋_GB2312" w:cs="仿宋_GB2312"/>
          <w:b w:val="0"/>
          <w:color w:val="000000"/>
          <w:sz w:val="32"/>
          <w:u w:val="none" w:color="auto"/>
        </w:rPr>
        <w:t>阿斯巴甜，安赛蜜，二氧化硫残留量等 15 项</w:t>
      </w:r>
      <w:r>
        <w:rPr>
          <w:rFonts w:hint="eastAsia" w:ascii="仿宋_GB2312" w:hAnsi="仿宋_GB2312" w:eastAsia="仿宋_GB2312" w:cs="仿宋_GB2312"/>
          <w:b w:val="0"/>
          <w:color w:val="000000"/>
          <w:sz w:val="32"/>
          <w:u w:val="none" w:color="auto"/>
          <w:lang w:eastAsia="zh-CN"/>
        </w:rPr>
        <w:t>。经检验，</w:t>
      </w:r>
      <w:r>
        <w:rPr>
          <w:rFonts w:hint="eastAsia" w:ascii="仿宋_GB2312" w:hAnsi="仿宋_GB2312" w:eastAsia="仿宋_GB2312" w:cs="仿宋_GB2312"/>
          <w:b w:val="0"/>
          <w:color w:val="000000"/>
          <w:sz w:val="32"/>
          <w:u w:val="none" w:color="auto"/>
        </w:rPr>
        <w:t>二氧化硫残留量项目不符合GB 2760-2024《食品安全国家标准 食品添加剂使用标准》要求，检验结论为不合格。</w:t>
      </w:r>
    </w:p>
    <w:p w14:paraId="1AFEFDA4">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color w:val="000000"/>
          <w:sz w:val="32"/>
          <w:u w:val="none" w:color="auto"/>
        </w:rPr>
        <w:t>2026年07月20日</w:t>
      </w:r>
      <w:r>
        <w:rPr>
          <w:rFonts w:hint="eastAsia" w:ascii="仿宋_GB2312" w:hAnsi="仿宋_GB2312" w:eastAsia="仿宋_GB2312" w:cs="仿宋_GB2312"/>
          <w:b w:val="0"/>
          <w:color w:val="000000"/>
          <w:sz w:val="32"/>
          <w:u w:val="none" w:color="auto"/>
          <w:lang w:eastAsia="zh-CN"/>
        </w:rPr>
        <w:t>本局执法人员</w:t>
      </w:r>
      <w:r>
        <w:rPr>
          <w:rFonts w:hint="eastAsia" w:ascii="仿宋_GB2312" w:hAnsi="仿宋_GB2312" w:eastAsia="仿宋_GB2312" w:cs="仿宋_GB2312"/>
          <w:b w:val="0"/>
          <w:color w:val="000000"/>
          <w:sz w:val="32"/>
          <w:u w:val="none" w:color="auto"/>
        </w:rPr>
        <w:t>将该《检验报告》(No:BFSQG060278027C)及《食品安全抽样检验结果通知书》送达融水县亿客隆超市（以下简称当事人），告知当事人检验不合格的事项</w:t>
      </w:r>
      <w:r>
        <w:rPr>
          <w:rFonts w:hint="eastAsia" w:ascii="仿宋_GB2312" w:hAnsi="仿宋_GB2312" w:eastAsia="仿宋_GB2312" w:cs="仿宋_GB2312"/>
          <w:b w:val="0"/>
          <w:color w:val="000000"/>
          <w:sz w:val="32"/>
          <w:u w:val="none" w:color="auto"/>
          <w:lang w:eastAsia="zh-CN"/>
        </w:rPr>
        <w:t>，并</w:t>
      </w:r>
      <w:r>
        <w:rPr>
          <w:rFonts w:hint="eastAsia" w:ascii="仿宋_GB2312" w:hAnsi="仿宋_GB2312" w:eastAsia="仿宋_GB2312" w:cs="仿宋_GB2312"/>
          <w:b w:val="0"/>
          <w:color w:val="000000"/>
          <w:sz w:val="32"/>
          <w:u w:val="none" w:color="auto"/>
        </w:rPr>
        <w:t>告知当事人享有的权利以及应履行的义务。该超市经营者林镇南当时不在场，相关文书由该超市管理人员李艾群确认签收。当事人销售不符合食品安全国家标准食品的行为</w:t>
      </w:r>
      <w:r>
        <w:rPr>
          <w:rFonts w:hint="eastAsia" w:ascii="仿宋_GB2312" w:hAnsi="仿宋_GB2312" w:eastAsia="仿宋_GB2312" w:cs="仿宋_GB2312"/>
          <w:b w:val="0"/>
          <w:color w:val="000000"/>
          <w:sz w:val="32"/>
          <w:u w:val="none" w:color="auto"/>
          <w:lang w:eastAsia="zh-CN"/>
        </w:rPr>
        <w:t>涉嫌</w:t>
      </w:r>
      <w:r>
        <w:rPr>
          <w:rFonts w:hint="eastAsia" w:ascii="仿宋_GB2312" w:hAnsi="仿宋_GB2312" w:eastAsia="仿宋_GB2312" w:cs="仿宋_GB2312"/>
          <w:b w:val="0"/>
          <w:color w:val="000000"/>
          <w:sz w:val="32"/>
          <w:u w:val="none" w:color="auto"/>
        </w:rPr>
        <w:t>违反了《中华人民共和国食品安全法》第三十四条第二项的规定，依据《市场监督管理行政处罚程序规定》第十九条的规定，</w:t>
      </w:r>
      <w:r>
        <w:rPr>
          <w:rFonts w:hint="eastAsia" w:ascii="仿宋_GB2312" w:hAnsi="仿宋_GB2312" w:eastAsia="仿宋_GB2312" w:cs="仿宋_GB2312"/>
          <w:b w:val="0"/>
          <w:color w:val="000000"/>
          <w:sz w:val="32"/>
          <w:u w:val="none" w:color="auto"/>
          <w:lang w:eastAsia="zh-CN"/>
        </w:rPr>
        <w:t>本局</w:t>
      </w:r>
      <w:r>
        <w:rPr>
          <w:rFonts w:hint="eastAsia" w:ascii="仿宋_GB2312" w:hAnsi="仿宋_GB2312" w:eastAsia="仿宋_GB2312" w:cs="仿宋_GB2312"/>
          <w:b w:val="0"/>
          <w:color w:val="000000"/>
          <w:sz w:val="32"/>
          <w:u w:val="none" w:color="auto"/>
        </w:rPr>
        <w:t>于2026年7月23日</w:t>
      </w:r>
      <w:r>
        <w:rPr>
          <w:rFonts w:hint="eastAsia" w:ascii="仿宋_GB2312" w:hAnsi="仿宋_GB2312" w:eastAsia="仿宋_GB2312" w:cs="仿宋_GB2312"/>
          <w:b w:val="0"/>
          <w:color w:val="000000"/>
          <w:sz w:val="32"/>
          <w:u w:val="none" w:color="auto"/>
          <w:lang w:eastAsia="zh-CN"/>
        </w:rPr>
        <w:t>对当事人进行</w:t>
      </w:r>
      <w:r>
        <w:rPr>
          <w:rFonts w:hint="eastAsia" w:ascii="仿宋_GB2312" w:hAnsi="仿宋_GB2312" w:eastAsia="仿宋_GB2312" w:cs="仿宋_GB2312"/>
          <w:b w:val="0"/>
          <w:color w:val="000000"/>
          <w:sz w:val="32"/>
          <w:u w:val="none" w:color="auto"/>
        </w:rPr>
        <w:t>立案调查。</w:t>
      </w:r>
      <w:bookmarkEnd w:id="9"/>
      <w:r>
        <w:rPr>
          <w:rFonts w:hint="eastAsia" w:ascii="仿宋_GB2312" w:hAnsi="仿宋_GB2312" w:eastAsia="仿宋_GB2312" w:cs="仿宋_GB2312"/>
          <w:color w:val="000000"/>
          <w:sz w:val="32"/>
          <w:szCs w:val="32"/>
          <w:u w:val="none"/>
          <w:lang w:val="en-US" w:eastAsia="zh-CN"/>
        </w:rPr>
        <w:t>2026年08月17日当事人的经营者林镇南到本局和睦所接受调查询问，并提供相关材料。</w:t>
      </w:r>
      <w:r>
        <w:rPr>
          <w:rFonts w:hint="eastAsia" w:ascii="仿宋_GB2312" w:hAnsi="仿宋_GB2312" w:eastAsia="仿宋_GB2312" w:cs="仿宋_GB2312"/>
          <w:b w:val="0"/>
          <w:bCs/>
          <w:color w:val="000000"/>
          <w:sz w:val="32"/>
          <w:szCs w:val="32"/>
          <w:u w:val="none" w:color="auto"/>
          <w:lang w:val="en-US" w:eastAsia="zh-CN"/>
        </w:rPr>
        <w:t xml:space="preserve"> </w:t>
      </w:r>
    </w:p>
    <w:p w14:paraId="6BB04327">
      <w:pPr>
        <w:pStyle w:val="3"/>
        <w:keepNext w:val="0"/>
        <w:keepLines w:val="0"/>
        <w:pageBreakBefore w:val="0"/>
        <w:tabs>
          <w:tab w:val="left" w:pos="824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bookmarkStart w:id="10" w:name="CALCULATE—AJCF—tAjCfes_cAjss"/>
      <w:r>
        <w:rPr>
          <w:rFonts w:hint="eastAsia" w:ascii="仿宋_GB2312" w:hAnsi="仿宋_GB2312" w:eastAsia="仿宋_GB2312" w:cs="仿宋_GB2312"/>
          <w:b w:val="0"/>
          <w:color w:val="000000"/>
          <w:sz w:val="32"/>
          <w:u w:val="none" w:color="auto"/>
        </w:rPr>
        <w:t>经查实，当事人</w:t>
      </w:r>
      <w:r>
        <w:rPr>
          <w:rFonts w:hint="eastAsia" w:ascii="仿宋_GB2312" w:hAnsi="仿宋_GB2312" w:eastAsia="仿宋_GB2312" w:cs="仿宋_GB2312"/>
          <w:b w:val="0"/>
          <w:color w:val="000000"/>
          <w:sz w:val="32"/>
          <w:u w:val="none" w:color="auto"/>
          <w:lang w:eastAsia="zh-CN"/>
        </w:rPr>
        <w:t>于</w:t>
      </w:r>
      <w:r>
        <w:rPr>
          <w:rFonts w:hint="eastAsia" w:ascii="仿宋_GB2312" w:hAnsi="仿宋_GB2312" w:eastAsia="仿宋_GB2312" w:cs="仿宋_GB2312"/>
          <w:b w:val="0"/>
          <w:color w:val="000000"/>
          <w:sz w:val="32"/>
          <w:u w:val="none" w:color="auto"/>
          <w:lang w:val="en-US" w:eastAsia="zh-CN"/>
        </w:rPr>
        <w:t>2022年08月08日</w:t>
      </w:r>
      <w:r>
        <w:rPr>
          <w:rFonts w:hint="eastAsia" w:ascii="仿宋_GB2312" w:hAnsi="仿宋_GB2312" w:eastAsia="仿宋_GB2312" w:cs="仿宋_GB2312"/>
          <w:b w:val="0"/>
          <w:color w:val="000000"/>
          <w:sz w:val="32"/>
          <w:u w:val="none" w:color="auto"/>
        </w:rPr>
        <w:t>取得《营业执照》在融水县和睦镇和睦街</w:t>
      </w:r>
      <w:r>
        <w:rPr>
          <w:rFonts w:hint="eastAsia" w:ascii="仿宋_GB2312" w:hAnsi="仿宋_GB2312" w:eastAsia="仿宋_GB2312" w:cs="仿宋_GB2312"/>
          <w:b w:val="0"/>
          <w:color w:val="000000"/>
          <w:sz w:val="32"/>
          <w:u w:val="none" w:color="auto"/>
          <w:lang w:val="en-US" w:eastAsia="zh-CN"/>
        </w:rPr>
        <w:t>******</w:t>
      </w:r>
      <w:bookmarkStart w:id="17" w:name="_GoBack"/>
      <w:bookmarkEnd w:id="17"/>
      <w:r>
        <w:rPr>
          <w:rFonts w:hint="eastAsia" w:ascii="仿宋_GB2312" w:hAnsi="仿宋_GB2312" w:eastAsia="仿宋_GB2312" w:cs="仿宋_GB2312"/>
          <w:b w:val="0"/>
          <w:color w:val="000000"/>
          <w:sz w:val="32"/>
          <w:u w:val="none" w:color="auto"/>
        </w:rPr>
        <w:t>融水县亿客隆超市从事食用产品经营活动。2026年05月27日，当事人在未查验供货者身份证明并记录，未索要进货凭证以及供货者经营资质，不能证明进货来源的情况下，从融水县玉华市场采购以5元/斤的价格购进了6斤“小红泡椒”，然后以7元/斤对外进行销售。2026年06月12日，抽样人员依法到该超市抽取食用产品“小红泡椒”送至广西民生中检联检测有限公司进行检验。该公司于2026年07月06日签发的1份检验报告(No:BFSQG060278027C),样品名称“小红泡椒”,检验项</w:t>
      </w:r>
      <w:r>
        <w:rPr>
          <w:rFonts w:hint="eastAsia" w:ascii="仿宋_GB2312" w:hAnsi="仿宋_GB2312" w:eastAsia="仿宋_GB2312" w:cs="仿宋_GB2312"/>
          <w:b w:val="0"/>
          <w:color w:val="000000"/>
          <w:sz w:val="32"/>
          <w:u w:val="none" w:color="auto"/>
          <w:lang w:eastAsia="zh-CN"/>
        </w:rPr>
        <w:t>目为</w:t>
      </w:r>
      <w:r>
        <w:rPr>
          <w:rFonts w:hint="eastAsia" w:ascii="仿宋_GB2312" w:hAnsi="仿宋_GB2312" w:eastAsia="仿宋_GB2312" w:cs="仿宋_GB2312"/>
          <w:b w:val="0"/>
          <w:color w:val="000000"/>
          <w:sz w:val="32"/>
          <w:u w:val="none" w:color="auto"/>
        </w:rPr>
        <w:t>阿斯巴甜，安赛蜜，二氧化硫残留量等 15 项</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经抽样检验，二氧化硫残留量项目不符合GB 2760-2024《食品安全国家标准 食品添加剂使用标准》要求，检验结论为不合格。</w:t>
      </w:r>
      <w:r>
        <w:rPr>
          <w:rFonts w:hint="eastAsia" w:ascii="仿宋_GB2312" w:hAnsi="仿宋_GB2312" w:eastAsia="仿宋_GB2312" w:cs="仿宋_GB2312"/>
          <w:b w:val="0"/>
          <w:color w:val="000000"/>
          <w:sz w:val="32"/>
          <w:u w:val="none" w:color="auto"/>
          <w:lang w:eastAsia="zh-CN"/>
        </w:rPr>
        <w:t>截至</w:t>
      </w:r>
      <w:r>
        <w:rPr>
          <w:rFonts w:hint="eastAsia" w:ascii="仿宋_GB2312" w:hAnsi="仿宋_GB2312" w:eastAsia="仿宋_GB2312" w:cs="仿宋_GB2312"/>
          <w:b w:val="0"/>
          <w:color w:val="000000"/>
          <w:sz w:val="32"/>
          <w:u w:val="none" w:color="auto"/>
        </w:rPr>
        <w:t>2026年07月20日当事人收到检验报告时止，上述批次不合格“小红泡椒”均已经销售完毕，无法召回。经核实，当事人销售上述批次不合格“小红泡椒”的涉案货值金额为42元，由于已全部销售，</w:t>
      </w:r>
      <w:r>
        <w:rPr>
          <w:rFonts w:hint="eastAsia" w:ascii="仿宋_GB2312" w:hAnsi="仿宋_GB2312" w:eastAsia="仿宋_GB2312" w:cs="仿宋_GB2312"/>
          <w:b w:val="0"/>
          <w:color w:val="000000"/>
          <w:sz w:val="32"/>
          <w:u w:val="none" w:color="auto"/>
          <w:lang w:eastAsia="zh-CN"/>
        </w:rPr>
        <w:t>扣除当事人进货价等合理成本，其</w:t>
      </w:r>
      <w:r>
        <w:rPr>
          <w:rFonts w:hint="eastAsia" w:ascii="仿宋_GB2312" w:hAnsi="仿宋_GB2312" w:eastAsia="仿宋_GB2312" w:cs="仿宋_GB2312"/>
          <w:b w:val="0"/>
          <w:color w:val="000000"/>
          <w:sz w:val="32"/>
          <w:u w:val="none" w:color="auto"/>
        </w:rPr>
        <w:t>违法所得为</w:t>
      </w:r>
      <w:r>
        <w:rPr>
          <w:rFonts w:hint="eastAsia" w:ascii="仿宋_GB2312" w:hAnsi="仿宋_GB2312" w:eastAsia="仿宋_GB2312" w:cs="仿宋_GB2312"/>
          <w:b w:val="0"/>
          <w:color w:val="000000"/>
          <w:sz w:val="32"/>
          <w:u w:val="none" w:color="auto"/>
          <w:lang w:val="en-US" w:eastAsia="zh-CN"/>
        </w:rPr>
        <w:t>12</w:t>
      </w:r>
      <w:r>
        <w:rPr>
          <w:rFonts w:hint="eastAsia" w:ascii="仿宋_GB2312" w:hAnsi="仿宋_GB2312" w:eastAsia="仿宋_GB2312" w:cs="仿宋_GB2312"/>
          <w:b w:val="0"/>
          <w:color w:val="000000"/>
          <w:sz w:val="32"/>
          <w:u w:val="none" w:color="auto"/>
        </w:rPr>
        <w:t>元，当事人对上述事实匀予以承认</w:t>
      </w:r>
      <w:bookmarkEnd w:id="10"/>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bCs/>
          <w:color w:val="000000"/>
          <w:kern w:val="1"/>
          <w:sz w:val="32"/>
          <w:szCs w:val="32"/>
          <w:u w:val="none" w:color="auto"/>
          <w:lang w:val="en-US" w:eastAsia="zh-CN"/>
        </w:rPr>
        <w:t xml:space="preserve"> </w:t>
      </w:r>
    </w:p>
    <w:p w14:paraId="494819C0">
      <w:pPr>
        <w:pStyle w:val="3"/>
        <w:keepNext w:val="0"/>
        <w:keepLines w:val="0"/>
        <w:pageBreakBefore w:val="0"/>
        <w:tabs>
          <w:tab w:val="left" w:pos="8285"/>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13A6A8FD">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1" w:name="CALCULATE—ZJCL—tajCltjes_zjclxx"/>
      <w:r>
        <w:rPr>
          <w:rFonts w:hint="eastAsia" w:ascii="仿宋_GB2312" w:hAnsi="仿宋_GB2312" w:eastAsia="仿宋_GB2312" w:cs="仿宋_GB2312"/>
          <w:b w:val="0"/>
          <w:color w:val="000000"/>
          <w:sz w:val="32"/>
          <w:u w:val="none" w:color="auto"/>
        </w:rPr>
        <w:t>1.行政检查通知书，证明证明执法人员检查前已告知当事人行政检查的相关情况。</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2.行政检查审批表，证明证明执法人员的检查事项已通过审批。</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3.抽检购买凭证，证明证明广西民生中检联检测有限公司对样品抽检付款购买合法合规的事实。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4.送达地址确认书，证明证明当事人的送达地址。</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5.后处置现场检查笔录，证明证明执法人员依法到当事人经营场所开展抽检不合格产品后处置的事实。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6.询问笔录，证明证明当事人的违法事实且当事人对违法事实确认。</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7.《召回公告》公示图片，证明证明当事人主动对抽检不合格的“小红泡椒”开展召回行动的事实。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8.经营者《居民身份证》复印件，证明证明经营者符合承担法律责任的个人合法主体身份。</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9.检验报告、食品安全抽样检验结果通知书，证明证明抽样食品“小红泡椒”经检验结果不合格，执法人员将《检验报告》和《食品安全抽样检验结果通知书》送达当事人，由当事人签收相关文书，同时告知当事人对检验结果享有申请复检的权利、途径和期限的事实。</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10.送达回证（检验报告和通知书），证明证明抽查样品“小红泡椒”经检验结果不合格，执法人员将《检验报告》和《食品安全抽样检验结果通知书》送达当事人，当事人</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签收相关文书。</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11.食品安全抽样单及告知书，证明证明被抽样食品“小红泡椒”的详细信息。</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12.经营者《营业执照》复印件、食品经营许可证，证明证明当事人的经营主体资质、经营范围等主体资格情况；经营者办有有效的食品经营许可，符合法定资格。</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13.证据提取单（后处置现场检图片），证明证明当事人正在开门正常对外营业，执法人员依法到当事人经营场所开展抽检不合格食品后处置工作的事实。</w:t>
      </w:r>
      <w:bookmarkEnd w:id="11"/>
      <w:r>
        <w:rPr>
          <w:rFonts w:hint="eastAsia" w:ascii="仿宋_GB2312" w:hAnsi="仿宋_GB2312" w:eastAsia="仿宋_GB2312" w:cs="仿宋_GB2312"/>
          <w:b w:val="0"/>
          <w:bCs/>
          <w:color w:val="000000"/>
          <w:sz w:val="32"/>
          <w:szCs w:val="32"/>
          <w:u w:val="none" w:color="auto"/>
          <w:lang w:val="en-US" w:eastAsia="zh-CN"/>
        </w:rPr>
        <w:t xml:space="preserve"> </w:t>
      </w:r>
    </w:p>
    <w:p w14:paraId="3FF0A2F3">
      <w:pPr>
        <w:pStyle w:val="3"/>
        <w:keepNext w:val="0"/>
        <w:keepLines w:val="0"/>
        <w:pageBreakBefore w:val="0"/>
        <w:tabs>
          <w:tab w:val="left" w:pos="9060"/>
        </w:tabs>
        <w:kinsoku/>
        <w:overflowPunct/>
        <w:topLinePunct w:val="0"/>
        <w:bidi w:val="0"/>
        <w:spacing w:line="240" w:lineRule="auto"/>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2" w:name="CALCULATE—XZCFJDS—cCfgzwsSdrq"/>
      <w:r>
        <w:rPr>
          <w:rFonts w:hint="eastAsia" w:ascii="仿宋_GB2312" w:hAnsi="仿宋_GB2312" w:eastAsia="仿宋_GB2312" w:cs="仿宋_GB2312"/>
          <w:b w:val="0"/>
          <w:color w:val="000000"/>
          <w:sz w:val="32"/>
          <w:u w:val="none" w:color="auto"/>
        </w:rPr>
        <w:t>2026年9月16日</w:t>
      </w:r>
      <w:bookmarkEnd w:id="12"/>
      <w:r>
        <w:rPr>
          <w:rFonts w:hint="eastAsia" w:ascii="仿宋_GB2312" w:hAnsi="仿宋_GB2312" w:eastAsia="仿宋_GB2312" w:cs="仿宋_GB2312"/>
          <w:b w:val="0"/>
          <w:bCs/>
          <w:color w:val="000000"/>
          <w:sz w:val="32"/>
          <w:szCs w:val="32"/>
          <w:u w:val="none" w:color="auto"/>
        </w:rPr>
        <w:t>，本局向当事人送达了本案《行政处罚告知书》(</w:t>
      </w:r>
      <w:bookmarkStart w:id="13" w:name="CALCULATE—XZCFJDS—cCfgzSdwswh"/>
      <w:r>
        <w:rPr>
          <w:rFonts w:hint="eastAsia" w:ascii="仿宋_GB2312" w:hAnsi="仿宋_GB2312" w:eastAsia="仿宋_GB2312" w:cs="仿宋_GB2312"/>
          <w:b w:val="0"/>
          <w:color w:val="000000"/>
          <w:sz w:val="32"/>
          <w:u w:val="none" w:color="auto"/>
        </w:rPr>
        <w:t>融水市监罚告〔2026〕149号</w:t>
      </w:r>
      <w:bookmarkEnd w:id="13"/>
      <w:r>
        <w:rPr>
          <w:rFonts w:hint="eastAsia" w:ascii="仿宋_GB2312" w:hAnsi="仿宋_GB2312" w:eastAsia="仿宋_GB2312" w:cs="仿宋_GB2312"/>
          <w:b w:val="0"/>
          <w:bCs/>
          <w:color w:val="000000"/>
          <w:sz w:val="32"/>
          <w:szCs w:val="32"/>
          <w:u w:val="none" w:color="auto"/>
        </w:rPr>
        <w:t>)，</w:t>
      </w:r>
      <w:bookmarkStart w:id="14"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4"/>
      <w:r>
        <w:rPr>
          <w:rFonts w:hint="eastAsia" w:ascii="仿宋_GB2312" w:hAnsi="仿宋_GB2312" w:eastAsia="仿宋_GB2312" w:cs="仿宋_GB2312"/>
          <w:color w:val="000000"/>
          <w:sz w:val="32"/>
          <w:szCs w:val="32"/>
          <w:u w:val="none"/>
          <w:lang w:eastAsia="zh-CN"/>
        </w:rPr>
        <w:t>视为放弃陈述、申辩权利。</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15C35525">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color w:val="000000"/>
          <w:kern w:val="1"/>
          <w:sz w:val="32"/>
          <w:szCs w:val="32"/>
          <w:u w:val="none" w:color="auto"/>
          <w:lang w:eastAsia="zh-CN"/>
        </w:rPr>
        <w:t>综上所述</w:t>
      </w:r>
      <w:r>
        <w:rPr>
          <w:rFonts w:hint="eastAsia" w:ascii="仿宋_GB2312" w:hAnsi="仿宋_GB2312" w:eastAsia="仿宋_GB2312" w:cs="仿宋_GB2312"/>
          <w:color w:val="000000"/>
          <w:kern w:val="1"/>
          <w:sz w:val="32"/>
          <w:szCs w:val="32"/>
          <w:u w:val="none" w:color="auto"/>
        </w:rPr>
        <w:t>，</w:t>
      </w:r>
      <w:r>
        <w:rPr>
          <w:rFonts w:hint="eastAsia" w:ascii="仿宋_GB2312" w:hAnsi="仿宋_GB2312" w:eastAsia="仿宋_GB2312" w:cs="仿宋_GB2312"/>
          <w:b w:val="0"/>
          <w:color w:val="000000"/>
          <w:sz w:val="32"/>
          <w:u w:val="none" w:color="auto"/>
        </w:rPr>
        <w:t>当事人销售不符合食品安全国家标准食品的行为</w:t>
      </w:r>
      <w:r>
        <w:rPr>
          <w:rFonts w:hint="eastAsia" w:ascii="仿宋_GB2312" w:hAnsi="仿宋_GB2312" w:eastAsia="仿宋_GB2312" w:cs="仿宋_GB2312"/>
          <w:color w:val="000000"/>
          <w:kern w:val="1"/>
          <w:sz w:val="32"/>
          <w:szCs w:val="32"/>
          <w:u w:val="none" w:color="auto"/>
        </w:rPr>
        <w:t>违反了</w:t>
      </w:r>
      <w:r>
        <w:rPr>
          <w:rFonts w:hint="eastAsia" w:ascii="仿宋_GB2312" w:hAnsi="仿宋_GB2312" w:eastAsia="仿宋_GB2312" w:cs="仿宋_GB2312"/>
          <w:b w:val="0"/>
          <w:color w:val="000000"/>
          <w:sz w:val="32"/>
          <w:u w:val="none" w:color="auto"/>
        </w:rPr>
        <w:t>《中华人民共和国食品安全法</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lang w:val="en-US" w:eastAsia="zh-CN"/>
        </w:rPr>
        <w:t>2025修正</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》第三十四条第二项</w:t>
      </w:r>
      <w:r>
        <w:rPr>
          <w:rFonts w:hint="eastAsia" w:ascii="仿宋_GB2312" w:hAnsi="仿宋_GB2312" w:eastAsia="仿宋_GB2312" w:cs="仿宋_GB2312"/>
          <w:b w:val="0"/>
          <w:color w:val="000000"/>
          <w:sz w:val="32"/>
          <w:u w:val="none" w:color="auto"/>
          <w:lang w:eastAsia="zh-CN"/>
        </w:rPr>
        <w:t>：“禁止生产经营下列食品、食品添加剂、食品相关产品：（二）致病性微生物，农药残留、兽药残留、生物毒素、重金属等污染物质以及其他危害人体健康的物质含量超过食品安全标准限量的食品、食品添加剂、食品相关产品；”</w:t>
      </w:r>
      <w:r>
        <w:rPr>
          <w:rFonts w:hint="eastAsia" w:ascii="仿宋_GB2312" w:hAnsi="仿宋_GB2312" w:eastAsia="仿宋_GB2312" w:cs="仿宋_GB2312"/>
          <w:b w:val="0"/>
          <w:color w:val="000000"/>
          <w:sz w:val="32"/>
          <w:u w:val="none" w:color="auto"/>
        </w:rPr>
        <w:t>的规定，构成了销售不符合食品安全标准食品的违法行为，</w:t>
      </w:r>
      <w:r>
        <w:rPr>
          <w:rFonts w:hint="eastAsia" w:ascii="仿宋_GB2312" w:hAnsi="仿宋_GB2312" w:eastAsia="仿宋_GB2312" w:cs="仿宋_GB2312"/>
          <w:b w:val="0"/>
          <w:color w:val="000000"/>
          <w:sz w:val="32"/>
          <w:u w:val="none" w:color="auto"/>
          <w:lang w:eastAsia="zh-CN"/>
        </w:rPr>
        <w:t>应</w:t>
      </w:r>
      <w:r>
        <w:rPr>
          <w:rFonts w:hint="eastAsia" w:ascii="仿宋_GB2312" w:hAnsi="仿宋_GB2312" w:eastAsia="仿宋_GB2312" w:cs="仿宋_GB2312"/>
          <w:b w:val="0"/>
          <w:color w:val="000000"/>
          <w:sz w:val="32"/>
          <w:u w:val="none" w:color="auto"/>
        </w:rPr>
        <w:t>依据《中华人民共和国食品安全法</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lang w:val="en-US" w:eastAsia="zh-CN"/>
        </w:rPr>
        <w:t>2025修正</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》第一百二十四条第一款第一项</w:t>
      </w:r>
      <w:r>
        <w:rPr>
          <w:rFonts w:hint="eastAsia" w:ascii="仿宋_GB2312" w:hAnsi="仿宋_GB2312" w:eastAsia="仿宋_GB2312" w:cs="仿宋_GB2312"/>
          <w:b w:val="0"/>
          <w:color w:val="000000"/>
          <w:sz w:val="32"/>
          <w:u w:val="none" w:color="auto"/>
          <w:lang w:eastAsia="zh-CN"/>
        </w:rPr>
        <w:t>：“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w:t>
      </w:r>
      <w:r>
        <w:rPr>
          <w:rFonts w:hint="eastAsia" w:ascii="仿宋_GB2312" w:hAnsi="仿宋_GB2312" w:eastAsia="仿宋_GB2312" w:cs="仿宋_GB2312"/>
          <w:b w:val="0"/>
          <w:color w:val="000000"/>
          <w:sz w:val="32"/>
          <w:u w:val="none" w:color="auto"/>
        </w:rPr>
        <w:t>的规定进行处罚。鉴于</w:t>
      </w:r>
      <w:r>
        <w:rPr>
          <w:rFonts w:hint="eastAsia" w:ascii="仿宋_GB2312" w:hAnsi="仿宋_GB2312" w:eastAsia="仿宋_GB2312" w:cs="仿宋_GB2312"/>
          <w:b w:val="0"/>
          <w:color w:val="000000"/>
          <w:sz w:val="32"/>
          <w:u w:val="none" w:color="auto"/>
          <w:lang w:eastAsia="zh-CN"/>
        </w:rPr>
        <w:t>立案调查以来本局</w:t>
      </w:r>
      <w:r>
        <w:rPr>
          <w:rFonts w:hint="eastAsia" w:ascii="仿宋_GB2312" w:hAnsi="仿宋_GB2312" w:eastAsia="仿宋_GB2312" w:cs="仿宋_GB2312"/>
          <w:b w:val="0"/>
          <w:color w:val="000000"/>
          <w:sz w:val="32"/>
          <w:u w:val="none" w:color="auto"/>
        </w:rPr>
        <w:t>目前未收到有因当事人违法行为导致发生的食品安全事故报告，未造成重大的社会危害后果，涉案违法货值金额仅为42元，不足一千元。根据《广西壮族自治区市场监督管理行政处罚裁量权适用规定》(桂市监规[2023]3号)第二条</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自治区各级市场监管部门实施行政处罚时，自治区市场监管局制定的行政处罚裁量基准有规定的，下级市场监管部门应当遵照执行;”的规定，当事人的上述情形符合《广西壮族自治区市场监督管理行政处罚裁量基准》(2023版)“六十七、《食品安全法》行政处罚裁量基准”的“序号7”、“适用情形”中“减轻(未造成食品安全事故等人身危害后果且有下列情形之一的:产品未销售;或者产品已经销售且货值金额不足一千元;)”的裁量标准(没收违法所得和违法生产经营的食品、食品添加剂，并可以没收用于违法生产经营的工具、设备、原料等物品;并处5万元以下罚款。)的规定，当事人符合减轻处罚的情形。</w:t>
      </w:r>
    </w:p>
    <w:p w14:paraId="76E47C24">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color w:val="000000"/>
          <w:sz w:val="32"/>
          <w:u w:val="none" w:color="auto"/>
          <w:lang w:eastAsia="zh-CN"/>
        </w:rPr>
        <w:t>同时</w:t>
      </w:r>
      <w:r>
        <w:rPr>
          <w:rFonts w:hint="eastAsia" w:ascii="仿宋_GB2312" w:hAnsi="仿宋_GB2312" w:eastAsia="仿宋_GB2312" w:cs="仿宋_GB2312"/>
          <w:b w:val="0"/>
          <w:color w:val="000000"/>
          <w:sz w:val="32"/>
          <w:u w:val="none" w:color="auto"/>
        </w:rPr>
        <w:t>根据《中华人民共和国食品安全法》第一百二十六条第一款第（三）项</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违反本法规定，有下列情形之一的，由县级以上人民政府食品药品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的规定，责令当事人改正，并对当事人作出警告的行政处罚。</w:t>
      </w:r>
    </w:p>
    <w:p w14:paraId="7D88CD70">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color w:val="000000"/>
          <w:sz w:val="32"/>
          <w:u w:val="none" w:color="auto"/>
        </w:rPr>
        <w:t>综上，</w:t>
      </w:r>
      <w:r>
        <w:rPr>
          <w:rFonts w:hint="eastAsia" w:ascii="仿宋_GB2312" w:hAnsi="仿宋_GB2312" w:eastAsia="仿宋_GB2312" w:cs="仿宋_GB2312"/>
          <w:b w:val="0"/>
          <w:color w:val="000000"/>
          <w:sz w:val="32"/>
          <w:u w:val="none" w:color="auto"/>
          <w:lang w:eastAsia="zh-CN"/>
        </w:rPr>
        <w:t>本局</w:t>
      </w:r>
      <w:r>
        <w:rPr>
          <w:rFonts w:hint="eastAsia" w:ascii="仿宋_GB2312" w:hAnsi="仿宋_GB2312" w:eastAsia="仿宋_GB2312" w:cs="仿宋_GB2312"/>
          <w:b w:val="0"/>
          <w:color w:val="000000"/>
          <w:sz w:val="32"/>
          <w:u w:val="none" w:color="auto"/>
        </w:rPr>
        <w:t>对当事人的以上二个违法行为合并作出如下行政处罚：</w:t>
      </w:r>
    </w:p>
    <w:p w14:paraId="1B39B9C4">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color w:val="000000"/>
          <w:sz w:val="32"/>
          <w:u w:val="none" w:color="auto"/>
        </w:rPr>
        <w:t>1、警告;</w:t>
      </w:r>
    </w:p>
    <w:p w14:paraId="5251AB91">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color w:val="000000"/>
          <w:sz w:val="32"/>
          <w:u w:val="none" w:color="auto"/>
        </w:rPr>
        <w:t>2、没收违法所得壹拾贰元(¥12.00元);</w:t>
      </w:r>
    </w:p>
    <w:p w14:paraId="40A9355F">
      <w:pPr>
        <w:pStyle w:val="3"/>
        <w:keepNext w:val="0"/>
        <w:keepLines w:val="0"/>
        <w:pageBreakBefore w:val="0"/>
        <w:tabs>
          <w:tab w:val="left" w:pos="9060"/>
        </w:tabs>
        <w:kinsoku/>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color w:val="000000"/>
          <w:sz w:val="32"/>
          <w:u w:val="none" w:color="auto"/>
        </w:rPr>
        <w:t>3、罚款壹仟元整（￥1000.00元）。</w:t>
      </w:r>
    </w:p>
    <w:p w14:paraId="16A1672B">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sz w:val="32"/>
          <w:szCs w:val="32"/>
          <w:highlight w:val="none"/>
          <w:u w:val="none" w:color="auto"/>
        </w:rPr>
      </w:pPr>
    </w:p>
    <w:p w14:paraId="58A45A7D">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000000"/>
          <w:sz w:val="32"/>
          <w:szCs w:val="32"/>
          <w:highlight w:val="none"/>
          <w:u w:val="none" w:color="auto"/>
        </w:rPr>
      </w:pPr>
      <w:r>
        <w:rPr>
          <w:rFonts w:hint="eastAsia" w:ascii="仿宋_GB2312" w:hAnsi="仿宋_GB2312" w:eastAsia="仿宋_GB2312" w:cs="仿宋_GB2312"/>
          <w:b w:val="0"/>
          <w:bCs/>
          <w:color w:val="000000"/>
          <w:sz w:val="32"/>
          <w:szCs w:val="32"/>
          <w:highlight w:val="none"/>
          <w:u w:val="none" w:color="auto"/>
        </w:rPr>
        <w:t>当事人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07DCDBDC">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highlight w:val="none"/>
          <w:u w:val="none" w:color="auto"/>
          <w:lang w:val="en-US" w:eastAsia="zh-CN"/>
        </w:rPr>
      </w:pPr>
      <w:r>
        <w:rPr>
          <w:rFonts w:hint="eastAsia" w:ascii="仿宋_GB2312" w:hAnsi="仿宋_GB2312" w:eastAsia="仿宋_GB2312" w:cs="仿宋_GB2312"/>
          <w:b w:val="0"/>
          <w:bCs/>
          <w:color w:val="000000"/>
          <w:sz w:val="32"/>
          <w:szCs w:val="32"/>
          <w:highlight w:val="none"/>
          <w:u w:val="none" w:color="auto"/>
        </w:rPr>
        <w:t>当事人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72EAA674">
      <w:pPr>
        <w:keepNext w:val="0"/>
        <w:keepLines w:val="0"/>
        <w:pageBreakBefore w:val="0"/>
        <w:widowControl/>
        <w:kinsoku/>
        <w:overflowPunct/>
        <w:topLinePunct w:val="0"/>
        <w:bidi w:val="0"/>
        <w:snapToGrid w:val="0"/>
        <w:spacing w:line="520" w:lineRule="exact"/>
        <w:ind w:firstLine="640" w:firstLineChars="200"/>
        <w:jc w:val="left"/>
        <w:textAlignment w:val="auto"/>
        <w:rPr>
          <w:rFonts w:ascii="Times New Roman" w:hAnsi="Times New Roman" w:eastAsia="仿宋_GB2312" w:cs="仿宋_GB2312"/>
          <w:color w:val="auto"/>
          <w:sz w:val="32"/>
          <w:szCs w:val="32"/>
          <w:u w:val="none" w:color="auto"/>
        </w:rPr>
      </w:pPr>
    </w:p>
    <w:p w14:paraId="5F1884C3">
      <w:pPr>
        <w:keepNext w:val="0"/>
        <w:keepLines w:val="0"/>
        <w:pageBreakBefore w:val="0"/>
        <w:widowControl/>
        <w:kinsoku/>
        <w:overflowPunct/>
        <w:topLinePunct w:val="0"/>
        <w:bidi w:val="0"/>
        <w:snapToGrid w:val="0"/>
        <w:spacing w:line="520" w:lineRule="exact"/>
        <w:ind w:firstLine="640" w:firstLineChars="200"/>
        <w:jc w:val="left"/>
        <w:textAlignment w:val="auto"/>
        <w:rPr>
          <w:rFonts w:hint="eastAsia" w:ascii="Times New Roman" w:hAnsi="Times New Roman" w:eastAsia="仿宋_GB2312" w:cs="仿宋_GB2312"/>
          <w:color w:val="auto"/>
          <w:sz w:val="32"/>
          <w:szCs w:val="32"/>
          <w:u w:val="none" w:color="auto"/>
          <w:lang w:val="en-US" w:eastAsia="zh-Hans"/>
        </w:rPr>
      </w:pPr>
    </w:p>
    <w:p w14:paraId="76FE61DC">
      <w:pPr>
        <w:keepNext w:val="0"/>
        <w:keepLines w:val="0"/>
        <w:pageBreakBefore w:val="0"/>
        <w:kinsoku/>
        <w:overflowPunct/>
        <w:topLinePunct w:val="0"/>
        <w:bidi w:val="0"/>
        <w:spacing w:line="560" w:lineRule="exact"/>
        <w:ind w:right="640" w:firstLine="640" w:firstLineChars="200"/>
        <w:jc w:val="right"/>
        <w:textAlignment w:val="auto"/>
        <w:rPr>
          <w:rFonts w:ascii="Times New Roman" w:hAnsi="Times New Roman" w:eastAsia="仿宋_GB2312" w:cs="仿宋"/>
          <w:color w:val="auto"/>
          <w:sz w:val="32"/>
          <w:szCs w:val="32"/>
          <w:u w:val="none" w:color="auto"/>
        </w:rPr>
      </w:pPr>
      <w:bookmarkStart w:id="15" w:name="DYNAMIC—DWXX—tAj_dwmc—2"/>
      <w:r>
        <w:rPr>
          <w:rFonts w:hint="eastAsia" w:ascii="Times New Roman" w:hAnsi="Times New Roman" w:eastAsia="仿宋_GB2312" w:cs="仿宋"/>
          <w:color w:val="000000"/>
          <w:sz w:val="32"/>
          <w:u w:val="none" w:color="auto"/>
        </w:rPr>
        <w:t>融水苗族自治县市场监督管理局</w:t>
      </w:r>
      <w:bookmarkEnd w:id="15"/>
      <w:r>
        <w:rPr>
          <w:rFonts w:hint="eastAsia" w:ascii="Times New Roman" w:hAnsi="Times New Roman" w:eastAsia="仿宋_GB2312" w:cs="仿宋"/>
          <w:color w:val="000000"/>
          <w:sz w:val="32"/>
          <w:szCs w:val="32"/>
          <w:u w:val="none" w:color="auto"/>
        </w:rPr>
        <w:t xml:space="preserve">    </w:t>
      </w:r>
    </w:p>
    <w:p w14:paraId="02B90260">
      <w:pPr>
        <w:keepNext w:val="0"/>
        <w:keepLines w:val="0"/>
        <w:pageBreakBefore w:val="0"/>
        <w:kinsoku/>
        <w:overflowPunct/>
        <w:topLinePunct w:val="0"/>
        <w:bidi w:val="0"/>
        <w:spacing w:line="560" w:lineRule="exact"/>
        <w:ind w:right="640" w:firstLine="640" w:firstLineChars="200"/>
        <w:jc w:val="right"/>
        <w:textAlignment w:val="auto"/>
        <w:outlineLvl w:val="1"/>
        <w:rPr>
          <w:rFonts w:ascii="Times New Roman" w:hAnsi="Times New Roman" w:eastAsia="仿宋_GB2312" w:cs="仿宋"/>
          <w:color w:val="auto"/>
          <w:sz w:val="32"/>
          <w:szCs w:val="32"/>
          <w:u w:val="none" w:color="auto"/>
        </w:rPr>
      </w:pPr>
      <w:r>
        <w:rPr>
          <w:rFonts w:hint="eastAsia" w:ascii="Times New Roman" w:hAnsi="Times New Roman" w:eastAsia="仿宋_GB2312" w:cs="仿宋"/>
          <w:color w:val="000000"/>
          <w:sz w:val="32"/>
          <w:szCs w:val="32"/>
          <w:u w:val="none" w:color="auto"/>
        </w:rPr>
        <w:t>（印 章）</w:t>
      </w:r>
    </w:p>
    <w:p w14:paraId="537FB773">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40" w:firstLineChars="200"/>
        <w:jc w:val="right"/>
        <w:textAlignment w:val="auto"/>
        <w:outlineLvl w:val="9"/>
        <w:rPr>
          <w:rFonts w:ascii="Times New Roman" w:hAnsi="Times New Roman" w:eastAsia="仿宋_GB2312" w:cs="仿宋_GB2312"/>
          <w:color w:val="auto"/>
          <w:sz w:val="32"/>
          <w:szCs w:val="32"/>
          <w:u w:val="none" w:color="auto"/>
        </w:rPr>
      </w:pPr>
      <w:bookmarkStart w:id="16" w:name="CALCULATE—TIME—NOW"/>
      <w:r>
        <w:rPr>
          <w:rFonts w:ascii="仿宋_GB2312" w:hAnsi="仿宋_GB2312" w:eastAsia="仿宋_GB2312" w:cs="仿宋_GB2312"/>
          <w:sz w:val="32"/>
        </w:rPr>
        <w:t>2026年09月23日</w:t>
      </w:r>
      <w:bookmarkEnd w:id="16"/>
      <w:r>
        <w:rPr>
          <w:rFonts w:hint="eastAsia" w:ascii="Times New Roman" w:hAnsi="Times New Roman" w:eastAsia="仿宋_GB2312" w:cs="仿宋_GB2312"/>
          <w:color w:val="000000"/>
          <w:sz w:val="32"/>
          <w:szCs w:val="32"/>
          <w:u w:val="none" w:color="auto"/>
        </w:rPr>
        <w:t xml:space="preserve">  </w:t>
      </w:r>
    </w:p>
    <w:p w14:paraId="720A5063">
      <w:pPr>
        <w:keepNext w:val="0"/>
        <w:keepLines w:val="0"/>
        <w:pageBreakBefore w:val="0"/>
        <w:widowControl/>
        <w:kinsoku/>
        <w:overflowPunct/>
        <w:topLinePunct w:val="0"/>
        <w:bidi w:val="0"/>
        <w:snapToGrid w:val="0"/>
        <w:spacing w:line="520" w:lineRule="exact"/>
        <w:ind w:firstLine="640" w:firstLineChars="200"/>
        <w:jc w:val="right"/>
        <w:textAlignment w:val="auto"/>
        <w:rPr>
          <w:rFonts w:ascii="Times New Roman" w:hAnsi="Times New Roman" w:eastAsia="仿宋_GB2312" w:cs="Mongolian Baiti"/>
          <w:color w:val="auto"/>
          <w:sz w:val="32"/>
          <w:szCs w:val="32"/>
          <w:u w:val="none" w:color="auto"/>
        </w:rPr>
      </w:pPr>
    </w:p>
    <w:p w14:paraId="01766560">
      <w:pPr>
        <w:pStyle w:val="3"/>
        <w:keepNext w:val="0"/>
        <w:keepLines w:val="0"/>
        <w:pageBreakBefore w:val="0"/>
        <w:kinsoku/>
        <w:overflowPunct/>
        <w:topLinePunct w:val="0"/>
        <w:bidi w:val="0"/>
        <w:spacing w:before="1"/>
        <w:ind w:left="163" w:firstLine="640" w:firstLineChars="200"/>
        <w:textAlignment w:val="auto"/>
        <w:rPr>
          <w:rFonts w:ascii="Times New Roman" w:hAnsi="Times New Roman" w:eastAsia="仿宋_GB2312" w:cs="仿宋"/>
          <w:bCs/>
          <w:color w:val="auto"/>
          <w:sz w:val="44"/>
          <w:szCs w:val="44"/>
          <w:u w:val="none" w:color="auto"/>
        </w:rPr>
      </w:pPr>
      <w:r>
        <w:rPr>
          <w:rFonts w:ascii="Times New Roman" w:hAnsi="Times New Roman" w:eastAsia="仿宋_GB2312"/>
          <w:color w:val="000000"/>
          <w:sz w:val="32"/>
          <w:u w:val="none" w:color="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color="auto"/>
        </w:rPr>
        <w:t>（市场监督管理部门将依法向社会公开行政处罚决定信息）</w:t>
      </w:r>
    </w:p>
    <w:p w14:paraId="08C0FE5C">
      <w:pPr>
        <w:keepNext w:val="0"/>
        <w:keepLines w:val="0"/>
        <w:pageBreakBefore w:val="0"/>
        <w:kinsoku/>
        <w:overflowPunct/>
        <w:topLinePunct w:val="0"/>
        <w:bidi w:val="0"/>
        <w:spacing w:line="500" w:lineRule="exact"/>
        <w:ind w:firstLine="640" w:firstLineChars="200"/>
        <w:jc w:val="center"/>
        <w:textAlignment w:val="auto"/>
        <w:rPr>
          <w:color w:val="auto"/>
          <w:u w:val="none" w:color="auto"/>
        </w:rPr>
      </w:pPr>
      <w:r>
        <w:rPr>
          <w:rFonts w:ascii="Times New Roman" w:hAnsi="Times New Roman" w:eastAsia="仿宋_GB2312" w:cs="仿宋"/>
          <w:bCs/>
          <w:color w:val="000000"/>
          <w:sz w:val="32"/>
          <w:szCs w:val="32"/>
          <w:u w:val="none" w:color="auto"/>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color="auto"/>
        </w:rPr>
        <w:t>本文书一式</w:t>
      </w:r>
      <w:r>
        <w:rPr>
          <w:rFonts w:hint="eastAsia" w:ascii="Times New Roman" w:hAnsi="Times New Roman" w:eastAsia="仿宋_GB2312" w:cs="仿宋"/>
          <w:color w:val="000000"/>
          <w:sz w:val="32"/>
          <w:szCs w:val="32"/>
          <w:u w:val="none" w:color="auto"/>
          <w:lang w:eastAsia="zh-CN"/>
        </w:rPr>
        <w:t>二</w:t>
      </w:r>
      <w:r>
        <w:rPr>
          <w:rFonts w:hint="eastAsia" w:ascii="Times New Roman" w:hAnsi="Times New Roman" w:eastAsia="仿宋_GB2312" w:cs="仿宋"/>
          <w:color w:val="000000"/>
          <w:sz w:val="32"/>
          <w:szCs w:val="32"/>
          <w:u w:val="none" w:color="auto"/>
        </w:rPr>
        <w:t>份，</w:t>
      </w:r>
      <w:r>
        <w:rPr>
          <w:rFonts w:hint="eastAsia" w:ascii="Times New Roman" w:hAnsi="Times New Roman" w:eastAsia="仿宋_GB2312" w:cs="仿宋"/>
          <w:color w:val="000000"/>
          <w:sz w:val="32"/>
          <w:szCs w:val="32"/>
          <w:u w:val="none" w:color="auto"/>
          <w:lang w:eastAsia="zh-CN"/>
        </w:rPr>
        <w:t>一</w:t>
      </w:r>
      <w:r>
        <w:rPr>
          <w:rFonts w:hint="eastAsia" w:ascii="Times New Roman" w:hAnsi="Times New Roman" w:eastAsia="仿宋_GB2312" w:cs="仿宋"/>
          <w:color w:val="000000"/>
          <w:sz w:val="32"/>
          <w:szCs w:val="32"/>
          <w:u w:val="none" w:color="auto"/>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33DA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EA78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8EA78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1B31998"/>
    <w:rsid w:val="02B83402"/>
    <w:rsid w:val="042774DD"/>
    <w:rsid w:val="048D2705"/>
    <w:rsid w:val="04CD463F"/>
    <w:rsid w:val="04FA4431"/>
    <w:rsid w:val="05C51508"/>
    <w:rsid w:val="06476E0A"/>
    <w:rsid w:val="06BAE61F"/>
    <w:rsid w:val="071C7669"/>
    <w:rsid w:val="07580619"/>
    <w:rsid w:val="0776795A"/>
    <w:rsid w:val="07DA78EE"/>
    <w:rsid w:val="08365B64"/>
    <w:rsid w:val="087864F3"/>
    <w:rsid w:val="08C21DEA"/>
    <w:rsid w:val="08C62F1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842F42"/>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A566C0C"/>
    <w:rsid w:val="2B0674C1"/>
    <w:rsid w:val="2B1B3EFC"/>
    <w:rsid w:val="2CEA3815"/>
    <w:rsid w:val="2D144EEA"/>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3C5DD6"/>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04420B"/>
    <w:rsid w:val="458F64B9"/>
    <w:rsid w:val="45C51FFB"/>
    <w:rsid w:val="46157ACD"/>
    <w:rsid w:val="47243FC5"/>
    <w:rsid w:val="48C10000"/>
    <w:rsid w:val="4A555101"/>
    <w:rsid w:val="4ADF49AE"/>
    <w:rsid w:val="4B8F0B22"/>
    <w:rsid w:val="4BB45A35"/>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3189</Words>
  <Characters>3420</Characters>
  <Lines>0</Lines>
  <Paragraphs>0</Paragraphs>
  <TotalTime>19</TotalTime>
  <ScaleCrop>false</ScaleCrop>
  <LinksUpToDate>false</LinksUpToDate>
  <CharactersWithSpaces>3812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2026-09-29T01:45:28Z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A8EB59F27A1343E7B725441C87C3429D_13</vt:lpwstr>
  </property>
  <property fmtid="{D5CDD505-2E9C-101B-9397-08002B2CF9AE}" pid="4" name="KSOTemplateDocerSaveRecord">
    <vt:lpwstr>eyJoZGlkIjoiZTY4OTVhZWZkODk3MDRjN2EyZWU0ZGY2MWJlMzliZDYiLCJ1c2VySWQiOiI1MzcwODExMDYifQ==</vt:lpwstr>
  </property>
</Properties>
</file>