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67A9A7">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000000"/>
          <w:sz w:val="44"/>
          <w:u w:val="none"/>
        </w:rPr>
        <w:t>融水苗族自治县市场监督管理局</w:t>
      </w:r>
      <w:bookmarkEnd w:id="0"/>
    </w:p>
    <w:p w14:paraId="101DAABB">
      <w:pPr>
        <w:pStyle w:val="3"/>
        <w:keepNext w:val="0"/>
        <w:numPr>
          <w:ilvl w:val="0"/>
          <w:numId w:val="2"/>
        </w:numPr>
        <w:spacing w:before="0" w:after="0" w:line="640" w:lineRule="exact"/>
        <w:jc w:val="center"/>
        <w:rPr>
          <w:rFonts w:hint="eastAsia"/>
        </w:rPr>
      </w:pPr>
      <w:bookmarkStart w:id="1" w:name="_Toc76683344"/>
      <w:r>
        <w:rPr>
          <w:rFonts w:hint="eastAsia" w:hAnsi="方正小标宋简体" w:eastAsia="方正小标宋简体" w:cs="方正小标宋简体"/>
          <w:color w:val="000000"/>
          <w:sz w:val="44"/>
          <w:szCs w:val="44"/>
          <w:u w:val="none"/>
          <w:lang w:val="en-US"/>
        </w:rPr>
        <w:t>行政处罚</w:t>
      </w:r>
      <w:r>
        <w:rPr>
          <w:rFonts w:hint="eastAsia" w:hAnsi="方正小标宋简体" w:eastAsia="方正小标宋简体" w:cs="方正小标宋简体"/>
          <w:color w:val="000000"/>
          <w:sz w:val="44"/>
          <w:szCs w:val="44"/>
          <w:u w:val="none"/>
          <w:lang w:val="en-US" w:eastAsia="zh-Hans"/>
        </w:rPr>
        <w:t>决定</w:t>
      </w:r>
      <w:r>
        <w:rPr>
          <w:rFonts w:hint="eastAsia" w:hAnsi="方正小标宋简体" w:eastAsia="方正小标宋简体" w:cs="方正小标宋简体"/>
          <w:color w:val="000000"/>
          <w:sz w:val="44"/>
          <w:szCs w:val="44"/>
          <w:u w:val="none"/>
          <w:lang w:val="en-US"/>
        </w:rPr>
        <w:t>书</w:t>
      </w:r>
      <w:bookmarkEnd w:id="1"/>
    </w:p>
    <w:p w14:paraId="30D4B7D3">
      <w:pPr>
        <w:widowControl/>
        <w:snapToGrid w:val="0"/>
        <w:spacing w:line="560" w:lineRule="exact"/>
        <w:ind w:right="55"/>
        <w:jc w:val="center"/>
        <w:outlineLvl w:val="1"/>
        <w:rPr>
          <w:rFonts w:hint="eastAsia" w:ascii="Times New Roman" w:hAnsi="Times New Roman" w:eastAsia="仿宋_GB2312" w:cs="Mongolian Baiti"/>
          <w:color w:val="000000"/>
          <w:sz w:val="32"/>
          <w:u w:val="none"/>
        </w:rPr>
      </w:pPr>
      <w:bookmarkStart w:id="2" w:name="tAj_wh"/>
      <w:r>
        <w:rPr>
          <w:rFonts w:hint="eastAsia" w:ascii="Times New Roman" w:hAnsi="Times New Roman" w:eastAsia="仿宋_GB2312" w:cs="Mongolian Baiti"/>
          <w:color w:val="000000"/>
          <w:sz w:val="32"/>
          <w:u w:val="none"/>
        </w:rPr>
        <w:t>融水市监处罚〔2026〕159号</w:t>
      </w:r>
      <w:bookmarkEnd w:id="2"/>
    </w:p>
    <w:p w14:paraId="425A1352">
      <w:pPr>
        <w:pStyle w:val="2"/>
        <w:rPr>
          <w:rFonts w:hint="eastAsia"/>
        </w:rPr>
      </w:pPr>
    </w:p>
    <w:p w14:paraId="6CB3BEDA">
      <w:pPr>
        <w:pStyle w:val="2"/>
        <w:rPr>
          <w:rFonts w:hint="eastAsia"/>
        </w:rPr>
      </w:pPr>
    </w:p>
    <w:p w14:paraId="3755A8E5">
      <w:pPr>
        <w:keepNext w:val="0"/>
        <w:keepLines w:val="0"/>
        <w:pageBreakBefore w:val="0"/>
        <w:widowControl w:val="0"/>
        <w:kinsoku/>
        <w:wordWrap/>
        <w:overflowPunct/>
        <w:topLinePunct w:val="0"/>
        <w:autoSpaceDE/>
        <w:autoSpaceDN/>
        <w:bidi w:val="0"/>
        <w:snapToGrid/>
        <w:spacing w:line="600" w:lineRule="exact"/>
        <w:jc w:val="left"/>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000000"/>
          <w:sz w:val="32"/>
          <w:szCs w:val="32"/>
          <w:u w:val="none"/>
        </w:rPr>
        <w:t>当事人</w:t>
      </w:r>
      <w:r>
        <w:rPr>
          <w:rFonts w:hint="eastAsia" w:ascii="仿宋_GB2312" w:hAnsi="仿宋_GB2312" w:eastAsia="仿宋_GB2312" w:cs="仿宋_GB2312"/>
          <w:color w:val="000000"/>
          <w:sz w:val="32"/>
          <w:szCs w:val="32"/>
          <w:u w:val="none"/>
          <w:lang w:eastAsia="zh-CN"/>
        </w:rPr>
        <w:t>（自然人）</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eastAsia="zh-CN"/>
        </w:rPr>
        <w:t>梁栩灏</w:t>
      </w:r>
      <w:r>
        <w:rPr>
          <w:rFonts w:hint="eastAsia" w:ascii="仿宋_GB2312" w:hAnsi="仿宋_GB2312" w:eastAsia="仿宋_GB2312" w:cs="仿宋_GB2312"/>
          <w:color w:val="000000"/>
          <w:sz w:val="32"/>
          <w:szCs w:val="32"/>
          <w:u w:val="none"/>
        </w:rPr>
        <w:t xml:space="preserve">                                            </w:t>
      </w:r>
    </w:p>
    <w:p w14:paraId="7DB282EE">
      <w:pPr>
        <w:keepNext w:val="0"/>
        <w:keepLines w:val="0"/>
        <w:pageBreakBefore w:val="0"/>
        <w:widowControl w:val="0"/>
        <w:kinsoku/>
        <w:wordWrap/>
        <w:overflowPunct/>
        <w:topLinePunct w:val="0"/>
        <w:autoSpaceDE/>
        <w:autoSpaceDN/>
        <w:bidi w:val="0"/>
        <w:snapToGrid/>
        <w:spacing w:line="600" w:lineRule="exact"/>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000000"/>
          <w:sz w:val="32"/>
          <w:szCs w:val="32"/>
          <w:u w:val="none"/>
        </w:rPr>
        <w:t>主体资格证照名称：</w:t>
      </w:r>
      <w:r>
        <w:rPr>
          <w:rFonts w:hint="eastAsia" w:ascii="仿宋_GB2312" w:hAnsi="仿宋_GB2312" w:eastAsia="仿宋_GB2312" w:cs="仿宋_GB2312"/>
          <w:color w:val="000000"/>
          <w:sz w:val="32"/>
          <w:szCs w:val="32"/>
          <w:u w:val="none"/>
          <w:lang w:eastAsia="zh-CN"/>
        </w:rPr>
        <w:t>户籍证明（人员基本信息）</w:t>
      </w:r>
    </w:p>
    <w:p w14:paraId="64ABAA0C">
      <w:pPr>
        <w:keepNext w:val="0"/>
        <w:keepLines w:val="0"/>
        <w:pageBreakBefore w:val="0"/>
        <w:widowControl w:val="0"/>
        <w:kinsoku/>
        <w:wordWrap/>
        <w:overflowPunct/>
        <w:topLinePunct w:val="0"/>
        <w:autoSpaceDE/>
        <w:autoSpaceDN/>
        <w:bidi w:val="0"/>
        <w:snapToGrid/>
        <w:spacing w:line="600" w:lineRule="exact"/>
        <w:jc w:val="left"/>
        <w:rPr>
          <w:rFonts w:hint="eastAsia"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b w:val="0"/>
          <w:bCs w:val="0"/>
          <w:color w:val="000000"/>
          <w:spacing w:val="20"/>
          <w:sz w:val="32"/>
          <w:szCs w:val="32"/>
          <w:u w:val="none"/>
          <w:lang w:eastAsia="zh-CN"/>
        </w:rPr>
        <w:t>身份证号</w:t>
      </w:r>
      <w:r>
        <w:rPr>
          <w:rFonts w:hint="eastAsia" w:ascii="仿宋_GB2312" w:hAnsi="仿宋_GB2312" w:eastAsia="仿宋_GB2312" w:cs="仿宋_GB2312"/>
          <w:color w:val="000000"/>
          <w:spacing w:val="-2"/>
          <w:sz w:val="32"/>
          <w:szCs w:val="32"/>
          <w:u w:val="none"/>
          <w:lang w:val="en-US" w:eastAsia="zh-CN"/>
        </w:rPr>
        <w:t>：</w:t>
      </w:r>
      <w:r>
        <w:rPr>
          <w:rFonts w:hint="eastAsia" w:ascii="仿宋_GB2312" w:hAnsi="仿宋_GB2312" w:eastAsia="仿宋_GB2312" w:cs="仿宋_GB2312"/>
          <w:color w:val="000000"/>
          <w:sz w:val="32"/>
          <w:szCs w:val="32"/>
          <w:u w:val="none"/>
          <w:lang w:val="en-US" w:eastAsia="zh-CN"/>
        </w:rPr>
        <w:t>452229200505******</w:t>
      </w:r>
    </w:p>
    <w:p w14:paraId="65ADFCE6">
      <w:pPr>
        <w:keepNext w:val="0"/>
        <w:keepLines w:val="0"/>
        <w:pageBreakBefore w:val="0"/>
        <w:widowControl w:val="0"/>
        <w:kinsoku/>
        <w:wordWrap/>
        <w:overflowPunct/>
        <w:topLinePunct w:val="0"/>
        <w:autoSpaceDE/>
        <w:autoSpaceDN/>
        <w:bidi w:val="0"/>
        <w:snapToGrid/>
        <w:spacing w:line="600" w:lineRule="exact"/>
        <w:jc w:val="left"/>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000000"/>
          <w:sz w:val="32"/>
          <w:szCs w:val="32"/>
          <w:u w:val="none"/>
          <w:lang w:eastAsia="zh-CN"/>
        </w:rPr>
        <w:t>性别：男</w:t>
      </w:r>
    </w:p>
    <w:p w14:paraId="0D62B83B">
      <w:pPr>
        <w:keepNext w:val="0"/>
        <w:keepLines w:val="0"/>
        <w:pageBreakBefore w:val="0"/>
        <w:widowControl w:val="0"/>
        <w:kinsoku/>
        <w:wordWrap/>
        <w:overflowPunct/>
        <w:topLinePunct w:val="0"/>
        <w:autoSpaceDE/>
        <w:autoSpaceDN/>
        <w:bidi w:val="0"/>
        <w:snapToGrid/>
        <w:spacing w:line="600" w:lineRule="exact"/>
        <w:jc w:val="left"/>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000000"/>
          <w:sz w:val="32"/>
          <w:szCs w:val="32"/>
          <w:u w:val="none"/>
          <w:lang w:eastAsia="zh-CN"/>
        </w:rPr>
        <w:t>民族：苗族</w:t>
      </w:r>
      <w:r>
        <w:rPr>
          <w:rFonts w:hint="eastAsia" w:ascii="仿宋_GB2312" w:hAnsi="仿宋_GB2312" w:eastAsia="仿宋_GB2312" w:cs="仿宋_GB2312"/>
          <w:color w:val="000000"/>
          <w:sz w:val="32"/>
          <w:szCs w:val="32"/>
          <w:u w:val="none"/>
        </w:rPr>
        <w:t xml:space="preserve">                           </w:t>
      </w:r>
    </w:p>
    <w:p w14:paraId="5C47CC0C">
      <w:pPr>
        <w:keepNext w:val="0"/>
        <w:keepLines w:val="0"/>
        <w:pageBreakBefore w:val="0"/>
        <w:widowControl w:val="0"/>
        <w:kinsoku/>
        <w:wordWrap/>
        <w:overflowPunct/>
        <w:topLinePunct w:val="0"/>
        <w:autoSpaceDE/>
        <w:autoSpaceDN/>
        <w:bidi w:val="0"/>
        <w:adjustRightInd w:val="0"/>
        <w:snapToGrid/>
        <w:spacing w:line="600" w:lineRule="exact"/>
        <w:jc w:val="left"/>
        <w:textAlignment w:val="baseline"/>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000000"/>
          <w:sz w:val="32"/>
          <w:szCs w:val="32"/>
          <w:u w:val="none"/>
          <w:lang w:val="en-US" w:eastAsia="zh-CN"/>
        </w:rPr>
        <w:t>住址：</w:t>
      </w:r>
      <w:r>
        <w:rPr>
          <w:rFonts w:hint="eastAsia" w:ascii="仿宋_GB2312" w:hAnsi="仿宋_GB2312" w:eastAsia="仿宋_GB2312" w:cs="仿宋_GB2312"/>
          <w:color w:val="000000"/>
          <w:sz w:val="32"/>
          <w:szCs w:val="32"/>
          <w:u w:val="none"/>
        </w:rPr>
        <w:t>广西融水</w:t>
      </w:r>
      <w:r>
        <w:rPr>
          <w:rFonts w:hint="eastAsia" w:ascii="仿宋_GB2312" w:hAnsi="仿宋_GB2312" w:eastAsia="仿宋_GB2312" w:cs="仿宋_GB2312"/>
          <w:color w:val="000000"/>
          <w:sz w:val="32"/>
          <w:szCs w:val="32"/>
          <w:u w:val="none"/>
          <w:lang w:eastAsia="zh-CN"/>
        </w:rPr>
        <w:t>苗族自治县香粉乡香洲街</w:t>
      </w:r>
      <w:r>
        <w:rPr>
          <w:rFonts w:hint="eastAsia" w:ascii="仿宋_GB2312" w:hAnsi="仿宋_GB2312" w:eastAsia="仿宋_GB2312" w:cs="仿宋_GB2312"/>
          <w:color w:val="000000"/>
          <w:sz w:val="32"/>
          <w:szCs w:val="32"/>
          <w:u w:val="none"/>
          <w:lang w:val="en-US" w:eastAsia="zh-CN"/>
        </w:rPr>
        <w:t>******</w:t>
      </w:r>
      <w:bookmarkStart w:id="7" w:name="_GoBack"/>
      <w:bookmarkEnd w:id="7"/>
      <w:r>
        <w:rPr>
          <w:rFonts w:hint="eastAsia" w:ascii="仿宋_GB2312" w:hAnsi="仿宋_GB2312" w:eastAsia="仿宋_GB2312" w:cs="仿宋_GB2312"/>
          <w:color w:val="000000"/>
          <w:sz w:val="32"/>
          <w:szCs w:val="32"/>
          <w:u w:val="none"/>
        </w:rPr>
        <w:t xml:space="preserve">                                 </w:t>
      </w:r>
      <w:r>
        <w:rPr>
          <w:rFonts w:hint="eastAsia" w:ascii="仿宋_GB2312" w:hAnsi="仿宋_GB2312" w:eastAsia="仿宋_GB2312" w:cs="仿宋_GB2312"/>
          <w:color w:val="000000"/>
          <w:sz w:val="32"/>
          <w:szCs w:val="32"/>
          <w:u w:val="none"/>
          <w:lang w:val="en-US" w:eastAsia="zh-CN"/>
        </w:rPr>
        <w:t xml:space="preserve">  </w:t>
      </w:r>
      <w:r>
        <w:rPr>
          <w:rFonts w:hint="eastAsia" w:ascii="仿宋_GB2312" w:hAnsi="仿宋_GB2312" w:eastAsia="仿宋_GB2312" w:cs="仿宋_GB2312"/>
          <w:color w:val="000000"/>
          <w:sz w:val="32"/>
          <w:szCs w:val="32"/>
          <w:u w:val="none"/>
        </w:rPr>
        <w:t xml:space="preserve">                       </w:t>
      </w:r>
    </w:p>
    <w:p w14:paraId="17788BE1">
      <w:pPr>
        <w:pStyle w:val="2"/>
        <w:rPr>
          <w:rFonts w:hint="eastAsia"/>
        </w:rPr>
      </w:pPr>
    </w:p>
    <w:p w14:paraId="1DF6FC77">
      <w:pPr>
        <w:pStyle w:val="2"/>
        <w:rPr>
          <w:rFonts w:hint="eastAsia"/>
        </w:rPr>
      </w:pPr>
    </w:p>
    <w:p w14:paraId="3A8F82EF">
      <w:pPr>
        <w:keepNext w:val="0"/>
        <w:keepLines w:val="0"/>
        <w:pageBreakBefore w:val="0"/>
        <w:wordWrap/>
        <w:overflowPunct/>
        <w:topLinePunct w:val="0"/>
        <w:bidi w:val="0"/>
        <w:spacing w:line="540" w:lineRule="exact"/>
        <w:ind w:firstLine="640" w:firstLineChars="200"/>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ascii="仿宋_GB2312" w:hAnsi="仿宋_GB2312" w:eastAsia="仿宋_GB2312" w:cs="仿宋_GB2312"/>
          <w:sz w:val="32"/>
        </w:rPr>
        <w:t>2026年09月20日</w:t>
      </w:r>
      <w:bookmarkStart w:id="3" w:name="CALCULATE—TIME—NOW"/>
      <w:r>
        <w:rPr>
          <w:rFonts w:hint="eastAsia" w:ascii="仿宋_GB2312" w:hAnsi="仿宋_GB2312" w:eastAsia="仿宋_GB2312" w:cs="仿宋_GB2312"/>
          <w:color w:val="000000" w:themeColor="text1"/>
          <w:sz w:val="32"/>
          <w:szCs w:val="32"/>
          <w:u w:val="none"/>
          <w14:textFill>
            <w14:solidFill>
              <w14:schemeClr w14:val="tx1"/>
            </w14:solidFill>
          </w14:textFill>
        </w:rPr>
        <w:t>202</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u w:val="none"/>
          <w14:textFill>
            <w14:solidFill>
              <w14:schemeClr w14:val="tx1"/>
            </w14:solidFill>
          </w14:textFill>
        </w:rPr>
        <w:t>年</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u w:val="none"/>
          <w14:textFill>
            <w14:solidFill>
              <w14:schemeClr w14:val="tx1"/>
            </w14:solidFill>
          </w14:textFill>
        </w:rPr>
        <w:t>月1</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u w:val="none"/>
          <w14:textFill>
            <w14:solidFill>
              <w14:schemeClr w14:val="tx1"/>
            </w14:solidFill>
          </w14:textFill>
        </w:rPr>
        <w:t>日，融水苗族自治县人民检察院</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向本局移送</w:t>
      </w:r>
      <w:r>
        <w:rPr>
          <w:rFonts w:hint="eastAsia" w:ascii="仿宋_GB2312" w:hAnsi="仿宋_GB2312" w:eastAsia="仿宋_GB2312" w:cs="仿宋_GB2312"/>
          <w:color w:val="000000" w:themeColor="text1"/>
          <w:sz w:val="32"/>
          <w:szCs w:val="32"/>
          <w:u w:val="none"/>
          <w14:textFill>
            <w14:solidFill>
              <w14:schemeClr w14:val="tx1"/>
            </w14:solidFill>
          </w14:textFill>
        </w:rPr>
        <w:t>《检察意见书》（融水检刑行意[202</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u w:val="none"/>
          <w14:textFill>
            <w14:solidFill>
              <w14:schemeClr w14:val="tx1"/>
            </w14:solidFill>
          </w14:textFill>
        </w:rPr>
        <w:t>]</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21</w:t>
      </w:r>
      <w:r>
        <w:rPr>
          <w:rFonts w:hint="eastAsia" w:ascii="仿宋_GB2312" w:hAnsi="仿宋_GB2312" w:eastAsia="仿宋_GB2312" w:cs="仿宋_GB2312"/>
          <w:color w:val="000000" w:themeColor="text1"/>
          <w:sz w:val="32"/>
          <w:szCs w:val="32"/>
          <w:u w:val="none"/>
          <w14:textFill>
            <w14:solidFill>
              <w14:schemeClr w14:val="tx1"/>
            </w14:solidFill>
          </w14:textFill>
        </w:rPr>
        <w:t>号），县人民检察院认为，被不起诉</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的</w:t>
      </w:r>
      <w:r>
        <w:rPr>
          <w:rFonts w:hint="eastAsia" w:ascii="仿宋_GB2312" w:hAnsi="仿宋_GB2312" w:eastAsia="仿宋_GB2312" w:cs="仿宋_GB2312"/>
          <w:i w:val="0"/>
          <w:iCs w:val="0"/>
          <w:caps w:val="0"/>
          <w:color w:val="000000" w:themeColor="text1"/>
          <w:spacing w:val="0"/>
          <w:sz w:val="32"/>
          <w:szCs w:val="32"/>
          <w:u w:val="none"/>
          <w:shd w:val="clear" w:fill="FFFFFF"/>
          <w:lang w:eastAsia="zh-CN"/>
          <w14:textFill>
            <w14:solidFill>
              <w14:schemeClr w14:val="tx1"/>
            </w14:solidFill>
          </w14:textFill>
        </w:rPr>
        <w:t>梁栩灏</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（以下简称</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当事人）</w:t>
      </w:r>
      <w:r>
        <w:rPr>
          <w:rFonts w:hint="eastAsia" w:ascii="仿宋_GB2312" w:hAnsi="仿宋_GB2312" w:eastAsia="仿宋_GB2312" w:cs="仿宋_GB2312"/>
          <w:color w:val="000000" w:themeColor="text1"/>
          <w:sz w:val="32"/>
          <w:szCs w:val="32"/>
          <w:u w:val="none"/>
          <w14:textFill>
            <w14:solidFill>
              <w14:schemeClr w14:val="tx1"/>
            </w14:solidFill>
          </w14:textFill>
        </w:rPr>
        <w:t>未取得药品经营许可证销售药品“依托咪酯”的行为虽无法追究刑事责任，但其行为违反了《中华人民共和国药品管理法》的有关规定，依法应给予处政处罚。</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同时将</w:t>
      </w:r>
      <w:r>
        <w:rPr>
          <w:rFonts w:hint="eastAsia" w:ascii="仿宋_GB2312" w:hAnsi="仿宋_GB2312" w:eastAsia="仿宋_GB2312" w:cs="仿宋_GB2312"/>
          <w:i w:val="0"/>
          <w:iCs w:val="0"/>
          <w:caps w:val="0"/>
          <w:color w:val="000000" w:themeColor="text1"/>
          <w:spacing w:val="0"/>
          <w:sz w:val="32"/>
          <w:szCs w:val="32"/>
          <w:u w:val="none"/>
          <w:shd w:val="clear" w:fill="FFFFFF"/>
          <w:lang w:eastAsia="zh-CN"/>
          <w14:textFill>
            <w14:solidFill>
              <w14:schemeClr w14:val="tx1"/>
            </w14:solidFill>
          </w14:textFill>
        </w:rPr>
        <w:t>当事人涉嫌无证经营药品一案移送本局进行处理，经审核案件材料，当事人涉嫌无证经营药品。为进一步调查核实，本局于</w:t>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t>202</w:t>
      </w:r>
      <w:r>
        <w:rPr>
          <w:rFonts w:hint="eastAsia" w:ascii="仿宋_GB2312" w:hAnsi="仿宋_GB2312" w:eastAsia="仿宋_GB2312" w:cs="仿宋_GB2312"/>
          <w:i w:val="0"/>
          <w:iCs w:val="0"/>
          <w:caps w:val="0"/>
          <w:color w:val="000000" w:themeColor="text1"/>
          <w:spacing w:val="0"/>
          <w:sz w:val="32"/>
          <w:szCs w:val="32"/>
          <w:u w:val="none"/>
          <w:shd w:val="clear" w:fill="FFFFFF"/>
          <w:lang w:val="en-US" w:eastAsia="zh-CN"/>
          <w14:textFill>
            <w14:solidFill>
              <w14:schemeClr w14:val="tx1"/>
            </w14:solidFill>
          </w14:textFill>
        </w:rPr>
        <w:t>6</w:t>
      </w:r>
      <w:r>
        <w:rPr>
          <w:rFonts w:hint="eastAsia" w:ascii="仿宋_GB2312" w:hAnsi="仿宋_GB2312" w:eastAsia="仿宋_GB2312" w:cs="仿宋_GB2312"/>
          <w:i w:val="0"/>
          <w:iCs w:val="0"/>
          <w:caps w:val="0"/>
          <w:color w:val="000000" w:themeColor="text1"/>
          <w:spacing w:val="0"/>
          <w:sz w:val="32"/>
          <w:szCs w:val="32"/>
          <w:u w:val="none"/>
          <w:shd w:val="clear" w:fill="FFFFFF"/>
          <w:lang w:eastAsia="zh-CN"/>
          <w14:textFill>
            <w14:solidFill>
              <w14:schemeClr w14:val="tx1"/>
            </w14:solidFill>
          </w14:textFill>
        </w:rPr>
        <w:t>年</w:t>
      </w:r>
      <w:r>
        <w:rPr>
          <w:rFonts w:hint="eastAsia" w:ascii="仿宋_GB2312" w:hAnsi="仿宋_GB2312" w:eastAsia="仿宋_GB2312" w:cs="仿宋_GB2312"/>
          <w:i w:val="0"/>
          <w:iCs w:val="0"/>
          <w:caps w:val="0"/>
          <w:color w:val="000000" w:themeColor="text1"/>
          <w:spacing w:val="0"/>
          <w:sz w:val="32"/>
          <w:szCs w:val="32"/>
          <w:u w:val="none"/>
          <w:shd w:val="clear" w:fill="FFFFFF"/>
          <w:lang w:val="en-US" w:eastAsia="zh-CN"/>
          <w14:textFill>
            <w14:solidFill>
              <w14:schemeClr w14:val="tx1"/>
            </w14:solidFill>
          </w14:textFill>
        </w:rPr>
        <w:t>8</w:t>
      </w:r>
      <w:r>
        <w:rPr>
          <w:rFonts w:hint="eastAsia" w:ascii="仿宋_GB2312" w:hAnsi="仿宋_GB2312" w:eastAsia="仿宋_GB2312" w:cs="仿宋_GB2312"/>
          <w:i w:val="0"/>
          <w:iCs w:val="0"/>
          <w:caps w:val="0"/>
          <w:color w:val="000000" w:themeColor="text1"/>
          <w:spacing w:val="0"/>
          <w:sz w:val="32"/>
          <w:szCs w:val="32"/>
          <w:u w:val="none"/>
          <w:shd w:val="clear" w:fill="FFFFFF"/>
          <w:lang w:eastAsia="zh-CN"/>
          <w14:textFill>
            <w14:solidFill>
              <w14:schemeClr w14:val="tx1"/>
            </w14:solidFill>
          </w14:textFill>
        </w:rPr>
        <w:t>月</w:t>
      </w:r>
      <w:r>
        <w:rPr>
          <w:rFonts w:hint="eastAsia" w:ascii="仿宋_GB2312" w:hAnsi="仿宋_GB2312" w:eastAsia="仿宋_GB2312" w:cs="仿宋_GB2312"/>
          <w:i w:val="0"/>
          <w:iCs w:val="0"/>
          <w:caps w:val="0"/>
          <w:color w:val="000000" w:themeColor="text1"/>
          <w:spacing w:val="0"/>
          <w:sz w:val="32"/>
          <w:szCs w:val="32"/>
          <w:u w:val="none"/>
          <w:shd w:val="clear" w:fill="FFFFFF"/>
          <w:lang w:val="en-US" w:eastAsia="zh-CN"/>
          <w14:textFill>
            <w14:solidFill>
              <w14:schemeClr w14:val="tx1"/>
            </w14:solidFill>
          </w14:textFill>
        </w:rPr>
        <w:t>13</w:t>
      </w:r>
      <w:r>
        <w:rPr>
          <w:rFonts w:hint="eastAsia" w:ascii="仿宋_GB2312" w:hAnsi="仿宋_GB2312" w:eastAsia="仿宋_GB2312" w:cs="仿宋_GB2312"/>
          <w:i w:val="0"/>
          <w:iCs w:val="0"/>
          <w:caps w:val="0"/>
          <w:color w:val="000000" w:themeColor="text1"/>
          <w:spacing w:val="0"/>
          <w:sz w:val="32"/>
          <w:szCs w:val="32"/>
          <w:u w:val="none"/>
          <w:shd w:val="clear" w:fill="FFFFFF"/>
          <w:lang w:eastAsia="zh-CN"/>
          <w14:textFill>
            <w14:solidFill>
              <w14:schemeClr w14:val="tx1"/>
            </w14:solidFill>
          </w14:textFill>
        </w:rPr>
        <w:t>日对当事人的违法行为予以立案调查。</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2026年8月27日，当事人到本局接受询问调查，承认自己无《药品经营许可证》经营药品的违法行为。</w:t>
      </w:r>
    </w:p>
    <w:p w14:paraId="60867673">
      <w:pPr>
        <w:pStyle w:val="2"/>
        <w:rPr>
          <w:rFonts w:hint="eastAsia"/>
          <w:lang w:val="en-US" w:eastAsia="zh-CN"/>
        </w:rPr>
      </w:pPr>
    </w:p>
    <w:p w14:paraId="6A3C9CE7">
      <w:pPr>
        <w:keepNext w:val="0"/>
        <w:keepLines w:val="0"/>
        <w:pageBreakBefore w:val="0"/>
        <w:widowControl/>
        <w:kinsoku w:val="0"/>
        <w:wordWrap/>
        <w:overflowPunct/>
        <w:topLinePunct w:val="0"/>
        <w:autoSpaceDE w:val="0"/>
        <w:autoSpaceDN w:val="0"/>
        <w:bidi w:val="0"/>
        <w:adjustRightInd w:val="0"/>
        <w:snapToGrid w:val="0"/>
        <w:spacing w:before="104" w:line="540" w:lineRule="exact"/>
        <w:ind w:left="638" w:leftChars="304" w:firstLine="0" w:firstLineChars="0"/>
        <w:jc w:val="left"/>
        <w:textAlignment w:val="baseline"/>
        <w:rPr>
          <w:rFonts w:hint="eastAsia" w:ascii="仿宋_GB2312" w:hAnsi="仿宋_GB2312" w:eastAsia="仿宋_GB2312" w:cs="仿宋_GB2312"/>
          <w:b w:val="0"/>
          <w:bCs/>
          <w:color w:val="auto"/>
          <w:spacing w:val="15"/>
          <w:sz w:val="32"/>
          <w:szCs w:val="32"/>
          <w:lang w:val="en-US" w:eastAsia="zh-CN"/>
        </w:rPr>
      </w:pPr>
      <w:r>
        <w:rPr>
          <w:rFonts w:hint="eastAsia" w:ascii="仿宋_GB2312" w:hAnsi="仿宋_GB2312" w:eastAsia="仿宋_GB2312" w:cs="仿宋_GB2312"/>
          <w:color w:val="000000"/>
          <w:sz w:val="32"/>
          <w:szCs w:val="32"/>
          <w:u w:val="none"/>
          <w:lang w:val="en-US" w:eastAsia="zh-CN"/>
        </w:rPr>
        <w:t xml:space="preserve"> </w:t>
      </w:r>
      <w:r>
        <w:rPr>
          <w:rFonts w:hint="eastAsia" w:ascii="仿宋_GB2312" w:hAnsi="仿宋_GB2312" w:eastAsia="仿宋_GB2312" w:cs="仿宋_GB2312"/>
          <w:color w:val="000000"/>
          <w:sz w:val="32"/>
          <w:szCs w:val="32"/>
          <w:u w:val="none"/>
        </w:rPr>
        <w:t>经查，</w:t>
      </w:r>
      <w:r>
        <w:rPr>
          <w:rFonts w:hint="eastAsia" w:ascii="仿宋_GB2312" w:hAnsi="仿宋_GB2312" w:eastAsia="仿宋_GB2312" w:cs="仿宋_GB2312"/>
          <w:color w:val="000000"/>
          <w:sz w:val="32"/>
          <w:szCs w:val="32"/>
          <w:u w:val="none"/>
          <w:lang w:eastAsia="zh-CN"/>
        </w:rPr>
        <w:t>在</w:t>
      </w:r>
      <w:r>
        <w:rPr>
          <w:rFonts w:hint="eastAsia" w:ascii="仿宋_GB2312" w:hAnsi="仿宋_GB2312" w:eastAsia="仿宋_GB2312" w:cs="仿宋_GB2312"/>
          <w:b w:val="0"/>
          <w:bCs/>
          <w:color w:val="000000"/>
          <w:spacing w:val="15"/>
          <w:sz w:val="32"/>
          <w:szCs w:val="32"/>
          <w:u w:val="none"/>
          <w:lang w:val="en-US" w:eastAsia="zh-CN"/>
        </w:rPr>
        <w:t>《梁栩灏贩卖毒品案刑事侦查卷宗》材料</w:t>
      </w:r>
    </w:p>
    <w:p w14:paraId="489AA70F">
      <w:pPr>
        <w:keepNext w:val="0"/>
        <w:keepLines w:val="0"/>
        <w:pageBreakBefore w:val="0"/>
        <w:widowControl/>
        <w:kinsoku w:val="0"/>
        <w:wordWrap/>
        <w:overflowPunct/>
        <w:topLinePunct w:val="0"/>
        <w:autoSpaceDE w:val="0"/>
        <w:autoSpaceDN w:val="0"/>
        <w:bidi w:val="0"/>
        <w:adjustRightInd w:val="0"/>
        <w:snapToGrid w:val="0"/>
        <w:spacing w:before="104" w:line="540" w:lineRule="exact"/>
        <w:jc w:val="left"/>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b w:val="0"/>
          <w:bCs/>
          <w:color w:val="000000"/>
          <w:spacing w:val="15"/>
          <w:sz w:val="32"/>
          <w:szCs w:val="32"/>
          <w:u w:val="none"/>
          <w:lang w:val="en-US" w:eastAsia="zh-CN"/>
        </w:rPr>
        <w:t>中显示，侦查人员对当事人的《讯问笔录》和对蒙松城</w:t>
      </w:r>
      <w:r>
        <w:rPr>
          <w:rFonts w:hint="eastAsia" w:ascii="仿宋_GB2312" w:hAnsi="仿宋_GB2312" w:eastAsia="仿宋_GB2312" w:cs="仿宋_GB2312"/>
          <w:b w:val="0"/>
          <w:bCs/>
          <w:color w:val="000000"/>
          <w:spacing w:val="15"/>
          <w:sz w:val="32"/>
          <w:szCs w:val="32"/>
          <w:u w:val="none"/>
          <w:lang w:val="en" w:eastAsia="zh-CN"/>
        </w:rPr>
        <w:t>(另案处理）</w:t>
      </w:r>
      <w:r>
        <w:rPr>
          <w:rFonts w:hint="eastAsia" w:ascii="仿宋_GB2312" w:hAnsi="仿宋_GB2312" w:eastAsia="仿宋_GB2312" w:cs="仿宋_GB2312"/>
          <w:b w:val="0"/>
          <w:bCs/>
          <w:color w:val="000000"/>
          <w:spacing w:val="15"/>
          <w:sz w:val="32"/>
          <w:szCs w:val="32"/>
          <w:u w:val="none"/>
          <w:lang w:val="en-US" w:eastAsia="zh-CN"/>
        </w:rPr>
        <w:t>的《讯问笔录》以及侦查人员对当事人的《电子数据检查及现场提取笔录》和当事人的《现场辩认笔录》的证据内容证实，</w:t>
      </w:r>
      <w:r>
        <w:rPr>
          <w:rFonts w:hint="eastAsia" w:ascii="仿宋_GB2312" w:hAnsi="仿宋_GB2312" w:eastAsia="仿宋_GB2312" w:cs="仿宋_GB2312"/>
          <w:color w:val="000000"/>
          <w:sz w:val="32"/>
          <w:szCs w:val="32"/>
          <w:u w:val="none"/>
          <w:lang w:eastAsia="zh-CN"/>
        </w:rPr>
        <w:t>当事人于</w:t>
      </w:r>
      <w:r>
        <w:rPr>
          <w:rFonts w:hint="eastAsia" w:ascii="仿宋_GB2312" w:hAnsi="仿宋_GB2312" w:eastAsia="仿宋_GB2312" w:cs="仿宋_GB2312"/>
          <w:b w:val="0"/>
          <w:bCs w:val="0"/>
          <w:color w:val="000000"/>
          <w:sz w:val="32"/>
          <w:szCs w:val="32"/>
          <w:u w:val="none"/>
          <w:lang w:val="en-US" w:eastAsia="zh-CN"/>
        </w:rPr>
        <w:t>2023年8月7日19时许，在融水镇朝阳西路假日酒店一房间以500元价格贩卖一支含依托咪酯的“上头电子烟”和一个电子烟杆给蒙松城，以微信收款结算500元的违法事实。为确认当事人贩卖的“上头电子烟”产品是否含依托咪酯成份</w:t>
      </w:r>
      <w:r>
        <w:rPr>
          <w:rFonts w:hint="eastAsia" w:ascii="仿宋_GB2312" w:hAnsi="仿宋_GB2312" w:eastAsia="仿宋_GB2312" w:cs="仿宋_GB2312"/>
          <w:color w:val="000000"/>
          <w:sz w:val="32"/>
          <w:szCs w:val="32"/>
          <w:u w:val="none"/>
          <w:lang w:eastAsia="zh-CN"/>
        </w:rPr>
        <w:t>，融水苗族自治县公安局将此涉案产品</w:t>
      </w:r>
      <w:r>
        <w:rPr>
          <w:rFonts w:hint="eastAsia" w:ascii="仿宋_GB2312" w:hAnsi="仿宋_GB2312" w:eastAsia="仿宋_GB2312" w:cs="仿宋_GB2312"/>
          <w:b w:val="0"/>
          <w:bCs w:val="0"/>
          <w:color w:val="000000"/>
          <w:sz w:val="32"/>
          <w:szCs w:val="32"/>
          <w:u w:val="none"/>
          <w:lang w:val="en-US" w:eastAsia="zh-CN"/>
        </w:rPr>
        <w:t>“上头电子烟”</w:t>
      </w:r>
      <w:r>
        <w:rPr>
          <w:rFonts w:hint="eastAsia" w:ascii="仿宋_GB2312" w:hAnsi="仿宋_GB2312" w:eastAsia="仿宋_GB2312" w:cs="仿宋_GB2312"/>
          <w:color w:val="000000"/>
          <w:sz w:val="32"/>
          <w:szCs w:val="32"/>
          <w:u w:val="none"/>
          <w:lang w:eastAsia="zh-CN"/>
        </w:rPr>
        <w:t>送至柳州市市场监督管理局认定，</w:t>
      </w:r>
      <w:r>
        <w:rPr>
          <w:rFonts w:hint="eastAsia" w:ascii="仿宋_GB2312" w:hAnsi="仿宋_GB2312" w:eastAsia="仿宋_GB2312" w:cs="仿宋_GB2312"/>
          <w:color w:val="000000"/>
          <w:sz w:val="32"/>
          <w:szCs w:val="32"/>
          <w:u w:val="none"/>
          <w:lang w:val="en-US" w:eastAsia="zh-CN"/>
        </w:rPr>
        <w:t>2023年9月28日</w:t>
      </w:r>
      <w:r>
        <w:rPr>
          <w:rFonts w:hint="eastAsia" w:ascii="仿宋_GB2312" w:hAnsi="仿宋_GB2312" w:eastAsia="仿宋_GB2312" w:cs="仿宋_GB2312"/>
          <w:color w:val="000000"/>
          <w:sz w:val="32"/>
          <w:szCs w:val="32"/>
          <w:u w:val="none"/>
          <w:lang w:eastAsia="zh-CN"/>
        </w:rPr>
        <w:t>柳州市市场监督管理局出具的《柳州市市场监督管理局关于</w:t>
      </w:r>
      <w:r>
        <w:rPr>
          <w:rFonts w:hint="eastAsia" w:ascii="仿宋_GB2312" w:hAnsi="仿宋_GB2312" w:eastAsia="仿宋_GB2312" w:cs="仿宋_GB2312"/>
          <w:b w:val="0"/>
          <w:bCs w:val="0"/>
          <w:color w:val="000000"/>
          <w:sz w:val="32"/>
          <w:szCs w:val="32"/>
          <w:u w:val="none"/>
          <w:lang w:val="en-US" w:eastAsia="zh-CN"/>
        </w:rPr>
        <w:t>依托咪酯相关涉案产品有关认定意见的批复》（柳市监复[2023]24号）检出的该涉案“上头电子烟”产品是含有依托咪酯</w:t>
      </w:r>
      <w:r>
        <w:rPr>
          <w:rFonts w:hint="eastAsia" w:ascii="仿宋_GB2312" w:hAnsi="仿宋_GB2312" w:eastAsia="仿宋_GB2312" w:cs="仿宋_GB2312"/>
          <w:color w:val="000000"/>
          <w:sz w:val="32"/>
          <w:szCs w:val="32"/>
          <w:u w:val="none"/>
          <w:lang w:val="en-US" w:eastAsia="zh-CN"/>
        </w:rPr>
        <w:t>成份的药品。</w:t>
      </w:r>
      <w:r>
        <w:rPr>
          <w:rFonts w:hint="eastAsia" w:ascii="仿宋_GB2312" w:hAnsi="仿宋_GB2312" w:eastAsia="仿宋_GB2312" w:cs="仿宋_GB2312"/>
          <w:color w:val="000000"/>
          <w:sz w:val="32"/>
          <w:szCs w:val="32"/>
          <w:u w:val="none"/>
        </w:rPr>
        <w:t>从事药品生产、批发、零售活动必须遵守《中华人民共和国药品管理法》的有关规定，</w:t>
      </w:r>
      <w:r>
        <w:rPr>
          <w:rFonts w:hint="eastAsia" w:ascii="仿宋_GB2312" w:hAnsi="仿宋_GB2312" w:eastAsia="仿宋_GB2312" w:cs="仿宋_GB2312"/>
          <w:color w:val="000000"/>
          <w:sz w:val="32"/>
          <w:szCs w:val="32"/>
          <w:u w:val="none"/>
          <w:lang w:val="en-US" w:eastAsia="zh-CN"/>
        </w:rPr>
        <w:t>当事人</w:t>
      </w:r>
      <w:r>
        <w:rPr>
          <w:rFonts w:hint="eastAsia" w:ascii="仿宋_GB2312" w:hAnsi="仿宋_GB2312" w:eastAsia="仿宋_GB2312" w:cs="仿宋_GB2312"/>
          <w:color w:val="000000"/>
          <w:sz w:val="32"/>
          <w:szCs w:val="32"/>
          <w:u w:val="none"/>
        </w:rPr>
        <w:t>无《药品经营许可证》经营未取得药品批准证明文件的“依托咪酯”药品</w:t>
      </w:r>
      <w:r>
        <w:rPr>
          <w:rFonts w:hint="eastAsia" w:ascii="仿宋_GB2312" w:hAnsi="仿宋_GB2312" w:eastAsia="仿宋_GB2312" w:cs="仿宋_GB2312"/>
          <w:color w:val="000000"/>
          <w:sz w:val="32"/>
          <w:szCs w:val="32"/>
          <w:u w:val="none"/>
          <w:lang w:eastAsia="zh-CN"/>
        </w:rPr>
        <w:t>的行为</w:t>
      </w:r>
      <w:r>
        <w:rPr>
          <w:rFonts w:hint="eastAsia" w:ascii="仿宋_GB2312" w:hAnsi="仿宋_GB2312" w:eastAsia="仿宋_GB2312" w:cs="仿宋_GB2312"/>
          <w:color w:val="000000"/>
          <w:sz w:val="32"/>
          <w:szCs w:val="32"/>
          <w:u w:val="none"/>
        </w:rPr>
        <w:t>违反了药品管理秩序。</w:t>
      </w:r>
    </w:p>
    <w:p w14:paraId="592CDF13">
      <w:pPr>
        <w:pStyle w:val="2"/>
        <w:rPr>
          <w:rFonts w:hint="eastAsia"/>
          <w:lang w:val="en-US" w:eastAsia="zh-CN"/>
        </w:rPr>
      </w:pPr>
    </w:p>
    <w:p w14:paraId="16B09CA7">
      <w:pPr>
        <w:keepNext w:val="0"/>
        <w:keepLines w:val="0"/>
        <w:pageBreakBefore w:val="0"/>
        <w:widowControl w:val="0"/>
        <w:numPr>
          <w:ilvl w:val="0"/>
          <w:numId w:val="0"/>
        </w:numPr>
        <w:kinsoku/>
        <w:wordWrap/>
        <w:overflowPunct/>
        <w:topLinePunct w:val="0"/>
        <w:autoSpaceDE/>
        <w:autoSpaceDN/>
        <w:bidi w:val="0"/>
        <w:snapToGrid/>
        <w:spacing w:line="540" w:lineRule="exact"/>
        <w:ind w:firstLine="640" w:firstLineChars="200"/>
        <w:rPr>
          <w:rFonts w:hint="eastAsia" w:ascii="仿宋_GB2312" w:hAnsi="仿宋_GB2312" w:eastAsia="仿宋_GB2312" w:cs="仿宋_GB2312"/>
          <w:color w:val="0070C0"/>
          <w:sz w:val="32"/>
          <w:szCs w:val="32"/>
          <w:lang w:eastAsia="zh-CN"/>
        </w:rPr>
      </w:pPr>
      <w:r>
        <w:rPr>
          <w:rFonts w:hint="eastAsia" w:ascii="仿宋_GB2312" w:hAnsi="仿宋_GB2312" w:eastAsia="仿宋_GB2312" w:cs="仿宋_GB2312"/>
          <w:color w:val="000000" w:themeColor="text1"/>
          <w:sz w:val="32"/>
          <w:szCs w:val="32"/>
          <w:u w:val="none"/>
          <w14:textFill>
            <w14:solidFill>
              <w14:schemeClr w14:val="tx1"/>
            </w14:solidFill>
          </w14:textFill>
        </w:rPr>
        <w:t>根据2023年9月6日《国家药监局公安部国家卫健委关于调整麻醉药品和精神药品目录的公告》</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和</w:t>
      </w:r>
      <w:r>
        <w:rPr>
          <w:rFonts w:hint="eastAsia" w:ascii="仿宋_GB2312" w:hAnsi="仿宋_GB2312" w:eastAsia="仿宋_GB2312" w:cs="仿宋_GB2312"/>
          <w:b w:val="0"/>
          <w:bCs w:val="0"/>
          <w:color w:val="000000" w:themeColor="text1"/>
          <w:sz w:val="32"/>
          <w:szCs w:val="32"/>
          <w:u w:val="none"/>
          <w:lang w:val="en-US" w:eastAsia="zh-CN"/>
          <w14:textFill>
            <w14:solidFill>
              <w14:schemeClr w14:val="tx1"/>
            </w14:solidFill>
          </w14:textFill>
        </w:rPr>
        <w:t>国家禁毒委员会《关于印发〈依托咪酯依赖性折算表〉的通知》（禁毒办通[2023]15号）规定</w:t>
      </w:r>
      <w:r>
        <w:rPr>
          <w:rFonts w:hint="eastAsia" w:ascii="仿宋_GB2312" w:hAnsi="仿宋_GB2312" w:eastAsia="仿宋_GB2312" w:cs="仿宋_GB2312"/>
          <w:color w:val="000000" w:themeColor="text1"/>
          <w:sz w:val="32"/>
          <w:szCs w:val="32"/>
          <w:u w:val="none"/>
          <w14:textFill>
            <w14:solidFill>
              <w14:schemeClr w14:val="tx1"/>
            </w14:solidFill>
          </w14:textFill>
        </w:rPr>
        <w:t>，从2023年10月1日起“依托咪酯”列入第二类精神药品</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管控</w:t>
      </w:r>
      <w:r>
        <w:rPr>
          <w:rFonts w:hint="eastAsia" w:ascii="仿宋_GB2312" w:hAnsi="仿宋_GB2312" w:eastAsia="仿宋_GB2312" w:cs="仿宋_GB2312"/>
          <w:color w:val="000000" w:themeColor="text1"/>
          <w:sz w:val="32"/>
          <w:szCs w:val="32"/>
          <w:u w:val="none"/>
          <w14:textFill>
            <w14:solidFill>
              <w14:schemeClr w14:val="tx1"/>
            </w14:solidFill>
          </w14:textFill>
        </w:rPr>
        <w:t>目录</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因</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当事人</w:t>
      </w:r>
      <w:r>
        <w:rPr>
          <w:rFonts w:hint="eastAsia" w:ascii="仿宋_GB2312" w:hAnsi="仿宋_GB2312" w:eastAsia="仿宋_GB2312" w:cs="仿宋_GB2312"/>
          <w:color w:val="000000" w:themeColor="text1"/>
          <w:sz w:val="32"/>
          <w:szCs w:val="32"/>
          <w:u w:val="none"/>
          <w14:textFill>
            <w14:solidFill>
              <w14:schemeClr w14:val="tx1"/>
            </w14:solidFill>
          </w14:textFill>
        </w:rPr>
        <w:t>销售含有“依托咪酯”的电子烟在2023年</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u w:val="none"/>
          <w14:textFill>
            <w14:solidFill>
              <w14:schemeClr w14:val="tx1"/>
            </w14:solidFill>
          </w14:textFill>
        </w:rPr>
        <w:t>月</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u w:val="none"/>
          <w14:textFill>
            <w14:solidFill>
              <w14:schemeClr w14:val="tx1"/>
            </w14:solidFill>
          </w14:textFill>
        </w:rPr>
        <w:t>日，当时“依托咪酯”尚未被列入国家管制的麻醉药品和精神药品，故县人民检察院认为</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当事人</w:t>
      </w:r>
      <w:r>
        <w:rPr>
          <w:rFonts w:hint="eastAsia" w:ascii="仿宋_GB2312" w:hAnsi="仿宋_GB2312" w:eastAsia="仿宋_GB2312" w:cs="仿宋_GB2312"/>
          <w:color w:val="000000" w:themeColor="text1"/>
          <w:sz w:val="32"/>
          <w:szCs w:val="32"/>
          <w:u w:val="none"/>
          <w14:textFill>
            <w14:solidFill>
              <w14:schemeClr w14:val="tx1"/>
            </w14:solidFill>
          </w14:textFill>
        </w:rPr>
        <w:t>不构成贩卖毒品罪。经退回</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县公安局</w:t>
      </w:r>
      <w:r>
        <w:rPr>
          <w:rFonts w:hint="eastAsia" w:ascii="仿宋_GB2312" w:hAnsi="仿宋_GB2312" w:eastAsia="仿宋_GB2312" w:cs="仿宋_GB2312"/>
          <w:color w:val="000000" w:themeColor="text1"/>
          <w:sz w:val="32"/>
          <w:szCs w:val="32"/>
          <w:u w:val="none"/>
          <w14:textFill>
            <w14:solidFill>
              <w14:schemeClr w14:val="tx1"/>
            </w14:solidFill>
          </w14:textFill>
        </w:rPr>
        <w:t>补充侦查</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后</w:t>
      </w:r>
      <w:r>
        <w:rPr>
          <w:rFonts w:hint="eastAsia" w:ascii="仿宋_GB2312" w:hAnsi="仿宋_GB2312" w:eastAsia="仿宋_GB2312" w:cs="仿宋_GB2312"/>
          <w:color w:val="000000" w:themeColor="text1"/>
          <w:sz w:val="32"/>
          <w:szCs w:val="32"/>
          <w:u w:val="none"/>
          <w14:textFill>
            <w14:solidFill>
              <w14:schemeClr w14:val="tx1"/>
            </w14:solidFill>
          </w14:textFill>
        </w:rPr>
        <w:t>，县人民检察院认为</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被不起诉人梁栩灏贩卖依托咪酯的时间是2023年8月份，此时依托咪酯未列管，因此其行为触犯了《中华人民共和国药品管法》第一百一十五条规定，本院于2026年5月13日以融水刑不诉〔2026〕45号不起诉决定对其宣告不起诉。根据《中华人民共和国刑事诉讼法》第一百七十七条第三款、《中华人民共和国行政处罚法》第二十七条的规定，被不起诉人的行为</w:t>
      </w:r>
      <w:r>
        <w:rPr>
          <w:rFonts w:hint="eastAsia" w:ascii="仿宋_GB2312" w:hAnsi="仿宋_GB2312" w:eastAsia="仿宋_GB2312" w:cs="仿宋_GB2312"/>
          <w:color w:val="000000" w:themeColor="text1"/>
          <w:sz w:val="32"/>
          <w:szCs w:val="32"/>
          <w:u w:val="none"/>
          <w14:textFill>
            <w14:solidFill>
              <w14:schemeClr w14:val="tx1"/>
            </w14:solidFill>
          </w14:textFill>
        </w:rPr>
        <w:t>虽无法追究刑事责任</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，但违</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 反相关法律规定，移送有关机关依法给予处政处罚</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”的检察意见，对当事人不</w:t>
      </w:r>
      <w:r>
        <w:rPr>
          <w:rFonts w:hint="eastAsia" w:ascii="仿宋_GB2312" w:hAnsi="仿宋_GB2312" w:eastAsia="仿宋_GB2312" w:cs="仿宋_GB2312"/>
          <w:color w:val="000000" w:themeColor="text1"/>
          <w:sz w:val="32"/>
          <w:szCs w:val="32"/>
          <w:u w:val="none"/>
          <w14:textFill>
            <w14:solidFill>
              <w14:schemeClr w14:val="tx1"/>
            </w14:solidFill>
          </w14:textFill>
        </w:rPr>
        <w:t>追究刑事责任</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的</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梁栩灏案件</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移送本局作行政处罚处理。</w:t>
      </w:r>
    </w:p>
    <w:p w14:paraId="77E4579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360" w:beforeAutospacing="0" w:after="0" w:afterAutospacing="0" w:line="540" w:lineRule="exact"/>
        <w:ind w:left="0" w:right="0" w:firstLine="0"/>
        <w:jc w:val="center"/>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color w:val="000000"/>
          <w:sz w:val="32"/>
          <w:szCs w:val="32"/>
          <w:u w:val="none"/>
          <w:lang w:val="en-US" w:eastAsia="zh-CN"/>
        </w:rPr>
        <w:t xml:space="preserve">   </w:t>
      </w:r>
      <w:r>
        <w:rPr>
          <w:rFonts w:hint="eastAsia" w:ascii="仿宋_GB2312" w:hAnsi="仿宋_GB2312" w:eastAsia="仿宋_GB2312" w:cs="仿宋_GB2312"/>
          <w:b w:val="0"/>
          <w:bCs w:val="0"/>
          <w:color w:val="000000"/>
          <w:kern w:val="2"/>
          <w:sz w:val="32"/>
          <w:szCs w:val="32"/>
          <w:u w:val="none"/>
          <w:lang w:val="en-US" w:eastAsia="zh-CN" w:bidi="ar-SA"/>
        </w:rPr>
        <w:t>另查，依据《中华人民共和国行政处罚法（2021修订）</w:t>
      </w:r>
    </w:p>
    <w:p w14:paraId="0B2C28D7">
      <w:pPr>
        <w:pStyle w:val="2"/>
        <w:keepNext w:val="0"/>
        <w:keepLines w:val="0"/>
        <w:pageBreakBefore w:val="0"/>
        <w:wordWrap/>
        <w:overflowPunct/>
        <w:topLinePunct w:val="0"/>
        <w:bidi w:val="0"/>
        <w:snapToGrid w:val="0"/>
        <w:spacing w:line="540" w:lineRule="exact"/>
        <w:ind w:left="703" w:hanging="640" w:hanging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color w:val="000000"/>
          <w:kern w:val="2"/>
          <w:sz w:val="32"/>
          <w:szCs w:val="32"/>
          <w:u w:val="none"/>
          <w:lang w:val="en-US" w:eastAsia="zh-CN" w:bidi="ar-SA"/>
        </w:rPr>
        <w:t>》第二十八条第二款“... ...违</w:t>
      </w:r>
      <w:r>
        <w:rPr>
          <w:rFonts w:hint="eastAsia" w:ascii="仿宋_GB2312" w:hAnsi="仿宋_GB2312" w:eastAsia="仿宋_GB2312" w:cs="仿宋_GB2312"/>
          <w:color w:val="000000"/>
          <w:sz w:val="32"/>
          <w:szCs w:val="32"/>
          <w:u w:val="none"/>
          <w:lang w:val="en-US" w:eastAsia="zh-CN"/>
        </w:rPr>
        <w:t>法所得是指实施违法行为</w:t>
      </w:r>
    </w:p>
    <w:p w14:paraId="7D7D20D2">
      <w:pPr>
        <w:pStyle w:val="2"/>
        <w:keepNext w:val="0"/>
        <w:keepLines w:val="0"/>
        <w:pageBreakBefore w:val="0"/>
        <w:wordWrap/>
        <w:overflowPunct/>
        <w:topLinePunct w:val="0"/>
        <w:bidi w:val="0"/>
        <w:snapToGrid w:val="0"/>
        <w:spacing w:line="540" w:lineRule="exact"/>
        <w:ind w:left="703" w:hanging="640" w:hanging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u w:val="none"/>
          <w:lang w:val="en-US" w:eastAsia="zh-CN"/>
        </w:rPr>
        <w:t>所取得的款项... ...”和《市场监督管理行政处罚案件违</w:t>
      </w:r>
    </w:p>
    <w:p w14:paraId="13C1BD0E">
      <w:pPr>
        <w:pStyle w:val="2"/>
        <w:keepNext w:val="0"/>
        <w:keepLines w:val="0"/>
        <w:pageBreakBefore w:val="0"/>
        <w:wordWrap/>
        <w:overflowPunct/>
        <w:topLinePunct w:val="0"/>
        <w:bidi w:val="0"/>
        <w:snapToGrid w:val="0"/>
        <w:spacing w:line="540" w:lineRule="exact"/>
        <w:ind w:left="703" w:hanging="640" w:hanging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u w:val="none"/>
          <w:lang w:val="en-US" w:eastAsia="zh-CN"/>
        </w:rPr>
        <w:t>法所得认定办法（国家市监总局令第118号）》第三条“违</w:t>
      </w:r>
    </w:p>
    <w:p w14:paraId="68B6E00E">
      <w:pPr>
        <w:pStyle w:val="2"/>
        <w:keepNext w:val="0"/>
        <w:keepLines w:val="0"/>
        <w:pageBreakBefore w:val="0"/>
        <w:wordWrap/>
        <w:overflowPunct/>
        <w:topLinePunct w:val="0"/>
        <w:bidi w:val="0"/>
        <w:snapToGrid w:val="0"/>
        <w:spacing w:line="540" w:lineRule="exact"/>
        <w:ind w:left="703" w:hanging="640" w:hanging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u w:val="none"/>
          <w:lang w:val="en-US" w:eastAsia="zh-CN"/>
        </w:rPr>
        <w:t>法所得是指实施违法行为所取得的款项。违法所得应当与当</w:t>
      </w:r>
    </w:p>
    <w:p w14:paraId="601178D0">
      <w:pPr>
        <w:pStyle w:val="2"/>
        <w:keepNext w:val="0"/>
        <w:keepLines w:val="0"/>
        <w:pageBreakBefore w:val="0"/>
        <w:wordWrap/>
        <w:overflowPunct/>
        <w:topLinePunct w:val="0"/>
        <w:bidi w:val="0"/>
        <w:snapToGrid w:val="0"/>
        <w:spacing w:line="540" w:lineRule="exact"/>
        <w:ind w:left="703" w:hanging="640" w:hanging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u w:val="none"/>
          <w:lang w:val="en-US" w:eastAsia="zh-CN"/>
        </w:rPr>
        <w:t>事人所实施的违法行为直接相关，是当事人基于该违法行为</w:t>
      </w:r>
    </w:p>
    <w:p w14:paraId="7B02EB1E">
      <w:pPr>
        <w:pStyle w:val="2"/>
        <w:keepNext w:val="0"/>
        <w:keepLines w:val="0"/>
        <w:pageBreakBefore w:val="0"/>
        <w:wordWrap/>
        <w:overflowPunct/>
        <w:topLinePunct w:val="0"/>
        <w:bidi w:val="0"/>
        <w:snapToGrid w:val="0"/>
        <w:spacing w:line="540" w:lineRule="exact"/>
        <w:ind w:left="703" w:hanging="640" w:hanging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u w:val="none"/>
          <w:lang w:val="en-US" w:eastAsia="zh-CN"/>
        </w:rPr>
        <w:t>直接获得的款项。”的规定，当事人所收取500元的交易额</w:t>
      </w:r>
    </w:p>
    <w:p w14:paraId="2EA528CD">
      <w:pPr>
        <w:pStyle w:val="2"/>
        <w:keepNext w:val="0"/>
        <w:keepLines w:val="0"/>
        <w:pageBreakBefore w:val="0"/>
        <w:wordWrap/>
        <w:overflowPunct/>
        <w:topLinePunct w:val="0"/>
        <w:bidi w:val="0"/>
        <w:snapToGrid w:val="0"/>
        <w:spacing w:line="540" w:lineRule="exact"/>
        <w:ind w:left="703" w:hanging="640" w:hanging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u w:val="none"/>
          <w:lang w:val="en-US" w:eastAsia="zh-CN"/>
        </w:rPr>
        <w:t>为违法所得，因当事人没有购销记录，无法核实本案的涉案</w:t>
      </w:r>
    </w:p>
    <w:p w14:paraId="13390DC2">
      <w:pPr>
        <w:pStyle w:val="2"/>
        <w:keepNext w:val="0"/>
        <w:keepLines w:val="0"/>
        <w:pageBreakBefore w:val="0"/>
        <w:wordWrap/>
        <w:overflowPunct/>
        <w:topLinePunct w:val="0"/>
        <w:bidi w:val="0"/>
        <w:snapToGrid w:val="0"/>
        <w:spacing w:line="540" w:lineRule="exact"/>
        <w:ind w:left="703" w:hanging="640" w:hanging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u w:val="none"/>
          <w:lang w:val="en-US" w:eastAsia="zh-CN"/>
        </w:rPr>
        <w:t>货值金额。所以当事人的违法所得也就是本案的涉案金额，</w:t>
      </w:r>
    </w:p>
    <w:p w14:paraId="5D99C47B">
      <w:pPr>
        <w:pStyle w:val="2"/>
        <w:keepNext w:val="0"/>
        <w:keepLines w:val="0"/>
        <w:pageBreakBefore w:val="0"/>
        <w:wordWrap/>
        <w:overflowPunct/>
        <w:topLinePunct w:val="0"/>
        <w:bidi w:val="0"/>
        <w:snapToGrid w:val="0"/>
        <w:spacing w:line="540" w:lineRule="exact"/>
        <w:ind w:left="703" w:hanging="640" w:hangingChars="200"/>
        <w:jc w:val="left"/>
        <w:rPr>
          <w:rFonts w:hint="eastAsia" w:ascii="仿宋_GB2312" w:hAnsi="仿宋_GB2312" w:eastAsia="仿宋_GB2312" w:cs="仿宋_GB2312"/>
          <w:b w:val="0"/>
          <w:bCs/>
          <w:color w:val="auto"/>
          <w:spacing w:val="15"/>
          <w:sz w:val="32"/>
          <w:szCs w:val="32"/>
          <w:lang w:val="en-US" w:eastAsia="zh-CN"/>
        </w:rPr>
      </w:pPr>
      <w:r>
        <w:rPr>
          <w:rFonts w:hint="eastAsia" w:ascii="仿宋_GB2312" w:hAnsi="仿宋_GB2312" w:eastAsia="仿宋_GB2312" w:cs="仿宋_GB2312"/>
          <w:color w:val="000000"/>
          <w:sz w:val="32"/>
          <w:szCs w:val="32"/>
          <w:u w:val="none"/>
          <w:lang w:val="en-US" w:eastAsia="zh-CN"/>
        </w:rPr>
        <w:t>跟据</w:t>
      </w:r>
      <w:r>
        <w:rPr>
          <w:rFonts w:hint="eastAsia" w:ascii="仿宋_GB2312" w:hAnsi="仿宋_GB2312" w:eastAsia="仿宋_GB2312" w:cs="仿宋_GB2312"/>
          <w:b w:val="0"/>
          <w:bCs/>
          <w:color w:val="000000"/>
          <w:spacing w:val="15"/>
          <w:sz w:val="32"/>
          <w:szCs w:val="32"/>
          <w:u w:val="none"/>
          <w:lang w:val="en-US" w:eastAsia="zh-CN"/>
        </w:rPr>
        <w:t>《梁栩灏贩卖毒品案刑事侦查卷宗》的《到案经过》</w:t>
      </w:r>
    </w:p>
    <w:p w14:paraId="30BA5F97">
      <w:pPr>
        <w:pStyle w:val="2"/>
        <w:keepNext w:val="0"/>
        <w:keepLines w:val="0"/>
        <w:pageBreakBefore w:val="0"/>
        <w:wordWrap/>
        <w:overflowPunct/>
        <w:topLinePunct w:val="0"/>
        <w:bidi w:val="0"/>
        <w:snapToGrid w:val="0"/>
        <w:spacing w:line="540" w:lineRule="exact"/>
        <w:ind w:left="703" w:hanging="700" w:hangingChars="200"/>
        <w:jc w:val="left"/>
        <w:rPr>
          <w:rFonts w:hint="eastAsia" w:ascii="仿宋_GB2312" w:hAnsi="仿宋_GB2312" w:eastAsia="仿宋_GB2312" w:cs="仿宋_GB2312"/>
          <w:b w:val="0"/>
          <w:bCs/>
          <w:color w:val="auto"/>
          <w:spacing w:val="15"/>
          <w:sz w:val="32"/>
          <w:szCs w:val="32"/>
          <w:lang w:val="en-US" w:eastAsia="zh-CN"/>
        </w:rPr>
      </w:pPr>
      <w:r>
        <w:rPr>
          <w:rFonts w:hint="eastAsia" w:ascii="仿宋_GB2312" w:hAnsi="仿宋_GB2312" w:eastAsia="仿宋_GB2312" w:cs="仿宋_GB2312"/>
          <w:b w:val="0"/>
          <w:bCs/>
          <w:color w:val="000000"/>
          <w:spacing w:val="15"/>
          <w:sz w:val="32"/>
          <w:szCs w:val="32"/>
          <w:u w:val="none"/>
          <w:lang w:val="en-US" w:eastAsia="zh-CN"/>
        </w:rPr>
        <w:t>显示“涉案物品”栏为“无”，即融水</w:t>
      </w:r>
      <w:r>
        <w:rPr>
          <w:rFonts w:hint="eastAsia" w:ascii="仿宋_GB2312" w:hAnsi="仿宋_GB2312" w:eastAsia="仿宋_GB2312" w:cs="仿宋_GB2312"/>
          <w:color w:val="000000"/>
          <w:sz w:val="32"/>
          <w:szCs w:val="32"/>
          <w:u w:val="none"/>
          <w:lang w:eastAsia="zh-CN"/>
        </w:rPr>
        <w:t>苗族自治</w:t>
      </w:r>
      <w:r>
        <w:rPr>
          <w:rFonts w:hint="eastAsia" w:ascii="仿宋_GB2312" w:hAnsi="仿宋_GB2312" w:eastAsia="仿宋_GB2312" w:cs="仿宋_GB2312"/>
          <w:b w:val="0"/>
          <w:bCs/>
          <w:color w:val="000000"/>
          <w:spacing w:val="15"/>
          <w:sz w:val="32"/>
          <w:szCs w:val="32"/>
          <w:u w:val="none"/>
          <w:lang w:val="en-US" w:eastAsia="zh-CN"/>
        </w:rPr>
        <w:t>县公安</w:t>
      </w:r>
    </w:p>
    <w:p w14:paraId="2A4BE937">
      <w:pPr>
        <w:pStyle w:val="2"/>
        <w:keepNext w:val="0"/>
        <w:keepLines w:val="0"/>
        <w:pageBreakBefore w:val="0"/>
        <w:wordWrap/>
        <w:overflowPunct/>
        <w:topLinePunct w:val="0"/>
        <w:bidi w:val="0"/>
        <w:snapToGrid w:val="0"/>
        <w:spacing w:line="540" w:lineRule="exact"/>
        <w:ind w:left="703" w:hanging="700" w:hangingChars="200"/>
        <w:jc w:val="left"/>
        <w:rPr>
          <w:rFonts w:hint="eastAsia" w:ascii="仿宋_GB2312" w:hAnsi="仿宋_GB2312" w:eastAsia="仿宋_GB2312" w:cs="仿宋_GB2312"/>
          <w:b w:val="0"/>
          <w:bCs/>
          <w:color w:val="auto"/>
          <w:spacing w:val="15"/>
          <w:sz w:val="32"/>
          <w:szCs w:val="32"/>
          <w:lang w:val="en-US" w:eastAsia="zh-CN"/>
        </w:rPr>
      </w:pPr>
      <w:r>
        <w:rPr>
          <w:rFonts w:hint="eastAsia" w:ascii="仿宋_GB2312" w:hAnsi="仿宋_GB2312" w:eastAsia="仿宋_GB2312" w:cs="仿宋_GB2312"/>
          <w:b w:val="0"/>
          <w:bCs/>
          <w:color w:val="000000"/>
          <w:spacing w:val="15"/>
          <w:sz w:val="32"/>
          <w:szCs w:val="32"/>
          <w:u w:val="none"/>
          <w:lang w:val="en-US" w:eastAsia="zh-CN"/>
        </w:rPr>
        <w:t>局在侦查办理此案案件过程中没有扣押或者没收有当</w:t>
      </w:r>
    </w:p>
    <w:p w14:paraId="53A1CC02">
      <w:pPr>
        <w:pStyle w:val="2"/>
        <w:keepNext w:val="0"/>
        <w:keepLines w:val="0"/>
        <w:pageBreakBefore w:val="0"/>
        <w:wordWrap/>
        <w:overflowPunct/>
        <w:topLinePunct w:val="0"/>
        <w:bidi w:val="0"/>
        <w:snapToGrid w:val="0"/>
        <w:spacing w:line="540" w:lineRule="exact"/>
        <w:ind w:left="703" w:hanging="700" w:hangingChars="20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color w:val="000000"/>
          <w:spacing w:val="15"/>
          <w:sz w:val="32"/>
          <w:szCs w:val="32"/>
          <w:u w:val="none"/>
          <w:lang w:val="en-US" w:eastAsia="zh-CN"/>
        </w:rPr>
        <w:t>事人的涉案物品</w:t>
      </w:r>
      <w:r>
        <w:rPr>
          <w:rFonts w:hint="eastAsia" w:ascii="仿宋_GB2312" w:hAnsi="仿宋_GB2312" w:eastAsia="仿宋_GB2312" w:cs="仿宋_GB2312"/>
          <w:b w:val="0"/>
          <w:bCs w:val="0"/>
          <w:color w:val="000000"/>
          <w:sz w:val="32"/>
          <w:szCs w:val="32"/>
          <w:u w:val="none"/>
          <w:lang w:val="en-US" w:eastAsia="zh-CN"/>
        </w:rPr>
        <w:t>。</w:t>
      </w:r>
    </w:p>
    <w:p w14:paraId="7FBDBD91">
      <w:pPr>
        <w:pStyle w:val="2"/>
        <w:keepNext w:val="0"/>
        <w:keepLines w:val="0"/>
        <w:pageBreakBefore w:val="0"/>
        <w:kinsoku/>
        <w:wordWrap/>
        <w:overflowPunct/>
        <w:topLinePunct w:val="0"/>
        <w:autoSpaceDE/>
        <w:autoSpaceDN/>
        <w:bidi w:val="0"/>
        <w:snapToGrid/>
        <w:spacing w:line="540" w:lineRule="exact"/>
        <w:rPr>
          <w:rFonts w:hint="eastAsia" w:ascii="仿宋_GB2312" w:hAnsi="仿宋_GB2312" w:eastAsia="仿宋_GB2312" w:cs="仿宋_GB2312"/>
          <w:color w:val="0070C0"/>
          <w:sz w:val="32"/>
          <w:szCs w:val="32"/>
          <w:lang w:val="en-US" w:eastAsia="zh-CN"/>
        </w:rPr>
      </w:pPr>
    </w:p>
    <w:p w14:paraId="055E8667">
      <w:pPr>
        <w:keepNext w:val="0"/>
        <w:keepLines w:val="0"/>
        <w:pageBreakBefore w:val="0"/>
        <w:widowControl w:val="0"/>
        <w:kinsoku/>
        <w:wordWrap/>
        <w:overflowPunct/>
        <w:topLinePunct w:val="0"/>
        <w:autoSpaceDE/>
        <w:autoSpaceDN/>
        <w:bidi w:val="0"/>
        <w:snapToGrid/>
        <w:spacing w:line="540" w:lineRule="exact"/>
        <w:ind w:firstLine="640" w:firstLineChars="200"/>
        <w:rPr>
          <w:rFonts w:hint="eastAsia" w:ascii="仿宋_GB2312" w:hAnsi="仿宋_GB2312" w:eastAsia="仿宋_GB2312" w:cs="仿宋_GB2312"/>
          <w:b w:val="0"/>
          <w:bCs w:val="0"/>
          <w:color w:val="000000" w:themeColor="text1"/>
          <w:sz w:val="32"/>
          <w:szCs w:val="32"/>
          <w:u w:val="none"/>
          <w14:textFill>
            <w14:solidFill>
              <w14:schemeClr w14:val="tx1"/>
            </w14:solidFill>
          </w14:textFill>
        </w:rPr>
      </w:pPr>
      <w:r>
        <w:rPr>
          <w:rFonts w:hint="eastAsia" w:ascii="仿宋_GB2312" w:hAnsi="仿宋_GB2312" w:eastAsia="仿宋_GB2312" w:cs="仿宋_GB2312"/>
          <w:b w:val="0"/>
          <w:bCs w:val="0"/>
          <w:color w:val="000000" w:themeColor="text1"/>
          <w:sz w:val="32"/>
          <w:szCs w:val="32"/>
          <w:u w:val="none"/>
          <w14:textFill>
            <w14:solidFill>
              <w14:schemeClr w14:val="tx1"/>
            </w14:solidFill>
          </w14:textFill>
        </w:rPr>
        <w:t>上述事实，主要有以下证据证明：</w:t>
      </w:r>
    </w:p>
    <w:p w14:paraId="22F75C5E">
      <w:pPr>
        <w:keepNext w:val="0"/>
        <w:keepLines w:val="0"/>
        <w:pageBreakBefore w:val="0"/>
        <w:widowControl w:val="0"/>
        <w:numPr>
          <w:ilvl w:val="0"/>
          <w:numId w:val="3"/>
        </w:numPr>
        <w:kinsoku/>
        <w:wordWrap/>
        <w:overflowPunct/>
        <w:topLinePunct w:val="0"/>
        <w:autoSpaceDE/>
        <w:autoSpaceDN/>
        <w:bidi w:val="0"/>
        <w:snapToGrid/>
        <w:spacing w:line="540" w:lineRule="exact"/>
        <w:ind w:left="-10" w:leftChars="0" w:firstLine="640" w:firstLineChars="0"/>
        <w:jc w:val="left"/>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000000"/>
          <w:sz w:val="32"/>
          <w:szCs w:val="32"/>
          <w:u w:val="none"/>
          <w:lang w:val="en-US" w:eastAsia="zh-CN"/>
        </w:rPr>
        <w:t>融水苗族自治县人民检察院的《检察意见书》（融水检刑行意[2026]21号）1份，证明案件的来源；</w:t>
      </w:r>
    </w:p>
    <w:p w14:paraId="60E0B900">
      <w:pPr>
        <w:pStyle w:val="2"/>
        <w:keepNext w:val="0"/>
        <w:keepLines w:val="0"/>
        <w:pageBreakBefore w:val="0"/>
        <w:numPr>
          <w:ilvl w:val="0"/>
          <w:numId w:val="3"/>
        </w:numPr>
        <w:wordWrap/>
        <w:overflowPunct/>
        <w:topLinePunct w:val="0"/>
        <w:bidi w:val="0"/>
        <w:spacing w:line="540" w:lineRule="exact"/>
        <w:ind w:left="-10" w:leftChars="0" w:firstLine="640" w:firstLineChars="0"/>
        <w:jc w:val="left"/>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000000"/>
          <w:sz w:val="32"/>
          <w:szCs w:val="32"/>
          <w:u w:val="none"/>
          <w:lang w:val="en-US" w:eastAsia="zh-CN"/>
        </w:rPr>
        <w:t>融水苗族自治县人民检察院的《不起诉决定书》（融水检刑不诉[2026]45号）1份，证明当事人行为不构成贩卖毒品罪，但涉嫌无证经营药品的违法行为；</w:t>
      </w:r>
    </w:p>
    <w:p w14:paraId="7179B9EB">
      <w:pPr>
        <w:pStyle w:val="2"/>
        <w:keepNext w:val="0"/>
        <w:keepLines w:val="0"/>
        <w:pageBreakBefore w:val="0"/>
        <w:numPr>
          <w:ilvl w:val="0"/>
          <w:numId w:val="3"/>
        </w:numPr>
        <w:wordWrap/>
        <w:overflowPunct/>
        <w:topLinePunct w:val="0"/>
        <w:bidi w:val="0"/>
        <w:spacing w:line="540" w:lineRule="exact"/>
        <w:ind w:left="-10" w:leftChars="0" w:firstLine="640" w:firstLineChars="0"/>
        <w:jc w:val="left"/>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000000"/>
          <w:sz w:val="32"/>
          <w:szCs w:val="32"/>
          <w:u w:val="none"/>
          <w:lang w:val="en-US" w:eastAsia="zh-CN"/>
        </w:rPr>
        <w:t>融水苗族自治县人民检察院的《关于行刑反向衔接案件防止“小过重罚”“过罚不当”的提示函》1份，证明融水苗族自治县人民检察院提示行政处罚应用自由截量的提示；</w:t>
      </w:r>
    </w:p>
    <w:p w14:paraId="06A0A9A0">
      <w:pPr>
        <w:pStyle w:val="2"/>
        <w:keepNext w:val="0"/>
        <w:keepLines w:val="0"/>
        <w:pageBreakBefore w:val="0"/>
        <w:numPr>
          <w:ilvl w:val="0"/>
          <w:numId w:val="3"/>
        </w:numPr>
        <w:wordWrap/>
        <w:overflowPunct/>
        <w:topLinePunct w:val="0"/>
        <w:bidi w:val="0"/>
        <w:spacing w:line="540" w:lineRule="exact"/>
        <w:ind w:left="-10" w:leftChars="0" w:firstLine="640" w:firstLineChars="0"/>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bCs w:val="0"/>
          <w:color w:val="000000"/>
          <w:sz w:val="32"/>
          <w:szCs w:val="32"/>
          <w:u w:val="none"/>
          <w:lang w:val="en-US" w:eastAsia="zh-CN"/>
        </w:rPr>
        <w:t>融水苗族自治县市场监督管理局《公文阅处签》1份，证明本局收到《检察意见书》，领导指定部门处置办理；</w:t>
      </w:r>
    </w:p>
    <w:p w14:paraId="147AA7CD">
      <w:pPr>
        <w:pStyle w:val="2"/>
        <w:keepNext w:val="0"/>
        <w:keepLines w:val="0"/>
        <w:pageBreakBefore w:val="0"/>
        <w:numPr>
          <w:ilvl w:val="0"/>
          <w:numId w:val="3"/>
        </w:numPr>
        <w:wordWrap/>
        <w:overflowPunct/>
        <w:topLinePunct w:val="0"/>
        <w:bidi w:val="0"/>
        <w:spacing w:line="540" w:lineRule="exact"/>
        <w:ind w:left="-10" w:leftChars="0" w:firstLine="640" w:firstLineChars="0"/>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bCs w:val="0"/>
          <w:color w:val="000000"/>
          <w:sz w:val="32"/>
          <w:szCs w:val="32"/>
          <w:u w:val="none"/>
          <w:lang w:val="en-US" w:eastAsia="zh-CN"/>
        </w:rPr>
        <w:t>融水苗族自治县市场监督管理局</w:t>
      </w:r>
      <w:r>
        <w:rPr>
          <w:rFonts w:hint="eastAsia" w:ascii="仿宋_GB2312" w:hAnsi="仿宋_GB2312" w:eastAsia="仿宋_GB2312" w:cs="仿宋_GB2312"/>
          <w:color w:val="000000"/>
          <w:sz w:val="32"/>
          <w:szCs w:val="32"/>
          <w:u w:val="none"/>
          <w:lang w:eastAsia="zh-CN"/>
        </w:rPr>
        <w:t>《关于申请提取梁栩灏无证经营依咪酯药品案件原始证据材料的函》</w:t>
      </w:r>
      <w:r>
        <w:rPr>
          <w:rFonts w:hint="eastAsia" w:ascii="仿宋_GB2312" w:hAnsi="仿宋_GB2312" w:eastAsia="仿宋_GB2312" w:cs="仿宋_GB2312"/>
          <w:color w:val="000000"/>
          <w:sz w:val="32"/>
          <w:szCs w:val="32"/>
          <w:u w:val="none"/>
          <w:lang w:val="en-US" w:eastAsia="zh-CN"/>
        </w:rPr>
        <w:t>1份，证明本局到</w:t>
      </w:r>
      <w:r>
        <w:rPr>
          <w:rFonts w:hint="eastAsia" w:ascii="仿宋_GB2312" w:hAnsi="仿宋_GB2312" w:eastAsia="仿宋_GB2312" w:cs="仿宋_GB2312"/>
          <w:b w:val="0"/>
          <w:bCs w:val="0"/>
          <w:color w:val="000000"/>
          <w:sz w:val="32"/>
          <w:szCs w:val="32"/>
          <w:u w:val="none"/>
          <w:lang w:val="en-US" w:eastAsia="zh-CN"/>
        </w:rPr>
        <w:t>融水苗族自治县人民检察院</w:t>
      </w:r>
      <w:r>
        <w:rPr>
          <w:rFonts w:hint="eastAsia" w:ascii="仿宋_GB2312" w:hAnsi="仿宋_GB2312" w:eastAsia="仿宋_GB2312" w:cs="仿宋_GB2312"/>
          <w:color w:val="000000"/>
          <w:sz w:val="32"/>
          <w:szCs w:val="32"/>
          <w:u w:val="none"/>
          <w:lang w:eastAsia="zh-CN"/>
        </w:rPr>
        <w:t>提取《梁栩灏贩卖毒品案》侦查卷宗；</w:t>
      </w:r>
    </w:p>
    <w:p w14:paraId="4C60CE1A">
      <w:pPr>
        <w:pStyle w:val="2"/>
        <w:keepNext w:val="0"/>
        <w:keepLines w:val="0"/>
        <w:pageBreakBefore w:val="0"/>
        <w:numPr>
          <w:ilvl w:val="0"/>
          <w:numId w:val="3"/>
        </w:numPr>
        <w:wordWrap/>
        <w:overflowPunct/>
        <w:topLinePunct w:val="0"/>
        <w:bidi w:val="0"/>
        <w:spacing w:line="540" w:lineRule="exact"/>
        <w:ind w:left="-10" w:leftChars="0" w:firstLine="640" w:firstLineChars="0"/>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000000"/>
          <w:sz w:val="32"/>
          <w:szCs w:val="32"/>
          <w:u w:val="none"/>
          <w:lang w:val="en-US" w:eastAsia="zh-CN"/>
        </w:rPr>
        <w:t>融水苗族自治县公安局的《</w:t>
      </w:r>
      <w:r>
        <w:rPr>
          <w:rFonts w:hint="eastAsia" w:ascii="仿宋_GB2312" w:hAnsi="仿宋_GB2312" w:eastAsia="仿宋_GB2312" w:cs="仿宋_GB2312"/>
          <w:color w:val="000000"/>
          <w:sz w:val="32"/>
          <w:szCs w:val="32"/>
          <w:u w:val="none"/>
          <w:lang w:eastAsia="zh-CN"/>
        </w:rPr>
        <w:t>梁栩灏贩卖毒品案刑事侦查卷宗》（综合材料卷、证据材料卷、补侦查证据卷</w:t>
      </w:r>
      <w:r>
        <w:rPr>
          <w:rFonts w:hint="eastAsia" w:ascii="仿宋_GB2312" w:hAnsi="仿宋_GB2312" w:eastAsia="仿宋_GB2312" w:cs="仿宋_GB2312"/>
          <w:color w:val="000000"/>
          <w:sz w:val="32"/>
          <w:szCs w:val="32"/>
          <w:u w:val="none"/>
          <w:lang w:val="en-US" w:eastAsia="zh-CN"/>
        </w:rPr>
        <w:t>「2.18」、补侦查证据卷「4.23」）4份，证明当事人的违法事实和证据及公安局机关侦查过程和处理情况</w:t>
      </w:r>
      <w:r>
        <w:rPr>
          <w:rFonts w:hint="eastAsia" w:ascii="仿宋_GB2312" w:hAnsi="仿宋_GB2312" w:eastAsia="仿宋_GB2312" w:cs="仿宋_GB2312"/>
          <w:color w:val="000000"/>
          <w:sz w:val="32"/>
          <w:szCs w:val="32"/>
          <w:u w:val="none"/>
          <w:lang w:eastAsia="zh-CN"/>
        </w:rPr>
        <w:t>；</w:t>
      </w:r>
    </w:p>
    <w:p w14:paraId="6FE51D70">
      <w:pPr>
        <w:keepNext w:val="0"/>
        <w:keepLines w:val="0"/>
        <w:pageBreakBefore w:val="0"/>
        <w:widowControl w:val="0"/>
        <w:numPr>
          <w:ilvl w:val="0"/>
          <w:numId w:val="3"/>
        </w:numPr>
        <w:kinsoku/>
        <w:wordWrap/>
        <w:overflowPunct/>
        <w:topLinePunct w:val="0"/>
        <w:autoSpaceDE/>
        <w:autoSpaceDN/>
        <w:bidi w:val="0"/>
        <w:snapToGrid/>
        <w:spacing w:line="540" w:lineRule="exact"/>
        <w:ind w:left="-10" w:leftChars="0" w:firstLine="640" w:firstLineChars="0"/>
        <w:jc w:val="left"/>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000000"/>
          <w:sz w:val="32"/>
          <w:szCs w:val="32"/>
          <w:u w:val="none"/>
          <w:lang w:eastAsia="zh-CN"/>
        </w:rPr>
        <w:t>本局对当事人的《询问笔录》</w:t>
      </w:r>
      <w:r>
        <w:rPr>
          <w:rFonts w:hint="eastAsia" w:ascii="仿宋_GB2312" w:hAnsi="仿宋_GB2312" w:eastAsia="仿宋_GB2312" w:cs="仿宋_GB2312"/>
          <w:color w:val="000000"/>
          <w:sz w:val="32"/>
          <w:szCs w:val="32"/>
          <w:u w:val="none"/>
          <w:lang w:val="en-US" w:eastAsia="zh-CN"/>
        </w:rPr>
        <w:t>1份，证明本局执法人员对本案的调查情况和当事人确认自己的违法事实及涉案金额和违法所得；</w:t>
      </w:r>
    </w:p>
    <w:p w14:paraId="0FC3895F">
      <w:pPr>
        <w:pStyle w:val="2"/>
        <w:keepNext w:val="0"/>
        <w:keepLines w:val="0"/>
        <w:pageBreakBefore w:val="0"/>
        <w:numPr>
          <w:ilvl w:val="0"/>
          <w:numId w:val="3"/>
        </w:numPr>
        <w:wordWrap/>
        <w:overflowPunct/>
        <w:topLinePunct w:val="0"/>
        <w:bidi w:val="0"/>
        <w:spacing w:line="540" w:lineRule="exact"/>
        <w:ind w:left="-10" w:leftChars="0" w:firstLine="640" w:firstLineChars="0"/>
        <w:jc w:val="left"/>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000000"/>
          <w:sz w:val="32"/>
          <w:szCs w:val="32"/>
          <w:u w:val="none"/>
          <w:lang w:val="en-US" w:eastAsia="zh-CN"/>
        </w:rPr>
        <w:t>《送达地址确认书》1份，证明当事人确认法律文书的送达方式和地址。</w:t>
      </w:r>
    </w:p>
    <w:p w14:paraId="056D731E">
      <w:pPr>
        <w:pStyle w:val="2"/>
        <w:keepNext w:val="0"/>
        <w:keepLines w:val="0"/>
        <w:pageBreakBefore w:val="0"/>
        <w:numPr>
          <w:ilvl w:val="0"/>
          <w:numId w:val="0"/>
        </w:numPr>
        <w:wordWrap/>
        <w:overflowPunct/>
        <w:topLinePunct w:val="0"/>
        <w:bidi w:val="0"/>
        <w:spacing w:line="540" w:lineRule="exact"/>
        <w:ind w:left="630" w:leftChars="0"/>
        <w:jc w:val="left"/>
        <w:rPr>
          <w:rFonts w:hint="eastAsia" w:ascii="仿宋_GB2312" w:hAnsi="仿宋_GB2312" w:eastAsia="仿宋_GB2312" w:cs="仿宋_GB2312"/>
          <w:color w:val="auto"/>
          <w:sz w:val="32"/>
          <w:szCs w:val="32"/>
          <w:u w:val="none"/>
          <w:lang w:val="en-US" w:eastAsia="zh-CN"/>
        </w:rPr>
      </w:pPr>
    </w:p>
    <w:p w14:paraId="0019EB97">
      <w:pPr>
        <w:keepNext w:val="0"/>
        <w:keepLines w:val="0"/>
        <w:pageBreakBefore w:val="0"/>
        <w:kinsoku/>
        <w:wordWrap/>
        <w:overflowPunct/>
        <w:topLinePunct w:val="0"/>
        <w:autoSpaceDE/>
        <w:autoSpaceDN/>
        <w:bidi w:val="0"/>
        <w:snapToGrid/>
        <w:spacing w:line="540" w:lineRule="exact"/>
        <w:ind w:firstLine="640" w:firstLineChars="2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本案证据及复印件均经提供人核对，与原件无误，现场笔录、询问笔录均由现场</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人员和</w:t>
      </w:r>
      <w:r>
        <w:rPr>
          <w:rFonts w:hint="eastAsia" w:ascii="仿宋_GB2312" w:hAnsi="仿宋_GB2312" w:eastAsia="仿宋_GB2312" w:cs="仿宋_GB2312"/>
          <w:color w:val="000000" w:themeColor="text1"/>
          <w:sz w:val="32"/>
          <w:szCs w:val="32"/>
          <w:u w:val="none"/>
          <w14:textFill>
            <w14:solidFill>
              <w14:schemeClr w14:val="tx1"/>
            </w14:solidFill>
          </w14:textFill>
        </w:rPr>
        <w:t>被询问人确认无误</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证据相互认证，并由出证人在相关材料上签字确认,经查证属实，足以认定当事人</w:t>
      </w:r>
      <w:r>
        <w:rPr>
          <w:rFonts w:hint="eastAsia" w:ascii="仿宋_GB2312" w:hAnsi="仿宋_GB2312" w:eastAsia="仿宋_GB2312" w:cs="仿宋_GB2312"/>
          <w:b w:val="0"/>
          <w:bCs w:val="0"/>
          <w:color w:val="000000" w:themeColor="text1"/>
          <w:kern w:val="2"/>
          <w:sz w:val="32"/>
          <w:szCs w:val="32"/>
          <w:u w:val="none"/>
          <w:lang w:val="en-US" w:eastAsia="zh-CN" w:bidi="ar-SA"/>
          <w14:textFill>
            <w14:solidFill>
              <w14:schemeClr w14:val="tx1"/>
            </w14:solidFill>
          </w14:textFill>
        </w:rPr>
        <w:t>无证经营药品</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的违法事实。</w:t>
      </w:r>
    </w:p>
    <w:p w14:paraId="6A8933CB">
      <w:pPr>
        <w:pStyle w:val="2"/>
        <w:keepNext w:val="0"/>
        <w:keepLines w:val="0"/>
        <w:pageBreakBefore w:val="0"/>
        <w:wordWrap/>
        <w:overflowPunct/>
        <w:topLinePunct w:val="0"/>
        <w:bidi w:val="0"/>
        <w:spacing w:line="540" w:lineRule="exact"/>
        <w:rPr>
          <w:rFonts w:hint="eastAsia" w:ascii="仿宋_GB2312" w:hAnsi="仿宋_GB2312" w:eastAsia="仿宋_GB2312" w:cs="仿宋_GB2312"/>
          <w:sz w:val="32"/>
          <w:szCs w:val="32"/>
          <w:lang w:val="en-US" w:eastAsia="zh-CN"/>
        </w:rPr>
      </w:pPr>
    </w:p>
    <w:p w14:paraId="5D808E46">
      <w:pPr>
        <w:keepNext w:val="0"/>
        <w:keepLines w:val="0"/>
        <w:pageBreakBefore w:val="0"/>
        <w:kinsoku/>
        <w:wordWrap/>
        <w:overflowPunct/>
        <w:topLinePunct w:val="0"/>
        <w:autoSpaceDE/>
        <w:autoSpaceDN/>
        <w:bidi w:val="0"/>
        <w:snapToGrid/>
        <w:spacing w:line="540" w:lineRule="exact"/>
        <w:ind w:firstLine="640" w:firstLineChars="200"/>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根据以上查明的事实，</w:t>
      </w: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本局于2026年9月7日向当事人下达《行政处罚告知书》</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（融市监罚告〔2026〕154号），依法告知对当事人拟作出行政处罚的事实、理由、依据以及处罚内容，并告知当事人依法亨有的陈述、申辩的权利。当事人在法定期限内未提出陈述、申辩，视为</w:t>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t>自动放弃陈述、申辩</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w:t>
      </w:r>
    </w:p>
    <w:p w14:paraId="7BC52101">
      <w:pPr>
        <w:pStyle w:val="2"/>
        <w:rPr>
          <w:rFonts w:hint="eastAsia"/>
          <w:lang w:val="en-US" w:eastAsia="zh-CN"/>
        </w:rPr>
      </w:pPr>
    </w:p>
    <w:p w14:paraId="7DB0FEB9">
      <w:pPr>
        <w:pStyle w:val="2"/>
        <w:keepNext w:val="0"/>
        <w:keepLines w:val="0"/>
        <w:pageBreakBefore w:val="0"/>
        <w:kinsoku/>
        <w:wordWrap/>
        <w:overflowPunct/>
        <w:topLinePunct w:val="0"/>
        <w:autoSpaceDE/>
        <w:autoSpaceDN/>
        <w:bidi w:val="0"/>
        <w:snapToGrid/>
        <w:spacing w:line="540" w:lineRule="exact"/>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000000"/>
          <w:sz w:val="32"/>
          <w:szCs w:val="32"/>
          <w:u w:val="none"/>
          <w:lang w:val="en-US" w:eastAsia="zh-CN"/>
        </w:rPr>
        <w:t xml:space="preserve">     本局认为，</w:t>
      </w:r>
      <w:r>
        <w:rPr>
          <w:rFonts w:hint="eastAsia" w:ascii="仿宋_GB2312" w:hAnsi="仿宋_GB2312" w:eastAsia="仿宋_GB2312" w:cs="仿宋_GB2312"/>
          <w:i w:val="0"/>
          <w:iCs w:val="0"/>
          <w:caps w:val="0"/>
          <w:color w:val="000000"/>
          <w:spacing w:val="0"/>
          <w:sz w:val="32"/>
          <w:szCs w:val="32"/>
          <w:u w:val="none"/>
          <w:shd w:val="clear" w:fill="FFFFFF"/>
          <w:lang w:eastAsia="zh-CN"/>
        </w:rPr>
        <w:t>当事人在未取得《药品经营许可证》的情况下，</w:t>
      </w:r>
      <w:r>
        <w:rPr>
          <w:rFonts w:hint="eastAsia" w:ascii="仿宋_GB2312" w:hAnsi="仿宋_GB2312" w:eastAsia="仿宋_GB2312" w:cs="仿宋_GB2312"/>
          <w:b w:val="0"/>
          <w:bCs/>
          <w:color w:val="000000"/>
          <w:spacing w:val="15"/>
          <w:sz w:val="32"/>
          <w:szCs w:val="32"/>
          <w:u w:val="none"/>
          <w:lang w:eastAsia="zh-CN"/>
        </w:rPr>
        <w:t>经营“依托咪酯”药品，已</w:t>
      </w:r>
      <w:r>
        <w:rPr>
          <w:rFonts w:hint="eastAsia" w:ascii="仿宋_GB2312" w:hAnsi="仿宋_GB2312" w:eastAsia="仿宋_GB2312" w:cs="仿宋_GB2312"/>
          <w:i w:val="0"/>
          <w:iCs w:val="0"/>
          <w:caps w:val="0"/>
          <w:color w:val="000000"/>
          <w:spacing w:val="0"/>
          <w:sz w:val="32"/>
          <w:szCs w:val="32"/>
          <w:u w:val="none"/>
          <w:shd w:val="clear" w:fill="FFFFFF"/>
        </w:rPr>
        <w:t>构成无证经营药品的违法行为</w:t>
      </w:r>
      <w:r>
        <w:rPr>
          <w:rFonts w:hint="eastAsia" w:ascii="仿宋_GB2312" w:hAnsi="仿宋_GB2312" w:eastAsia="仿宋_GB2312" w:cs="仿宋_GB2312"/>
          <w:i w:val="0"/>
          <w:iCs w:val="0"/>
          <w:caps w:val="0"/>
          <w:color w:val="000000"/>
          <w:spacing w:val="0"/>
          <w:sz w:val="32"/>
          <w:szCs w:val="32"/>
          <w:u w:val="none"/>
          <w:shd w:val="clear" w:fill="FFFFFF"/>
          <w:lang w:eastAsia="zh-CN"/>
        </w:rPr>
        <w:t>，</w:t>
      </w:r>
      <w:r>
        <w:rPr>
          <w:rFonts w:hint="eastAsia" w:ascii="仿宋_GB2312" w:hAnsi="仿宋_GB2312" w:eastAsia="仿宋_GB2312" w:cs="仿宋_GB2312"/>
          <w:b w:val="0"/>
          <w:bCs/>
          <w:color w:val="000000"/>
          <w:spacing w:val="15"/>
          <w:sz w:val="32"/>
          <w:szCs w:val="32"/>
          <w:u w:val="none"/>
          <w:lang w:eastAsia="zh-CN"/>
        </w:rPr>
        <w:t>违反了《中华人民共和国药品管理法》第五十一条“</w:t>
      </w:r>
      <w:r>
        <w:rPr>
          <w:rFonts w:hint="eastAsia" w:ascii="仿宋_GB2312" w:hAnsi="仿宋_GB2312" w:eastAsia="仿宋_GB2312" w:cs="仿宋_GB2312"/>
          <w:b w:val="0"/>
          <w:bCs/>
          <w:color w:val="000000"/>
          <w:spacing w:val="15"/>
          <w:sz w:val="32"/>
          <w:szCs w:val="32"/>
          <w:u w:val="none"/>
          <w:lang w:val="en-US" w:eastAsia="zh-CN"/>
        </w:rPr>
        <w:t>... ...从事药品零售活动，应当经所在地县级以上地方人民政府药品监督管理部门批准，取得药品经营许可证。无药品经营许可证的不得经营药品。”的规定。</w:t>
      </w:r>
      <w:r>
        <w:rPr>
          <w:rFonts w:hint="eastAsia" w:ascii="仿宋_GB2312" w:hAnsi="仿宋_GB2312" w:eastAsia="仿宋_GB2312" w:cs="仿宋_GB2312"/>
          <w:color w:val="000000"/>
          <w:sz w:val="32"/>
          <w:szCs w:val="32"/>
          <w:u w:val="none"/>
          <w:lang w:eastAsia="zh-CN"/>
        </w:rPr>
        <w:t>应依据</w:t>
      </w:r>
      <w:r>
        <w:rPr>
          <w:rFonts w:hint="eastAsia" w:ascii="仿宋_GB2312" w:hAnsi="仿宋_GB2312" w:eastAsia="仿宋_GB2312" w:cs="仿宋_GB2312"/>
          <w:color w:val="000000"/>
          <w:sz w:val="32"/>
          <w:szCs w:val="32"/>
          <w:u w:val="none"/>
        </w:rPr>
        <w:t>《中华人民共和国</w:t>
      </w:r>
      <w:r>
        <w:rPr>
          <w:rFonts w:hint="eastAsia" w:ascii="仿宋_GB2312" w:hAnsi="仿宋_GB2312" w:eastAsia="仿宋_GB2312" w:cs="仿宋_GB2312"/>
          <w:b w:val="0"/>
          <w:bCs w:val="0"/>
          <w:i w:val="0"/>
          <w:iCs w:val="0"/>
          <w:caps w:val="0"/>
          <w:color w:val="000000"/>
          <w:spacing w:val="0"/>
          <w:sz w:val="32"/>
          <w:szCs w:val="32"/>
          <w:u w:val="none"/>
          <w:shd w:val="clear" w:fill="FFFFFF"/>
        </w:rPr>
        <w:t>药品管理法</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i w:val="0"/>
          <w:iCs w:val="0"/>
          <w:caps w:val="0"/>
          <w:color w:val="000000"/>
          <w:spacing w:val="0"/>
          <w:sz w:val="32"/>
          <w:szCs w:val="32"/>
          <w:u w:val="none"/>
          <w:shd w:val="clear" w:fill="FFFFFF"/>
        </w:rPr>
        <w:t>第一百一十五条</w:t>
      </w:r>
      <w:r>
        <w:rPr>
          <w:rFonts w:hint="eastAsia" w:ascii="仿宋_GB2312" w:hAnsi="仿宋_GB2312" w:eastAsia="仿宋_GB2312" w:cs="仿宋_GB2312"/>
          <w:i w:val="0"/>
          <w:iCs w:val="0"/>
          <w:caps w:val="0"/>
          <w:color w:val="000000"/>
          <w:spacing w:val="0"/>
          <w:sz w:val="32"/>
          <w:szCs w:val="32"/>
          <w:u w:val="none"/>
          <w:shd w:val="clear" w:fill="FFFFFF"/>
          <w:lang w:eastAsia="zh-CN"/>
        </w:rPr>
        <w:t>“</w:t>
      </w:r>
      <w:r>
        <w:rPr>
          <w:rFonts w:hint="eastAsia" w:ascii="仿宋_GB2312" w:hAnsi="仿宋_GB2312" w:eastAsia="仿宋_GB2312" w:cs="仿宋_GB2312"/>
          <w:i w:val="0"/>
          <w:iCs w:val="0"/>
          <w:caps w:val="0"/>
          <w:color w:val="000000"/>
          <w:spacing w:val="0"/>
          <w:sz w:val="32"/>
          <w:szCs w:val="32"/>
          <w:u w:val="none"/>
          <w:shd w:val="clear" w:fill="FFFFFF"/>
        </w:rPr>
        <w:t>未取得药品生产许可证、药品经营许可证或者医疗机构制剂许可证生产、销售药品的，责令关闭，没收违法生产、销售的药品和违法所得，并处违法生产、销售的药品（包括已售出和未售出的药品，下同）货值金额十五倍以上三十倍以下的罚款；货值金额不足十万元的，按十万元计算。</w:t>
      </w:r>
      <w:r>
        <w:rPr>
          <w:rFonts w:hint="eastAsia" w:ascii="仿宋_GB2312" w:hAnsi="仿宋_GB2312" w:eastAsia="仿宋_GB2312" w:cs="仿宋_GB2312"/>
          <w:i w:val="0"/>
          <w:iCs w:val="0"/>
          <w:caps w:val="0"/>
          <w:color w:val="000000"/>
          <w:spacing w:val="0"/>
          <w:sz w:val="32"/>
          <w:szCs w:val="32"/>
          <w:u w:val="none"/>
          <w:shd w:val="clear" w:fill="FFFFFF"/>
          <w:lang w:eastAsia="zh-CN"/>
        </w:rPr>
        <w:t>”</w:t>
      </w:r>
      <w:r>
        <w:rPr>
          <w:rFonts w:hint="eastAsia" w:ascii="仿宋_GB2312" w:hAnsi="仿宋_GB2312" w:eastAsia="仿宋_GB2312" w:cs="仿宋_GB2312"/>
          <w:color w:val="000000"/>
          <w:sz w:val="32"/>
          <w:szCs w:val="32"/>
          <w:u w:val="none"/>
          <w:lang w:eastAsia="zh-CN"/>
        </w:rPr>
        <w:t>的规定予以行政处罚。鉴于</w:t>
      </w:r>
      <w:r>
        <w:rPr>
          <w:rFonts w:hint="eastAsia" w:ascii="仿宋_GB2312" w:hAnsi="仿宋_GB2312" w:eastAsia="仿宋_GB2312" w:cs="仿宋_GB2312"/>
          <w:i w:val="0"/>
          <w:iCs w:val="0"/>
          <w:caps w:val="0"/>
          <w:color w:val="000000"/>
          <w:spacing w:val="0"/>
          <w:sz w:val="32"/>
          <w:szCs w:val="32"/>
          <w:u w:val="none"/>
          <w:shd w:val="clear" w:fill="FFFFFF"/>
        </w:rPr>
        <w:t>当事人对存在的违法行为深刻认识，积极配合执法人员调查，如实陈述违法行为</w:t>
      </w:r>
      <w:r>
        <w:rPr>
          <w:rFonts w:hint="eastAsia" w:ascii="仿宋_GB2312" w:hAnsi="仿宋_GB2312" w:eastAsia="仿宋_GB2312" w:cs="仿宋_GB2312"/>
          <w:color w:val="000000"/>
          <w:sz w:val="32"/>
          <w:szCs w:val="32"/>
          <w:u w:val="none"/>
          <w:lang w:val="en-US" w:eastAsia="zh-CN"/>
        </w:rPr>
        <w:t>，</w:t>
      </w:r>
      <w:r>
        <w:rPr>
          <w:rFonts w:hint="eastAsia" w:ascii="仿宋_GB2312" w:hAnsi="仿宋_GB2312" w:eastAsia="仿宋_GB2312" w:cs="仿宋_GB2312"/>
          <w:color w:val="000000"/>
          <w:sz w:val="32"/>
          <w:szCs w:val="32"/>
          <w:u w:val="none"/>
          <w:lang w:eastAsia="zh-CN"/>
        </w:rPr>
        <w:t>并提供相关证据</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val="en-US" w:eastAsia="zh-CN"/>
        </w:rPr>
        <w:t>根据《中华人民共和国行政处罚法》第三十四条“</w:t>
      </w:r>
      <w:r>
        <w:rPr>
          <w:rFonts w:hint="eastAsia" w:ascii="仿宋_GB2312" w:hAnsi="仿宋_GB2312" w:eastAsia="仿宋_GB2312" w:cs="仿宋_GB2312"/>
          <w:color w:val="000000"/>
          <w:sz w:val="32"/>
          <w:szCs w:val="32"/>
          <w:u w:val="none"/>
        </w:rPr>
        <w:t>  行政机关可以依法制定行政处罚裁量基准，规范行使行政处罚裁量权。行政处罚裁量基准应当向社会公布</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”的规定，参照《</w:t>
      </w:r>
      <w:r>
        <w:rPr>
          <w:rFonts w:hint="eastAsia" w:ascii="仿宋_GB2312" w:hAnsi="仿宋_GB2312" w:eastAsia="仿宋_GB2312" w:cs="仿宋_GB2312"/>
          <w:color w:val="000000"/>
          <w:sz w:val="32"/>
          <w:szCs w:val="32"/>
          <w:u w:val="none"/>
        </w:rPr>
        <w:t>广西壮族自治区市场监督管理行政处罚裁量权适用规定</w:t>
      </w:r>
      <w:r>
        <w:rPr>
          <w:rFonts w:hint="eastAsia" w:ascii="仿宋_GB2312" w:hAnsi="仿宋_GB2312" w:eastAsia="仿宋_GB2312" w:cs="仿宋_GB2312"/>
          <w:color w:val="000000"/>
          <w:sz w:val="32"/>
          <w:szCs w:val="32"/>
          <w:u w:val="none"/>
          <w:lang w:val="en-US" w:eastAsia="zh-CN"/>
        </w:rPr>
        <w:t>》</w:t>
      </w:r>
      <w:r>
        <w:rPr>
          <w:rFonts w:hint="eastAsia" w:ascii="仿宋_GB2312" w:hAnsi="仿宋_GB2312" w:eastAsia="仿宋_GB2312" w:cs="仿宋_GB2312"/>
          <w:color w:val="000000"/>
          <w:sz w:val="32"/>
          <w:szCs w:val="32"/>
          <w:u w:val="none"/>
        </w:rPr>
        <w:t>(2023 版）</w:t>
      </w:r>
      <w:r>
        <w:rPr>
          <w:rFonts w:hint="eastAsia" w:ascii="仿宋_GB2312" w:hAnsi="仿宋_GB2312" w:eastAsia="仿宋_GB2312" w:cs="仿宋_GB2312"/>
          <w:color w:val="000000"/>
          <w:sz w:val="32"/>
          <w:szCs w:val="32"/>
          <w:u w:val="none"/>
          <w:lang w:val="en-US" w:eastAsia="zh-CN"/>
        </w:rPr>
        <w:t>第二条第三款“</w:t>
      </w:r>
      <w:r>
        <w:rPr>
          <w:rFonts w:hint="eastAsia" w:ascii="仿宋_GB2312" w:hAnsi="仿宋_GB2312" w:eastAsia="仿宋_GB2312" w:cs="仿宋_GB2312"/>
          <w:color w:val="000000"/>
          <w:sz w:val="32"/>
          <w:szCs w:val="32"/>
          <w:u w:val="none"/>
        </w:rPr>
        <w:t>法律、法规、规章以及国家市监总局规范性文件对行政处罚裁量权的适用规定有规定的，从其规定。</w:t>
      </w:r>
      <w:r>
        <w:rPr>
          <w:rFonts w:hint="eastAsia" w:ascii="仿宋_GB2312" w:hAnsi="仿宋_GB2312" w:eastAsia="仿宋_GB2312" w:cs="仿宋_GB2312"/>
          <w:color w:val="000000"/>
          <w:sz w:val="32"/>
          <w:szCs w:val="32"/>
          <w:u w:val="none"/>
          <w:lang w:eastAsia="zh-CN"/>
        </w:rPr>
        <w:t>”和</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val="en-US" w:eastAsia="zh-CN"/>
        </w:rPr>
        <w:t>市场监管总局印发的〈</w:t>
      </w:r>
      <w:r>
        <w:rPr>
          <w:rFonts w:hint="eastAsia" w:ascii="仿宋_GB2312" w:hAnsi="仿宋_GB2312" w:eastAsia="仿宋_GB2312" w:cs="仿宋_GB2312"/>
          <w:color w:val="000000"/>
          <w:sz w:val="32"/>
          <w:szCs w:val="32"/>
          <w:u w:val="none"/>
        </w:rPr>
        <w:t>关于规范市场监督管理行政处罚裁量权的指导意见〉</w:t>
      </w:r>
      <w:r>
        <w:rPr>
          <w:rFonts w:hint="eastAsia" w:ascii="仿宋_GB2312" w:hAnsi="仿宋_GB2312" w:eastAsia="仿宋_GB2312" w:cs="仿宋_GB2312"/>
          <w:color w:val="000000"/>
          <w:sz w:val="32"/>
          <w:szCs w:val="32"/>
          <w:u w:val="none"/>
          <w:lang w:eastAsia="zh-CN"/>
        </w:rPr>
        <w:t>的通知</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国市监法规〔2022〕2 号</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第十四条第二项“有下列情形之一的，可以依法从轻或者减轻行政处罚：... ...（二）积极配合市场监管部门调查并主动提供证据材料的。”之规定，符合</w:t>
      </w:r>
      <w:r>
        <w:rPr>
          <w:rFonts w:hint="eastAsia" w:ascii="仿宋_GB2312" w:hAnsi="仿宋_GB2312" w:eastAsia="仿宋_GB2312" w:cs="仿宋_GB2312"/>
          <w:b w:val="0"/>
          <w:bCs w:val="0"/>
          <w:color w:val="000000"/>
          <w:sz w:val="32"/>
          <w:szCs w:val="32"/>
          <w:u w:val="none"/>
        </w:rPr>
        <w:t>《广西壮族自治区药品监管行政处罚裁量基准（202</w:t>
      </w:r>
      <w:r>
        <w:rPr>
          <w:rFonts w:hint="eastAsia" w:ascii="仿宋_GB2312" w:hAnsi="仿宋_GB2312" w:eastAsia="仿宋_GB2312" w:cs="仿宋_GB2312"/>
          <w:b w:val="0"/>
          <w:bCs w:val="0"/>
          <w:color w:val="000000"/>
          <w:sz w:val="32"/>
          <w:szCs w:val="32"/>
          <w:u w:val="none"/>
          <w:lang w:val="en-US" w:eastAsia="zh-CN"/>
        </w:rPr>
        <w:t>6</w:t>
      </w:r>
      <w:r>
        <w:rPr>
          <w:rFonts w:hint="eastAsia" w:ascii="仿宋_GB2312" w:hAnsi="仿宋_GB2312" w:eastAsia="仿宋_GB2312" w:cs="仿宋_GB2312"/>
          <w:b w:val="0"/>
          <w:bCs w:val="0"/>
          <w:color w:val="000000"/>
          <w:sz w:val="32"/>
          <w:szCs w:val="32"/>
          <w:u w:val="none"/>
        </w:rPr>
        <w:t>年修订版）》</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b w:val="0"/>
          <w:bCs w:val="0"/>
          <w:color w:val="000000"/>
          <w:sz w:val="32"/>
          <w:szCs w:val="32"/>
          <w:u w:val="none"/>
        </w:rPr>
        <w:t>桂药监规〔2026〕1 号</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b w:val="0"/>
          <w:bCs w:val="0"/>
          <w:color w:val="000000"/>
          <w:sz w:val="32"/>
          <w:szCs w:val="32"/>
          <w:u w:val="none"/>
        </w:rPr>
        <w:t>第二条</w:t>
      </w:r>
      <w:r>
        <w:rPr>
          <w:rFonts w:hint="eastAsia" w:ascii="仿宋_GB2312" w:hAnsi="仿宋_GB2312" w:eastAsia="仿宋_GB2312" w:cs="仿宋_GB2312"/>
          <w:color w:val="000000"/>
          <w:sz w:val="32"/>
          <w:szCs w:val="32"/>
          <w:u w:val="none"/>
          <w:lang w:val="en-US" w:eastAsia="zh-CN"/>
        </w:rPr>
        <w:t>第二款第二项“</w:t>
      </w:r>
      <w:r>
        <w:rPr>
          <w:rFonts w:hint="eastAsia" w:ascii="仿宋_GB2312" w:hAnsi="仿宋_GB2312" w:eastAsia="仿宋_GB2312" w:cs="仿宋_GB2312"/>
          <w:b w:val="0"/>
          <w:bCs w:val="0"/>
          <w:color w:val="000000"/>
          <w:sz w:val="32"/>
          <w:szCs w:val="32"/>
          <w:u w:val="none"/>
          <w:lang w:eastAsia="zh-CN"/>
        </w:rPr>
        <w:t>本条是对《中华人民共和国药品管理法》（以下简称《药品管理法》第一百一十五条‘并处违法生产、销售的药品（包括已售出和未售出的药品，下同）货值金额十五倍以上三十倍以下的罚款’裁量基准的规定。符合下列情形之一的，减轻行政处罚，处低于违法生产、销售的药品货值金额</w:t>
      </w:r>
      <w:r>
        <w:rPr>
          <w:rFonts w:hint="eastAsia" w:ascii="仿宋_GB2312" w:hAnsi="仿宋_GB2312" w:eastAsia="仿宋_GB2312" w:cs="仿宋_GB2312"/>
          <w:b w:val="0"/>
          <w:bCs w:val="0"/>
          <w:color w:val="000000"/>
          <w:sz w:val="32"/>
          <w:szCs w:val="32"/>
          <w:u w:val="none"/>
          <w:lang w:val="en-US" w:eastAsia="zh-CN"/>
        </w:rPr>
        <w:t>15倍的罚款：... ...（二）符合裁量规则规定的减轻（包括应减轻和可以减轻，下同）行政处罚情形之一的。”</w:t>
      </w:r>
      <w:r>
        <w:rPr>
          <w:rFonts w:hint="eastAsia" w:ascii="仿宋_GB2312" w:hAnsi="仿宋_GB2312" w:eastAsia="仿宋_GB2312" w:cs="仿宋_GB2312"/>
          <w:color w:val="000000"/>
          <w:sz w:val="32"/>
          <w:szCs w:val="32"/>
          <w:u w:val="none"/>
          <w:lang w:val="en-US" w:eastAsia="zh-CN"/>
        </w:rPr>
        <w:t>的</w:t>
      </w:r>
      <w:r>
        <w:rPr>
          <w:rFonts w:hint="eastAsia" w:ascii="仿宋_GB2312" w:hAnsi="仿宋_GB2312" w:eastAsia="仿宋_GB2312" w:cs="仿宋_GB2312"/>
          <w:color w:val="000000"/>
          <w:sz w:val="32"/>
          <w:szCs w:val="32"/>
          <w:u w:val="none"/>
          <w:lang w:eastAsia="zh-CN"/>
        </w:rPr>
        <w:t>减轻行政处罚规定，</w:t>
      </w:r>
      <w:r>
        <w:rPr>
          <w:rFonts w:hint="eastAsia" w:ascii="仿宋_GB2312" w:hAnsi="仿宋_GB2312" w:eastAsia="仿宋_GB2312" w:cs="仿宋_GB2312"/>
          <w:color w:val="000000"/>
          <w:sz w:val="32"/>
          <w:szCs w:val="32"/>
          <w:u w:val="none"/>
          <w:lang w:val="en-US" w:eastAsia="zh-CN"/>
        </w:rPr>
        <w:t>当事人的违法情形和积极配合调查等情况符合</w:t>
      </w:r>
      <w:r>
        <w:rPr>
          <w:rFonts w:hint="eastAsia" w:ascii="仿宋_GB2312" w:hAnsi="仿宋_GB2312" w:eastAsia="仿宋_GB2312" w:cs="仿宋_GB2312"/>
          <w:color w:val="000000"/>
          <w:sz w:val="32"/>
          <w:szCs w:val="32"/>
          <w:u w:val="none"/>
          <w:lang w:eastAsia="zh-CN"/>
        </w:rPr>
        <w:t>减轻行政处罚</w:t>
      </w:r>
      <w:r>
        <w:rPr>
          <w:rFonts w:hint="eastAsia" w:ascii="仿宋_GB2312" w:hAnsi="仿宋_GB2312" w:eastAsia="仿宋_GB2312" w:cs="仿宋_GB2312"/>
          <w:color w:val="000000"/>
          <w:sz w:val="32"/>
          <w:szCs w:val="32"/>
          <w:highlight w:val="none"/>
          <w:u w:val="none"/>
          <w:lang w:eastAsia="zh-CN"/>
        </w:rPr>
        <w:t>情形</w:t>
      </w:r>
      <w:r>
        <w:rPr>
          <w:rFonts w:hint="eastAsia" w:ascii="仿宋_GB2312" w:hAnsi="仿宋_GB2312" w:eastAsia="仿宋_GB2312" w:cs="仿宋_GB2312"/>
          <w:color w:val="000000"/>
          <w:sz w:val="32"/>
          <w:szCs w:val="32"/>
          <w:u w:val="none"/>
          <w:lang w:eastAsia="zh-CN"/>
        </w:rPr>
        <w:t>。</w:t>
      </w:r>
    </w:p>
    <w:p w14:paraId="751ACC8F">
      <w:pPr>
        <w:pStyle w:val="2"/>
        <w:keepNext w:val="0"/>
        <w:keepLines w:val="0"/>
        <w:pageBreakBefore w:val="0"/>
        <w:kinsoku/>
        <w:wordWrap/>
        <w:overflowPunct/>
        <w:topLinePunct w:val="0"/>
        <w:autoSpaceDE/>
        <w:autoSpaceDN/>
        <w:bidi w:val="0"/>
        <w:snapToGrid/>
        <w:spacing w:line="540" w:lineRule="exact"/>
        <w:rPr>
          <w:rFonts w:hint="eastAsia" w:ascii="仿宋_GB2312" w:hAnsi="仿宋_GB2312" w:eastAsia="仿宋_GB2312" w:cs="仿宋_GB2312"/>
          <w:color w:val="auto"/>
          <w:sz w:val="32"/>
          <w:szCs w:val="32"/>
          <w:u w:val="none"/>
          <w:lang w:eastAsia="zh-CN"/>
        </w:rPr>
      </w:pPr>
    </w:p>
    <w:p w14:paraId="3CD4A83A">
      <w:pPr>
        <w:pStyle w:val="2"/>
        <w:keepNext w:val="0"/>
        <w:keepLines w:val="0"/>
        <w:pageBreakBefore w:val="0"/>
        <w:wordWrap/>
        <w:overflowPunct/>
        <w:topLinePunct w:val="0"/>
        <w:bidi w:val="0"/>
        <w:spacing w:line="540" w:lineRule="exact"/>
        <w:ind w:firstLine="642"/>
        <w:rPr>
          <w:rFonts w:hint="eastAsia" w:ascii="仿宋_GB2312" w:hAnsi="仿宋_GB2312" w:eastAsia="仿宋_GB2312" w:cs="仿宋_GB2312"/>
          <w:b w:val="0"/>
          <w:bCs w:val="0"/>
          <w:i w:val="0"/>
          <w:iCs w:val="0"/>
          <w:caps w:val="0"/>
          <w:color w:val="auto"/>
          <w:spacing w:val="0"/>
          <w:sz w:val="32"/>
          <w:szCs w:val="32"/>
          <w:u w:val="none"/>
          <w:shd w:val="clear" w:fill="FFFFFF"/>
        </w:rPr>
      </w:pPr>
      <w:r>
        <w:rPr>
          <w:rFonts w:hint="eastAsia" w:ascii="仿宋_GB2312" w:hAnsi="仿宋_GB2312" w:eastAsia="仿宋_GB2312" w:cs="仿宋_GB2312"/>
          <w:color w:val="000000"/>
          <w:kern w:val="0"/>
          <w:sz w:val="32"/>
          <w:szCs w:val="32"/>
          <w:u w:val="none"/>
          <w:lang w:val="en-US" w:eastAsia="zh-CN" w:bidi="ar"/>
        </w:rPr>
        <w:t>综上，</w:t>
      </w:r>
      <w:bookmarkStart w:id="4" w:name="OLE_LINK1"/>
      <w:r>
        <w:rPr>
          <w:rFonts w:hint="eastAsia" w:ascii="仿宋_GB2312" w:hAnsi="仿宋_GB2312" w:eastAsia="仿宋_GB2312" w:cs="仿宋_GB2312"/>
          <w:color w:val="000000"/>
          <w:kern w:val="0"/>
          <w:sz w:val="32"/>
          <w:szCs w:val="32"/>
          <w:u w:val="none"/>
          <w:lang w:val="en-US" w:eastAsia="zh-CN" w:bidi="ar"/>
        </w:rPr>
        <w:t>结</w:t>
      </w:r>
      <w:r>
        <w:rPr>
          <w:rFonts w:hint="eastAsia" w:ascii="仿宋_GB2312" w:hAnsi="仿宋_GB2312" w:eastAsia="仿宋_GB2312" w:cs="仿宋_GB2312"/>
          <w:b w:val="0"/>
          <w:bCs/>
          <w:color w:val="000000"/>
          <w:sz w:val="32"/>
          <w:szCs w:val="32"/>
          <w:u w:val="none"/>
          <w:lang w:val="en-US" w:eastAsia="zh-CN"/>
        </w:rPr>
        <w:t>合当事人的过错程度和违法行为的性质、情节及社会危害程度，坚持过罚相当、宽严相济、法理相融的原则。参照国家市监总局印发《关于规范市场监督管理行政处罚裁量权的指导意见》（国市监法规〔2022〕2 号）规定“处罚和教育相结合原则，兼顾纠正违法行为和教育当事人，引导当事人自觉守法。”和《国务院关于进一步规范和监督罚款设定与实施的指导意见》（国发〔2024〕5号）规定“对违法行为的事实、性质、情节以及社会危害程度基本相似的案件，要确保罚款裁量尺度符合法定要求，避免类案不同罚。”及融水苗族自治县人民检察院《关于行刑反向衔接案件防止“小过重罚”“过罚不当”的提示函》第二条“... ...结合查明的违法事实，根据行政处罚行政裁量权规范，依法适用法定从轻、减轻条款，防止出现‘过罚’不相一致，避免‘小过重罚’。”之规定，本局</w:t>
      </w:r>
      <w:r>
        <w:rPr>
          <w:rFonts w:hint="eastAsia" w:ascii="仿宋_GB2312" w:hAnsi="仿宋_GB2312" w:eastAsia="仿宋_GB2312" w:cs="仿宋_GB2312"/>
          <w:color w:val="000000"/>
          <w:kern w:val="0"/>
          <w:sz w:val="32"/>
          <w:szCs w:val="32"/>
          <w:u w:val="none"/>
          <w:lang w:val="en-US" w:eastAsia="zh-CN" w:bidi="ar"/>
        </w:rPr>
        <w:t>依据《中华人民共和国行政处罚法》</w:t>
      </w:r>
      <w:r>
        <w:rPr>
          <w:rFonts w:hint="eastAsia" w:ascii="仿宋_GB2312" w:hAnsi="仿宋_GB2312" w:eastAsia="仿宋_GB2312" w:cs="仿宋_GB2312"/>
          <w:color w:val="000000"/>
          <w:sz w:val="32"/>
          <w:szCs w:val="32"/>
          <w:u w:val="none"/>
        </w:rPr>
        <w:t>第五条第二款：“设定和实施行政处罚必须以事实为依据，与违法行为的事实、性质、情节以及社会危害程度相当。”</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kern w:val="0"/>
          <w:sz w:val="32"/>
          <w:szCs w:val="32"/>
          <w:u w:val="none"/>
          <w:lang w:val="en-US" w:eastAsia="zh-CN" w:bidi="ar"/>
        </w:rPr>
        <w:t>第六条“实施行政处罚，纠正违法行为，应当坚持处罚与教育相结合，教育公民、法人或者其他组织自觉守法。”的规定和</w:t>
      </w:r>
      <w:r>
        <w:rPr>
          <w:rFonts w:hint="eastAsia" w:ascii="仿宋_GB2312" w:hAnsi="仿宋_GB2312" w:eastAsia="仿宋_GB2312" w:cs="仿宋_GB2312"/>
          <w:color w:val="000000"/>
          <w:sz w:val="32"/>
          <w:szCs w:val="32"/>
          <w:u w:val="none"/>
        </w:rPr>
        <w:t>国家市监总局2024年11月发布《关于牢固树立监管为民理念 推行服务型执法的指导意见》</w:t>
      </w:r>
      <w:r>
        <w:rPr>
          <w:rFonts w:hint="eastAsia" w:ascii="仿宋_GB2312" w:hAnsi="仿宋_GB2312" w:eastAsia="仿宋_GB2312" w:cs="仿宋_GB2312"/>
          <w:color w:val="000000"/>
          <w:sz w:val="32"/>
          <w:szCs w:val="32"/>
          <w:u w:val="none"/>
          <w:lang w:eastAsia="zh-CN"/>
        </w:rPr>
        <w:t>的“</w:t>
      </w:r>
      <w:r>
        <w:rPr>
          <w:rFonts w:hint="eastAsia" w:ascii="仿宋_GB2312" w:hAnsi="仿宋_GB2312" w:eastAsia="仿宋_GB2312" w:cs="仿宋_GB2312"/>
          <w:color w:val="000000"/>
          <w:sz w:val="32"/>
          <w:szCs w:val="32"/>
          <w:u w:val="none"/>
        </w:rPr>
        <w:t>预防为主、轻微免罚、重违严惩、过罚相当、事后回访”</w:t>
      </w:r>
      <w:r>
        <w:rPr>
          <w:rFonts w:hint="eastAsia" w:ascii="仿宋_GB2312" w:hAnsi="仿宋_GB2312" w:eastAsia="仿宋_GB2312" w:cs="仿宋_GB2312"/>
          <w:color w:val="000000"/>
          <w:sz w:val="32"/>
          <w:szCs w:val="32"/>
          <w:u w:val="none"/>
          <w:lang w:eastAsia="zh-CN"/>
        </w:rPr>
        <w:t>的</w:t>
      </w:r>
      <w:r>
        <w:rPr>
          <w:rFonts w:hint="eastAsia" w:ascii="仿宋_GB2312" w:hAnsi="仿宋_GB2312" w:eastAsia="仿宋_GB2312" w:cs="仿宋_GB2312"/>
          <w:color w:val="000000"/>
          <w:sz w:val="32"/>
          <w:szCs w:val="32"/>
          <w:u w:val="none"/>
        </w:rPr>
        <w:t>模式</w:t>
      </w:r>
      <w:r>
        <w:rPr>
          <w:rFonts w:hint="eastAsia" w:ascii="仿宋_GB2312" w:hAnsi="仿宋_GB2312" w:eastAsia="仿宋_GB2312" w:cs="仿宋_GB2312"/>
          <w:color w:val="000000"/>
          <w:sz w:val="32"/>
          <w:szCs w:val="32"/>
          <w:u w:val="none"/>
          <w:lang w:eastAsia="zh-CN"/>
        </w:rPr>
        <w:t>。</w:t>
      </w:r>
      <w:bookmarkStart w:id="5" w:name="OLE_LINK3"/>
      <w:r>
        <w:rPr>
          <w:rFonts w:hint="eastAsia" w:ascii="仿宋_GB2312" w:hAnsi="仿宋_GB2312" w:eastAsia="仿宋_GB2312" w:cs="仿宋_GB2312"/>
          <w:b w:val="0"/>
          <w:bCs w:val="0"/>
          <w:color w:val="000000"/>
          <w:sz w:val="32"/>
          <w:szCs w:val="32"/>
          <w:u w:val="none"/>
          <w:lang w:eastAsia="zh-CN"/>
        </w:rPr>
        <w:t>同时</w:t>
      </w:r>
      <w:r>
        <w:rPr>
          <w:rFonts w:hint="eastAsia" w:ascii="仿宋_GB2312" w:hAnsi="仿宋_GB2312" w:eastAsia="仿宋_GB2312" w:cs="仿宋_GB2312"/>
          <w:b w:val="0"/>
          <w:bCs w:val="0"/>
          <w:color w:val="000000"/>
          <w:sz w:val="32"/>
          <w:szCs w:val="32"/>
          <w:u w:val="none"/>
          <w:lang w:val="en-US" w:eastAsia="zh-CN"/>
        </w:rPr>
        <w:t>根据《中华人民共和国行政处罚法》第二十八条第一款“行政机关实施行政处罚时，应当责令当事人改正或者限期改正违法法行为。”的规定</w:t>
      </w:r>
      <w:bookmarkEnd w:id="5"/>
      <w:r>
        <w:rPr>
          <w:rFonts w:hint="eastAsia" w:ascii="仿宋_GB2312" w:hAnsi="仿宋_GB2312" w:eastAsia="仿宋_GB2312" w:cs="仿宋_GB2312"/>
          <w:b w:val="0"/>
          <w:bCs w:val="0"/>
          <w:color w:val="000000"/>
          <w:sz w:val="32"/>
          <w:szCs w:val="32"/>
          <w:u w:val="none"/>
          <w:lang w:val="en-US" w:eastAsia="zh-CN"/>
        </w:rPr>
        <w:t>，现本局决定</w:t>
      </w:r>
      <w:r>
        <w:rPr>
          <w:rFonts w:hint="eastAsia" w:ascii="仿宋_GB2312" w:hAnsi="仿宋_GB2312" w:eastAsia="仿宋_GB2312" w:cs="仿宋_GB2312"/>
          <w:b w:val="0"/>
          <w:bCs w:val="0"/>
          <w:i w:val="0"/>
          <w:iCs w:val="0"/>
          <w:caps w:val="0"/>
          <w:color w:val="000000"/>
          <w:spacing w:val="0"/>
          <w:sz w:val="32"/>
          <w:szCs w:val="32"/>
          <w:u w:val="none"/>
          <w:shd w:val="clear" w:fill="FFFFFF"/>
        </w:rPr>
        <w:t>责令当事人停止违法行为，并</w:t>
      </w:r>
      <w:r>
        <w:rPr>
          <w:rFonts w:hint="eastAsia" w:ascii="仿宋_GB2312" w:hAnsi="仿宋_GB2312" w:eastAsia="仿宋_GB2312" w:cs="仿宋_GB2312"/>
          <w:b w:val="0"/>
          <w:bCs w:val="0"/>
          <w:i w:val="0"/>
          <w:iCs w:val="0"/>
          <w:caps w:val="0"/>
          <w:color w:val="000000"/>
          <w:spacing w:val="0"/>
          <w:sz w:val="32"/>
          <w:szCs w:val="32"/>
          <w:u w:val="none"/>
          <w:shd w:val="clear" w:fill="FFFFFF"/>
          <w:lang w:eastAsia="zh-CN"/>
        </w:rPr>
        <w:t>予以行政</w:t>
      </w:r>
      <w:r>
        <w:rPr>
          <w:rFonts w:hint="eastAsia" w:ascii="仿宋_GB2312" w:hAnsi="仿宋_GB2312" w:eastAsia="仿宋_GB2312" w:cs="仿宋_GB2312"/>
          <w:b w:val="0"/>
          <w:bCs w:val="0"/>
          <w:i w:val="0"/>
          <w:iCs w:val="0"/>
          <w:caps w:val="0"/>
          <w:color w:val="000000"/>
          <w:spacing w:val="0"/>
          <w:sz w:val="32"/>
          <w:szCs w:val="32"/>
          <w:u w:val="none"/>
          <w:shd w:val="clear" w:fill="FFFFFF"/>
        </w:rPr>
        <w:t>处罚如下：</w:t>
      </w:r>
    </w:p>
    <w:p w14:paraId="5C6CEE8D">
      <w:pPr>
        <w:pStyle w:val="2"/>
        <w:keepNext w:val="0"/>
        <w:keepLines w:val="0"/>
        <w:pageBreakBefore w:val="0"/>
        <w:wordWrap/>
        <w:overflowPunct/>
        <w:topLinePunct w:val="0"/>
        <w:bidi w:val="0"/>
        <w:spacing w:line="540" w:lineRule="exact"/>
        <w:ind w:firstLine="642"/>
        <w:rPr>
          <w:rFonts w:hint="eastAsia" w:ascii="仿宋_GB2312" w:hAnsi="仿宋_GB2312" w:eastAsia="仿宋_GB2312" w:cs="仿宋_GB2312"/>
          <w:b w:val="0"/>
          <w:bCs w:val="0"/>
          <w:i w:val="0"/>
          <w:iCs w:val="0"/>
          <w:caps w:val="0"/>
          <w:color w:val="auto"/>
          <w:spacing w:val="0"/>
          <w:sz w:val="32"/>
          <w:szCs w:val="32"/>
          <w:u w:val="none"/>
          <w:shd w:val="clear" w:fill="FFFFFF"/>
        </w:rPr>
      </w:pPr>
    </w:p>
    <w:p w14:paraId="0C63F132">
      <w:pPr>
        <w:keepNext w:val="0"/>
        <w:keepLines w:val="0"/>
        <w:pageBreakBefore w:val="0"/>
        <w:widowControl w:val="0"/>
        <w:numPr>
          <w:ilvl w:val="0"/>
          <w:numId w:val="4"/>
        </w:numPr>
        <w:kinsoku/>
        <w:wordWrap/>
        <w:overflowPunct/>
        <w:topLinePunct w:val="0"/>
        <w:autoSpaceDE/>
        <w:autoSpaceDN/>
        <w:bidi w:val="0"/>
        <w:snapToGrid/>
        <w:spacing w:line="540" w:lineRule="exact"/>
        <w:ind w:left="638" w:leftChars="304" w:firstLine="0" w:firstLineChars="0"/>
        <w:jc w:val="left"/>
        <w:rPr>
          <w:rFonts w:hint="eastAsia" w:ascii="仿宋_GB2312" w:hAnsi="仿宋_GB2312" w:eastAsia="仿宋_GB2312" w:cs="仿宋_GB2312"/>
          <w:b/>
          <w:bCs w:val="0"/>
          <w:color w:val="auto"/>
          <w:sz w:val="32"/>
          <w:szCs w:val="32"/>
          <w:u w:val="none"/>
        </w:rPr>
      </w:pPr>
      <w:r>
        <w:rPr>
          <w:rFonts w:hint="eastAsia" w:ascii="仿宋_GB2312" w:hAnsi="仿宋_GB2312" w:eastAsia="仿宋_GB2312" w:cs="仿宋_GB2312"/>
          <w:b/>
          <w:bCs w:val="0"/>
          <w:color w:val="000000"/>
          <w:sz w:val="32"/>
          <w:szCs w:val="32"/>
          <w:u w:val="none"/>
          <w:lang w:eastAsia="zh-CN"/>
        </w:rPr>
        <w:t>没收违法所得：伍佰元整（</w:t>
      </w:r>
      <w:r>
        <w:rPr>
          <w:rFonts w:hint="eastAsia" w:ascii="仿宋_GB2312" w:hAnsi="仿宋_GB2312" w:eastAsia="仿宋_GB2312" w:cs="仿宋_GB2312"/>
          <w:b/>
          <w:bCs w:val="0"/>
          <w:color w:val="000000"/>
          <w:sz w:val="32"/>
          <w:szCs w:val="32"/>
          <w:u w:val="none"/>
        </w:rPr>
        <w:t>¥50</w:t>
      </w:r>
      <w:r>
        <w:rPr>
          <w:rFonts w:hint="eastAsia" w:ascii="仿宋_GB2312" w:hAnsi="仿宋_GB2312" w:eastAsia="仿宋_GB2312" w:cs="仿宋_GB2312"/>
          <w:b/>
          <w:bCs w:val="0"/>
          <w:color w:val="000000"/>
          <w:sz w:val="32"/>
          <w:szCs w:val="32"/>
          <w:u w:val="none"/>
          <w:lang w:val="en-US" w:eastAsia="zh-CN"/>
        </w:rPr>
        <w:t>0</w:t>
      </w:r>
      <w:r>
        <w:rPr>
          <w:rFonts w:hint="eastAsia" w:ascii="仿宋_GB2312" w:hAnsi="仿宋_GB2312" w:eastAsia="仿宋_GB2312" w:cs="仿宋_GB2312"/>
          <w:b/>
          <w:bCs w:val="0"/>
          <w:color w:val="000000"/>
          <w:sz w:val="32"/>
          <w:szCs w:val="32"/>
          <w:u w:val="none"/>
        </w:rPr>
        <w:t>元</w:t>
      </w:r>
      <w:r>
        <w:rPr>
          <w:rFonts w:hint="eastAsia" w:ascii="仿宋_GB2312" w:hAnsi="仿宋_GB2312" w:eastAsia="仿宋_GB2312" w:cs="仿宋_GB2312"/>
          <w:b/>
          <w:bCs w:val="0"/>
          <w:color w:val="000000"/>
          <w:sz w:val="32"/>
          <w:szCs w:val="32"/>
          <w:u w:val="none"/>
          <w:lang w:eastAsia="zh-CN"/>
        </w:rPr>
        <w:t>）；</w:t>
      </w:r>
    </w:p>
    <w:p w14:paraId="220FBCB4">
      <w:pPr>
        <w:keepNext w:val="0"/>
        <w:keepLines w:val="0"/>
        <w:pageBreakBefore w:val="0"/>
        <w:widowControl w:val="0"/>
        <w:numPr>
          <w:ilvl w:val="0"/>
          <w:numId w:val="4"/>
        </w:numPr>
        <w:kinsoku/>
        <w:wordWrap/>
        <w:overflowPunct/>
        <w:topLinePunct w:val="0"/>
        <w:autoSpaceDE/>
        <w:autoSpaceDN/>
        <w:bidi w:val="0"/>
        <w:snapToGrid/>
        <w:spacing w:line="540" w:lineRule="exact"/>
        <w:ind w:left="638" w:leftChars="304" w:firstLine="0" w:firstLineChars="0"/>
        <w:jc w:val="left"/>
        <w:rPr>
          <w:rFonts w:hint="eastAsia" w:ascii="仿宋_GB2312" w:hAnsi="仿宋_GB2312" w:eastAsia="仿宋_GB2312" w:cs="仿宋_GB2312"/>
          <w:b/>
          <w:bCs w:val="0"/>
          <w:color w:val="auto"/>
          <w:sz w:val="32"/>
          <w:szCs w:val="32"/>
          <w:u w:val="single"/>
        </w:rPr>
      </w:pPr>
      <w:r>
        <w:rPr>
          <w:rFonts w:hint="eastAsia" w:ascii="仿宋_GB2312" w:hAnsi="仿宋_GB2312" w:eastAsia="仿宋_GB2312" w:cs="仿宋_GB2312"/>
          <w:b/>
          <w:bCs w:val="0"/>
          <w:color w:val="000000"/>
          <w:sz w:val="32"/>
          <w:szCs w:val="32"/>
          <w:u w:val="none"/>
        </w:rPr>
        <w:t>罚款</w:t>
      </w:r>
      <w:r>
        <w:rPr>
          <w:rFonts w:hint="eastAsia" w:ascii="仿宋_GB2312" w:hAnsi="仿宋_GB2312" w:eastAsia="仿宋_GB2312" w:cs="仿宋_GB2312"/>
          <w:b/>
          <w:bCs w:val="0"/>
          <w:color w:val="000000"/>
          <w:sz w:val="32"/>
          <w:szCs w:val="32"/>
          <w:u w:val="none"/>
          <w:lang w:eastAsia="zh-CN"/>
        </w:rPr>
        <w:t>：</w:t>
      </w:r>
      <w:r>
        <w:rPr>
          <w:rFonts w:hint="eastAsia" w:ascii="仿宋_GB2312" w:hAnsi="仿宋_GB2312" w:eastAsia="仿宋_GB2312" w:cs="仿宋_GB2312"/>
          <w:b/>
          <w:bCs w:val="0"/>
          <w:color w:val="000000"/>
          <w:sz w:val="32"/>
          <w:szCs w:val="32"/>
          <w:u w:val="none"/>
        </w:rPr>
        <w:t>壹仟元整（¥1</w:t>
      </w:r>
      <w:r>
        <w:rPr>
          <w:rFonts w:hint="eastAsia" w:ascii="仿宋_GB2312" w:hAnsi="仿宋_GB2312" w:eastAsia="仿宋_GB2312" w:cs="仿宋_GB2312"/>
          <w:b/>
          <w:bCs w:val="0"/>
          <w:color w:val="000000"/>
          <w:sz w:val="32"/>
          <w:szCs w:val="32"/>
          <w:u w:val="none"/>
          <w:lang w:val="en-US" w:eastAsia="zh-CN"/>
        </w:rPr>
        <w:t>0</w:t>
      </w:r>
      <w:r>
        <w:rPr>
          <w:rFonts w:hint="eastAsia" w:ascii="仿宋_GB2312" w:hAnsi="仿宋_GB2312" w:eastAsia="仿宋_GB2312" w:cs="仿宋_GB2312"/>
          <w:b/>
          <w:bCs w:val="0"/>
          <w:color w:val="000000"/>
          <w:sz w:val="32"/>
          <w:szCs w:val="32"/>
          <w:u w:val="none"/>
        </w:rPr>
        <w:t>00元）。</w:t>
      </w:r>
    </w:p>
    <w:p w14:paraId="3DB55E3D">
      <w:pPr>
        <w:keepNext w:val="0"/>
        <w:keepLines w:val="0"/>
        <w:pageBreakBefore w:val="0"/>
        <w:wordWrap/>
        <w:overflowPunct/>
        <w:topLinePunct w:val="0"/>
        <w:bidi w:val="0"/>
        <w:spacing w:line="540" w:lineRule="exact"/>
        <w:ind w:firstLine="640" w:firstLineChars="200"/>
        <w:jc w:val="left"/>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000000"/>
          <w:sz w:val="32"/>
          <w:szCs w:val="32"/>
          <w:u w:val="none"/>
          <w:lang w:eastAsia="zh-CN"/>
        </w:rPr>
        <w:t>以上两项罚没款合计共</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val="en-US" w:eastAsia="zh-CN"/>
        </w:rPr>
        <w:t>1500元上缴财政国库。</w:t>
      </w:r>
    </w:p>
    <w:p w14:paraId="6254F67B">
      <w:pPr>
        <w:pStyle w:val="2"/>
        <w:keepNext w:val="0"/>
        <w:keepLines w:val="0"/>
        <w:pageBreakBefore w:val="0"/>
        <w:wordWrap/>
        <w:overflowPunct/>
        <w:topLinePunct w:val="0"/>
        <w:bidi w:val="0"/>
        <w:spacing w:line="540" w:lineRule="exact"/>
        <w:rPr>
          <w:rFonts w:hint="eastAsia" w:ascii="仿宋_GB2312" w:hAnsi="仿宋_GB2312" w:eastAsia="仿宋_GB2312" w:cs="仿宋_GB2312"/>
          <w:color w:val="auto"/>
          <w:sz w:val="32"/>
          <w:szCs w:val="32"/>
        </w:rPr>
      </w:pPr>
    </w:p>
    <w:bookmarkEnd w:id="4"/>
    <w:p w14:paraId="11C8D9D4">
      <w:pPr>
        <w:pStyle w:val="2"/>
        <w:keepNext w:val="0"/>
        <w:keepLines w:val="0"/>
        <w:pageBreakBefore w:val="0"/>
        <w:kinsoku/>
        <w:wordWrap/>
        <w:overflowPunct/>
        <w:topLinePunct w:val="0"/>
        <w:autoSpaceDE/>
        <w:autoSpaceDN/>
        <w:bidi w:val="0"/>
        <w:snapToGrid/>
        <w:spacing w:line="540" w:lineRule="exact"/>
        <w:ind w:firstLine="640" w:firstLineChars="2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000000"/>
          <w:sz w:val="32"/>
          <w:szCs w:val="32"/>
          <w:u w:val="none"/>
        </w:rPr>
        <w:t>当事人应当自收到本行政处罚决定之日起十五日内到融水苗族自治县市场监督管理局财务股开具《广西壮族自治区非税收入电子缴款通知书》，持此缴款通知书到相应银行缴纳罚没款。到期不缴纳罚款的，依据《中华人民共和国行政处罚法》第七十二条的规定，本局将每日按罚款数额的百分之三加处罚款，并依法申请人民法院强制执行。</w:t>
      </w:r>
    </w:p>
    <w:p w14:paraId="4F927BF0">
      <w:pPr>
        <w:keepNext w:val="0"/>
        <w:keepLines w:val="0"/>
        <w:pageBreakBefore w:val="0"/>
        <w:widowControl/>
        <w:wordWrap/>
        <w:overflowPunct/>
        <w:topLinePunct w:val="0"/>
        <w:bidi w:val="0"/>
        <w:snapToGrid w:val="0"/>
        <w:spacing w:line="540" w:lineRule="exact"/>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000000"/>
          <w:sz w:val="32"/>
          <w:szCs w:val="32"/>
          <w:u w:val="none"/>
        </w:rPr>
        <w:t>当事人如不服本行政处罚决定，可以在收到本行政处罚 决定书之日起六十日内向融水苗族自治县人民政府申请行政复议；也可以在六个月内依法向柳州市柳北区人民法院提起行政诉讼。申请行政复议或者提起行政诉讼期间，行政处罚不停止执行。</w:t>
      </w:r>
    </w:p>
    <w:p w14:paraId="62FB554D">
      <w:pPr>
        <w:pStyle w:val="2"/>
        <w:keepNext w:val="0"/>
        <w:keepLines w:val="0"/>
        <w:pageBreakBefore w:val="0"/>
        <w:wordWrap/>
        <w:overflowPunct/>
        <w:topLinePunct w:val="0"/>
        <w:bidi w:val="0"/>
        <w:spacing w:line="540" w:lineRule="exact"/>
        <w:rPr>
          <w:rFonts w:hint="eastAsia" w:ascii="仿宋_GB2312" w:hAnsi="仿宋_GB2312" w:eastAsia="仿宋_GB2312" w:cs="仿宋_GB2312"/>
          <w:color w:val="auto"/>
          <w:sz w:val="32"/>
          <w:szCs w:val="32"/>
          <w:lang w:val="en-US" w:eastAsia="zh-Hans"/>
        </w:rPr>
      </w:pPr>
    </w:p>
    <w:p w14:paraId="3B665F2E">
      <w:pPr>
        <w:pStyle w:val="2"/>
        <w:keepNext w:val="0"/>
        <w:keepLines w:val="0"/>
        <w:pageBreakBefore w:val="0"/>
        <w:wordWrap/>
        <w:overflowPunct/>
        <w:topLinePunct w:val="0"/>
        <w:bidi w:val="0"/>
        <w:spacing w:line="540" w:lineRule="exact"/>
        <w:rPr>
          <w:rFonts w:hint="eastAsia" w:ascii="仿宋_GB2312" w:hAnsi="仿宋_GB2312" w:eastAsia="仿宋_GB2312" w:cs="仿宋_GB2312"/>
          <w:color w:val="auto"/>
          <w:sz w:val="32"/>
          <w:szCs w:val="32"/>
          <w:lang w:val="en-US" w:eastAsia="zh-Hans"/>
        </w:rPr>
      </w:pPr>
    </w:p>
    <w:p w14:paraId="0DC72F8C">
      <w:pPr>
        <w:pStyle w:val="2"/>
        <w:keepNext w:val="0"/>
        <w:keepLines w:val="0"/>
        <w:pageBreakBefore w:val="0"/>
        <w:wordWrap/>
        <w:overflowPunct/>
        <w:topLinePunct w:val="0"/>
        <w:bidi w:val="0"/>
        <w:spacing w:line="540" w:lineRule="exact"/>
        <w:rPr>
          <w:rFonts w:hint="eastAsia" w:ascii="仿宋_GB2312" w:hAnsi="仿宋_GB2312" w:eastAsia="仿宋_GB2312" w:cs="仿宋_GB2312"/>
          <w:color w:val="auto"/>
          <w:sz w:val="32"/>
          <w:szCs w:val="32"/>
          <w:lang w:val="en-US" w:eastAsia="zh-Hans"/>
        </w:rPr>
      </w:pPr>
    </w:p>
    <w:p w14:paraId="671AA125">
      <w:pPr>
        <w:pStyle w:val="2"/>
        <w:keepNext w:val="0"/>
        <w:keepLines w:val="0"/>
        <w:pageBreakBefore w:val="0"/>
        <w:wordWrap/>
        <w:overflowPunct/>
        <w:topLinePunct w:val="0"/>
        <w:bidi w:val="0"/>
        <w:spacing w:line="540" w:lineRule="exact"/>
        <w:rPr>
          <w:rFonts w:hint="eastAsia" w:ascii="仿宋_GB2312" w:hAnsi="仿宋_GB2312" w:eastAsia="仿宋_GB2312" w:cs="仿宋_GB2312"/>
          <w:color w:val="auto"/>
          <w:sz w:val="32"/>
          <w:szCs w:val="32"/>
          <w:lang w:val="en-US" w:eastAsia="zh-Hans"/>
        </w:rPr>
      </w:pPr>
    </w:p>
    <w:p w14:paraId="4CBA0661">
      <w:pPr>
        <w:pStyle w:val="2"/>
        <w:keepNext w:val="0"/>
        <w:keepLines w:val="0"/>
        <w:pageBreakBefore w:val="0"/>
        <w:wordWrap/>
        <w:overflowPunct/>
        <w:topLinePunct w:val="0"/>
        <w:bidi w:val="0"/>
        <w:spacing w:line="540" w:lineRule="exact"/>
        <w:rPr>
          <w:rFonts w:hint="eastAsia" w:ascii="仿宋_GB2312" w:hAnsi="仿宋_GB2312" w:eastAsia="仿宋_GB2312" w:cs="仿宋_GB2312"/>
          <w:color w:val="auto"/>
          <w:sz w:val="32"/>
          <w:szCs w:val="32"/>
          <w:lang w:val="en-US" w:eastAsia="zh-Hans"/>
        </w:rPr>
      </w:pPr>
    </w:p>
    <w:p w14:paraId="117EA010">
      <w:pPr>
        <w:pStyle w:val="2"/>
        <w:keepNext w:val="0"/>
        <w:keepLines w:val="0"/>
        <w:pageBreakBefore w:val="0"/>
        <w:wordWrap/>
        <w:overflowPunct/>
        <w:topLinePunct w:val="0"/>
        <w:bidi w:val="0"/>
        <w:spacing w:line="540" w:lineRule="exact"/>
        <w:rPr>
          <w:rFonts w:hint="eastAsia" w:ascii="仿宋_GB2312" w:hAnsi="仿宋_GB2312" w:eastAsia="仿宋_GB2312" w:cs="仿宋_GB2312"/>
          <w:color w:val="auto"/>
          <w:sz w:val="32"/>
          <w:szCs w:val="32"/>
          <w:lang w:val="en-US" w:eastAsia="zh-Hans"/>
        </w:rPr>
      </w:pPr>
    </w:p>
    <w:p w14:paraId="2E42DDB7">
      <w:pPr>
        <w:pStyle w:val="2"/>
        <w:keepNext w:val="0"/>
        <w:keepLines w:val="0"/>
        <w:pageBreakBefore w:val="0"/>
        <w:wordWrap/>
        <w:overflowPunct/>
        <w:topLinePunct w:val="0"/>
        <w:bidi w:val="0"/>
        <w:spacing w:line="540" w:lineRule="exact"/>
        <w:rPr>
          <w:rFonts w:hint="eastAsia" w:ascii="仿宋_GB2312" w:hAnsi="仿宋_GB2312" w:eastAsia="仿宋_GB2312" w:cs="仿宋_GB2312"/>
          <w:color w:val="auto"/>
          <w:sz w:val="32"/>
          <w:szCs w:val="32"/>
          <w:lang w:val="en-US" w:eastAsia="zh-Hans"/>
        </w:rPr>
      </w:pPr>
    </w:p>
    <w:p w14:paraId="748C4ECE">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hint="eastAsia" w:ascii="仿宋_GB2312" w:hAnsi="仿宋_GB2312" w:eastAsia="仿宋_GB2312" w:cs="仿宋_GB2312"/>
          <w:color w:val="auto"/>
          <w:sz w:val="32"/>
          <w:szCs w:val="32"/>
          <w:u w:val="none"/>
        </w:rPr>
      </w:pPr>
      <w:bookmarkStart w:id="6" w:name="DYNAMIC—DWXX—tAj_dwmc—2"/>
      <w:r>
        <w:rPr>
          <w:rFonts w:hint="eastAsia" w:ascii="仿宋_GB2312" w:hAnsi="仿宋_GB2312" w:eastAsia="仿宋_GB2312" w:cs="仿宋_GB2312"/>
          <w:color w:val="000000"/>
          <w:sz w:val="32"/>
          <w:szCs w:val="32"/>
          <w:u w:val="none"/>
        </w:rPr>
        <w:t>融水苗族自治县市场监督管理局</w:t>
      </w:r>
      <w:bookmarkEnd w:id="6"/>
    </w:p>
    <w:p w14:paraId="1C8EB6E6">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center"/>
        <w:textAlignment w:val="auto"/>
        <w:outlineLvl w:val="9"/>
        <w:rPr>
          <w:rFonts w:ascii="Times New Roman" w:hAnsi="Times New Roman" w:eastAsia="仿宋_GB2312" w:cs="仿宋_GB2312"/>
          <w:color w:val="auto"/>
          <w:sz w:val="32"/>
          <w:szCs w:val="32"/>
        </w:rPr>
      </w:pPr>
      <w:r>
        <w:rPr>
          <w:rFonts w:hint="default" w:ascii="仿宋_GB2312" w:hAnsi="仿宋_GB2312" w:eastAsia="仿宋_GB2312" w:cs="仿宋_GB2312"/>
          <w:color w:val="000000"/>
          <w:sz w:val="32"/>
          <w:szCs w:val="32"/>
          <w:u w:val="none"/>
          <w:lang w:val="en"/>
        </w:rPr>
        <w:t xml:space="preserve">                   </w:t>
      </w:r>
      <w:r>
        <w:rPr>
          <w:rFonts w:hint="eastAsia" w:ascii="仿宋_GB2312" w:hAnsi="Times New Roman" w:eastAsia="仿宋_GB2312" w:cs="仿宋"/>
          <w:color w:val="000000"/>
          <w:sz w:val="32"/>
          <w:u w:val="none"/>
        </w:rPr>
        <w:t>2026年9月20日</w:t>
      </w:r>
      <w:bookmarkEnd w:id="3"/>
      <w:r>
        <w:rPr>
          <w:rFonts w:hint="eastAsia" w:ascii="Times New Roman" w:hAnsi="Times New Roman" w:eastAsia="仿宋_GB2312" w:cs="仿宋_GB2312"/>
          <w:color w:val="000000"/>
          <w:sz w:val="32"/>
          <w:szCs w:val="32"/>
          <w:u w:val="none"/>
        </w:rPr>
        <w:t xml:space="preserve">  </w:t>
      </w:r>
    </w:p>
    <w:p w14:paraId="36536ADA">
      <w:pPr>
        <w:widowControl/>
        <w:snapToGrid w:val="0"/>
        <w:spacing w:line="520" w:lineRule="exact"/>
        <w:jc w:val="right"/>
        <w:rPr>
          <w:rFonts w:ascii="Times New Roman" w:hAnsi="Times New Roman" w:eastAsia="仿宋_GB2312" w:cs="Mongolian Baiti"/>
          <w:color w:val="auto"/>
          <w:sz w:val="32"/>
          <w:szCs w:val="32"/>
        </w:rPr>
      </w:pPr>
    </w:p>
    <w:p w14:paraId="0B3A290D">
      <w:pPr>
        <w:pStyle w:val="5"/>
        <w:spacing w:before="1"/>
        <w:ind w:left="163"/>
        <w:rPr>
          <w:rFonts w:ascii="Times New Roman" w:hAnsi="Times New Roman" w:eastAsia="仿宋_GB2312" w:cs="仿宋"/>
          <w:bCs/>
          <w:color w:val="auto"/>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000000"/>
          <w:spacing w:val="-16"/>
          <w:u w:val="none"/>
        </w:rPr>
        <w:t>（市场监督管理部门将依法向社会公开行政处罚决定信息）</w:t>
      </w:r>
    </w:p>
    <w:p w14:paraId="434BE5B1">
      <w:pPr>
        <w:spacing w:line="500" w:lineRule="exact"/>
        <w:rPr>
          <w:color w:val="auto"/>
        </w:rPr>
      </w:pP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 xml:space="preserve">本文书一式  </w:t>
      </w:r>
      <w:r>
        <w:rPr>
          <w:rFonts w:hint="eastAsia" w:ascii="Times New Roman" w:hAnsi="Times New Roman" w:eastAsia="仿宋_GB2312" w:cs="仿宋"/>
          <w:color w:val="000000"/>
          <w:sz w:val="32"/>
          <w:szCs w:val="32"/>
          <w:u w:val="none"/>
          <w:lang w:eastAsia="zh-CN"/>
        </w:rPr>
        <w:t>二</w:t>
      </w:r>
      <w:r>
        <w:rPr>
          <w:rFonts w:hint="eastAsia" w:ascii="Times New Roman" w:hAnsi="Times New Roman" w:eastAsia="仿宋_GB2312" w:cs="仿宋"/>
          <w:color w:val="000000"/>
          <w:sz w:val="32"/>
          <w:szCs w:val="32"/>
          <w:u w:val="none"/>
        </w:rPr>
        <w:t xml:space="preserve">  份，  </w:t>
      </w:r>
      <w:r>
        <w:rPr>
          <w:rFonts w:hint="eastAsia" w:ascii="Times New Roman" w:hAnsi="Times New Roman" w:eastAsia="仿宋_GB2312" w:cs="仿宋"/>
          <w:color w:val="000000"/>
          <w:sz w:val="32"/>
          <w:szCs w:val="32"/>
          <w:u w:val="none"/>
          <w:lang w:eastAsia="zh-CN"/>
        </w:rPr>
        <w:t>一</w:t>
      </w:r>
      <w:r>
        <w:rPr>
          <w:rFonts w:hint="eastAsia" w:ascii="Times New Roman" w:hAnsi="Times New Roman" w:eastAsia="仿宋_GB2312" w:cs="仿宋"/>
          <w:color w:val="000000"/>
          <w:sz w:val="32"/>
          <w:szCs w:val="32"/>
          <w:u w:val="none"/>
        </w:rPr>
        <w:t xml:space="preserve">  份送达，一份归档。</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Segoe Print"/>
    <w:panose1 w:val="00000400000000000000"/>
    <w:charset w:val="00"/>
    <w:family w:val="roman"/>
    <w:pitch w:val="default"/>
    <w:sig w:usb0="00000000" w:usb1="00000000" w:usb2="00000000" w:usb3="00000000" w:csb0="0000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2000000000000000000"/>
    <w:charset w:val="86"/>
    <w:family w:val="script"/>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BC64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E1E8C1">
                          <w:pPr>
                            <w:pStyle w:val="6"/>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6E1E8C1">
                    <w:pPr>
                      <w:pStyle w:val="6"/>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D317D8"/>
    <w:multiLevelType w:val="singleLevel"/>
    <w:tmpl w:val="D4D317D8"/>
    <w:lvl w:ilvl="0" w:tentative="0">
      <w:start w:val="1"/>
      <w:numFmt w:val="decimal"/>
      <w:suff w:val="nothing"/>
      <w:lvlText w:val="%1、"/>
      <w:lvlJc w:val="left"/>
      <w:pPr>
        <w:ind w:left="-8"/>
      </w:pPr>
    </w:lvl>
  </w:abstractNum>
  <w:abstractNum w:abstractNumId="1">
    <w:nsid w:val="D8F7F4DB"/>
    <w:multiLevelType w:val="singleLevel"/>
    <w:tmpl w:val="D8F7F4DB"/>
    <w:lvl w:ilvl="0" w:tentative="0">
      <w:start w:val="1"/>
      <w:numFmt w:val="decimal"/>
      <w:suff w:val="nothing"/>
      <w:lvlText w:val="%1、"/>
      <w:lvlJc w:val="left"/>
      <w:pPr>
        <w:ind w:left="-10"/>
      </w:pPr>
    </w:lvl>
  </w:abstractNum>
  <w:abstractNum w:abstractNumId="2">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3">
    <w:nsid w:val="0000000A"/>
    <w:multiLevelType w:val="multilevel"/>
    <w:tmpl w:val="0000000A"/>
    <w:lvl w:ilvl="0" w:tentative="0">
      <w:start w:val="1"/>
      <w:numFmt w:val="none"/>
      <w:pStyle w:val="3"/>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2B83402"/>
    <w:rsid w:val="042774DD"/>
    <w:rsid w:val="048D2705"/>
    <w:rsid w:val="04CD463F"/>
    <w:rsid w:val="04FA4431"/>
    <w:rsid w:val="05C51508"/>
    <w:rsid w:val="06476E0A"/>
    <w:rsid w:val="06BAE61F"/>
    <w:rsid w:val="071C7669"/>
    <w:rsid w:val="07580619"/>
    <w:rsid w:val="0776795A"/>
    <w:rsid w:val="07DA78EE"/>
    <w:rsid w:val="08365B64"/>
    <w:rsid w:val="087864F3"/>
    <w:rsid w:val="090B4D3A"/>
    <w:rsid w:val="09290BEC"/>
    <w:rsid w:val="09AA7B69"/>
    <w:rsid w:val="0A2F38BD"/>
    <w:rsid w:val="0A3665F0"/>
    <w:rsid w:val="0B22091D"/>
    <w:rsid w:val="0CF71776"/>
    <w:rsid w:val="0D242541"/>
    <w:rsid w:val="0FB748D6"/>
    <w:rsid w:val="103E22C5"/>
    <w:rsid w:val="11524677"/>
    <w:rsid w:val="115320F9"/>
    <w:rsid w:val="119E3BCA"/>
    <w:rsid w:val="1350279A"/>
    <w:rsid w:val="14203063"/>
    <w:rsid w:val="143E1E38"/>
    <w:rsid w:val="1490670C"/>
    <w:rsid w:val="152E563E"/>
    <w:rsid w:val="15B93156"/>
    <w:rsid w:val="167F748B"/>
    <w:rsid w:val="16D23D7F"/>
    <w:rsid w:val="18325353"/>
    <w:rsid w:val="188449CB"/>
    <w:rsid w:val="18B229B2"/>
    <w:rsid w:val="19FE4517"/>
    <w:rsid w:val="1AE345F4"/>
    <w:rsid w:val="1B37398D"/>
    <w:rsid w:val="1C7339BB"/>
    <w:rsid w:val="1C7A5BA8"/>
    <w:rsid w:val="1E664711"/>
    <w:rsid w:val="1EC222D9"/>
    <w:rsid w:val="1F2B5D07"/>
    <w:rsid w:val="1FC004DE"/>
    <w:rsid w:val="1FD31F15"/>
    <w:rsid w:val="212E3259"/>
    <w:rsid w:val="22287087"/>
    <w:rsid w:val="237778B4"/>
    <w:rsid w:val="23F5677C"/>
    <w:rsid w:val="24626694"/>
    <w:rsid w:val="258D6CE0"/>
    <w:rsid w:val="27A45517"/>
    <w:rsid w:val="2B1B3EFC"/>
    <w:rsid w:val="2CEA3815"/>
    <w:rsid w:val="2DE10173"/>
    <w:rsid w:val="2F327E79"/>
    <w:rsid w:val="2F7CE1EF"/>
    <w:rsid w:val="2F8A6913"/>
    <w:rsid w:val="30DB5683"/>
    <w:rsid w:val="30FA2F6D"/>
    <w:rsid w:val="31562B39"/>
    <w:rsid w:val="31BE0AF5"/>
    <w:rsid w:val="32CE76E8"/>
    <w:rsid w:val="3334290F"/>
    <w:rsid w:val="33740640"/>
    <w:rsid w:val="3585615B"/>
    <w:rsid w:val="363C12E3"/>
    <w:rsid w:val="368E5656"/>
    <w:rsid w:val="377FBB27"/>
    <w:rsid w:val="37F16547"/>
    <w:rsid w:val="38B63DA7"/>
    <w:rsid w:val="3930619F"/>
    <w:rsid w:val="3A4E178D"/>
    <w:rsid w:val="3BF97ECA"/>
    <w:rsid w:val="3C2965F0"/>
    <w:rsid w:val="3D6B1177"/>
    <w:rsid w:val="3E5F4AE1"/>
    <w:rsid w:val="3E853745"/>
    <w:rsid w:val="3F2604DF"/>
    <w:rsid w:val="3F6783E4"/>
    <w:rsid w:val="3F842066"/>
    <w:rsid w:val="3FFF009F"/>
    <w:rsid w:val="3FFF82D4"/>
    <w:rsid w:val="402E7C06"/>
    <w:rsid w:val="40FE5F8F"/>
    <w:rsid w:val="425049CE"/>
    <w:rsid w:val="442B16EC"/>
    <w:rsid w:val="458F64B9"/>
    <w:rsid w:val="45C51FFB"/>
    <w:rsid w:val="46157ACD"/>
    <w:rsid w:val="47243FC5"/>
    <w:rsid w:val="48C10000"/>
    <w:rsid w:val="4A555101"/>
    <w:rsid w:val="4ADF49AE"/>
    <w:rsid w:val="4B8F0B22"/>
    <w:rsid w:val="4C02380F"/>
    <w:rsid w:val="4C7C04B3"/>
    <w:rsid w:val="4C8B4131"/>
    <w:rsid w:val="4CC8271B"/>
    <w:rsid w:val="4D9306AE"/>
    <w:rsid w:val="4E8950D9"/>
    <w:rsid w:val="4F722566"/>
    <w:rsid w:val="4F93378A"/>
    <w:rsid w:val="503F09B5"/>
    <w:rsid w:val="516D5500"/>
    <w:rsid w:val="52802336"/>
    <w:rsid w:val="53A0483E"/>
    <w:rsid w:val="547C0750"/>
    <w:rsid w:val="55FE5622"/>
    <w:rsid w:val="57503162"/>
    <w:rsid w:val="58A4140A"/>
    <w:rsid w:val="591F0542"/>
    <w:rsid w:val="59A10938"/>
    <w:rsid w:val="5BA419F7"/>
    <w:rsid w:val="5BEF1DBF"/>
    <w:rsid w:val="5BF91583"/>
    <w:rsid w:val="5BFB2E57"/>
    <w:rsid w:val="5C5D2BD9"/>
    <w:rsid w:val="5DD7483B"/>
    <w:rsid w:val="5E5FAB03"/>
    <w:rsid w:val="5E605C94"/>
    <w:rsid w:val="5EA00CBE"/>
    <w:rsid w:val="5F9FEDD5"/>
    <w:rsid w:val="5FBEF003"/>
    <w:rsid w:val="5FE33914"/>
    <w:rsid w:val="5FFA4D85"/>
    <w:rsid w:val="602422E6"/>
    <w:rsid w:val="60B635F2"/>
    <w:rsid w:val="60C16F3B"/>
    <w:rsid w:val="612E7E8C"/>
    <w:rsid w:val="617678F3"/>
    <w:rsid w:val="61DC2B1A"/>
    <w:rsid w:val="636955DE"/>
    <w:rsid w:val="646E5E05"/>
    <w:rsid w:val="64E43803"/>
    <w:rsid w:val="657F58CB"/>
    <w:rsid w:val="65FFAD0A"/>
    <w:rsid w:val="66934D57"/>
    <w:rsid w:val="6AD7030F"/>
    <w:rsid w:val="6BA277B7"/>
    <w:rsid w:val="6BCC1BB9"/>
    <w:rsid w:val="6C6723F1"/>
    <w:rsid w:val="6CA517CF"/>
    <w:rsid w:val="6D064CEC"/>
    <w:rsid w:val="6D6C7F13"/>
    <w:rsid w:val="6D923254"/>
    <w:rsid w:val="6DD2313B"/>
    <w:rsid w:val="6E04767D"/>
    <w:rsid w:val="6E355D52"/>
    <w:rsid w:val="6E6950E9"/>
    <w:rsid w:val="6ED952C0"/>
    <w:rsid w:val="6F013B3F"/>
    <w:rsid w:val="6F732ABB"/>
    <w:rsid w:val="6FF58B64"/>
    <w:rsid w:val="6FF8F863"/>
    <w:rsid w:val="70CF02CA"/>
    <w:rsid w:val="70F532B7"/>
    <w:rsid w:val="71013020"/>
    <w:rsid w:val="710D7C3E"/>
    <w:rsid w:val="71FC56E7"/>
    <w:rsid w:val="7376089F"/>
    <w:rsid w:val="74E06ABE"/>
    <w:rsid w:val="75B2DA43"/>
    <w:rsid w:val="75BD90DB"/>
    <w:rsid w:val="75CC41D0"/>
    <w:rsid w:val="75F8119D"/>
    <w:rsid w:val="76222141"/>
    <w:rsid w:val="76704CDE"/>
    <w:rsid w:val="76D869B3"/>
    <w:rsid w:val="76DA50A2"/>
    <w:rsid w:val="76FD0A98"/>
    <w:rsid w:val="77DF8BD4"/>
    <w:rsid w:val="77EFD5CC"/>
    <w:rsid w:val="77FFADAC"/>
    <w:rsid w:val="7835649C"/>
    <w:rsid w:val="789620E4"/>
    <w:rsid w:val="78FD530C"/>
    <w:rsid w:val="7AFB4DD2"/>
    <w:rsid w:val="7B0F6E9A"/>
    <w:rsid w:val="7BA46A39"/>
    <w:rsid w:val="7BFD6076"/>
    <w:rsid w:val="7C8E43D6"/>
    <w:rsid w:val="7DA813EB"/>
    <w:rsid w:val="7DFF108F"/>
    <w:rsid w:val="7EE758E5"/>
    <w:rsid w:val="7EED8AE6"/>
    <w:rsid w:val="7F5A6980"/>
    <w:rsid w:val="7FEADF5C"/>
    <w:rsid w:val="91BF8AB9"/>
    <w:rsid w:val="9FF1B21D"/>
    <w:rsid w:val="B7BFD803"/>
    <w:rsid w:val="BD5EB179"/>
    <w:rsid w:val="BD7F788E"/>
    <w:rsid w:val="BF562098"/>
    <w:rsid w:val="D7F7FDAF"/>
    <w:rsid w:val="DEFF1EB3"/>
    <w:rsid w:val="DF3F4C88"/>
    <w:rsid w:val="DF7A9960"/>
    <w:rsid w:val="DFBF15D5"/>
    <w:rsid w:val="DFD70EC8"/>
    <w:rsid w:val="DFFE6C63"/>
    <w:rsid w:val="E53DE605"/>
    <w:rsid w:val="E775D448"/>
    <w:rsid w:val="E9B3D047"/>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B861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1"/>
    </w:rPr>
  </w:style>
  <w:style w:type="paragraph" w:styleId="5">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6">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439</Words>
  <Characters>439</Characters>
  <Lines>0</Lines>
  <Paragraphs>0</Paragraphs>
  <TotalTime>3</TotalTime>
  <ScaleCrop>false</ScaleCrop>
  <LinksUpToDate>false</LinksUpToDate>
  <CharactersWithSpaces>1173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2021-08-03T02:04:00Z</dcterms:created>
  <dc:creator>胖林宝宝噜啦噜～</dc:creator>
  <cp:lastModifiedBy>Administrator</cp:lastModifiedBy>
  <dcterms:modified xsi:type="dcterms:W3CDTF">2026-09-21T04:02:16Z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526F4C53292B48849053E71A59849707</vt:lpwstr>
  </property>
</Properties>
</file>