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BBFE5">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2F0B5296">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564BAE10">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000000"/>
          <w:sz w:val="32"/>
          <w:u w:val="none"/>
        </w:rPr>
        <w:t>融水市监处罚〔2026〕158号</w:t>
      </w:r>
      <w:bookmarkEnd w:id="2"/>
    </w:p>
    <w:p w14:paraId="05A0ABC1">
      <w:pPr>
        <w:keepNext w:val="0"/>
        <w:keepLines w:val="0"/>
        <w:pageBreakBefore w:val="0"/>
        <w:kinsoku/>
        <w:overflowPunct/>
        <w:topLinePunct w:val="0"/>
        <w:bidi w:val="0"/>
        <w:spacing w:before="315" w:beforeLines="100" w:line="560" w:lineRule="exact"/>
        <w:ind w:left="142" w:hanging="142"/>
        <w:jc w:val="left"/>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000000"/>
          <w:kern w:val="1"/>
          <w:sz w:val="32"/>
          <w:szCs w:val="32"/>
          <w:u w:val="none"/>
        </w:rPr>
        <w:t>当事人：</w:t>
      </w:r>
      <w:bookmarkStart w:id="3" w:name="CALCULATE—DSR—tAjDsrs_cMc"/>
      <w:r>
        <w:rPr>
          <w:rFonts w:hint="eastAsia" w:ascii="仿宋_GB2312" w:hAnsi="仿宋_GB2312" w:eastAsia="仿宋_GB2312" w:cs="仿宋_GB2312"/>
          <w:b w:val="0"/>
          <w:color w:val="000000"/>
          <w:sz w:val="32"/>
          <w:u w:val="none"/>
        </w:rPr>
        <w:t>融水县融水镇赞赞百货店</w:t>
      </w:r>
      <w:bookmarkEnd w:id="3"/>
      <w:r>
        <w:rPr>
          <w:rFonts w:hint="eastAsia" w:ascii="仿宋_GB2312" w:hAnsi="仿宋_GB2312" w:eastAsia="仿宋_GB2312" w:cs="仿宋_GB2312"/>
          <w:b w:val="0"/>
          <w:bCs/>
          <w:color w:val="000000"/>
          <w:kern w:val="1"/>
          <w:sz w:val="32"/>
          <w:szCs w:val="32"/>
          <w:u w:val="none"/>
        </w:rPr>
        <w:t xml:space="preserve">                                            </w:t>
      </w:r>
    </w:p>
    <w:p w14:paraId="220C4434">
      <w:pPr>
        <w:keepNext w:val="0"/>
        <w:keepLines w:val="0"/>
        <w:pageBreakBefore w:val="0"/>
        <w:kinsoku/>
        <w:overflowPunct/>
        <w:topLinePunct w:val="0"/>
        <w:bidi w:val="0"/>
        <w:spacing w:line="560" w:lineRule="exact"/>
        <w:ind w:left="140" w:hanging="140"/>
        <w:jc w:val="left"/>
        <w:rPr>
          <w:rFonts w:hint="eastAsia" w:ascii="仿宋_GB2312" w:hAnsi="仿宋_GB2312" w:eastAsia="仿宋_GB2312" w:cs="仿宋_GB2312"/>
          <w:b w:val="0"/>
          <w:bCs/>
          <w:color w:val="auto"/>
          <w:kern w:val="1"/>
          <w:sz w:val="32"/>
          <w:szCs w:val="32"/>
          <w:u w:val="single"/>
        </w:rPr>
      </w:pPr>
      <w:r>
        <w:rPr>
          <w:rFonts w:hint="eastAsia" w:ascii="仿宋_GB2312" w:hAnsi="仿宋_GB2312" w:eastAsia="仿宋_GB2312" w:cs="仿宋_GB2312"/>
          <w:b w:val="0"/>
          <w:bCs/>
          <w:color w:val="000000"/>
          <w:kern w:val="1"/>
          <w:sz w:val="32"/>
          <w:szCs w:val="32"/>
          <w:u w:val="none"/>
        </w:rPr>
        <w:t>主体资格证照名称：</w:t>
      </w:r>
      <w:bookmarkStart w:id="4" w:name="CALCULATE—DSR—tAjDsrs_cZtzgzzmc"/>
      <w:r>
        <w:rPr>
          <w:rFonts w:hint="eastAsia" w:ascii="仿宋_GB2312" w:hAnsi="仿宋_GB2312" w:eastAsia="仿宋_GB2312" w:cs="仿宋_GB2312"/>
          <w:b w:val="0"/>
          <w:color w:val="000000"/>
          <w:sz w:val="32"/>
          <w:u w:val="none"/>
        </w:rPr>
        <w:t>营业执照</w:t>
      </w:r>
      <w:bookmarkEnd w:id="4"/>
      <w:r>
        <w:rPr>
          <w:rFonts w:hint="eastAsia" w:ascii="仿宋_GB2312" w:hAnsi="仿宋_GB2312" w:eastAsia="仿宋_GB2312" w:cs="仿宋_GB2312"/>
          <w:b w:val="0"/>
          <w:bCs/>
          <w:color w:val="000000"/>
          <w:kern w:val="1"/>
          <w:sz w:val="32"/>
          <w:szCs w:val="32"/>
          <w:u w:val="none"/>
        </w:rPr>
        <w:t xml:space="preserve">                                  </w:t>
      </w:r>
    </w:p>
    <w:p w14:paraId="77F9EA14">
      <w:pPr>
        <w:keepNext w:val="0"/>
        <w:keepLines w:val="0"/>
        <w:pageBreakBefore w:val="0"/>
        <w:kinsoku/>
        <w:overflowPunct/>
        <w:topLinePunct w:val="0"/>
        <w:bidi w:val="0"/>
        <w:spacing w:line="560" w:lineRule="exact"/>
        <w:ind w:left="140" w:hanging="140"/>
        <w:jc w:val="left"/>
        <w:rPr>
          <w:rFonts w:hint="eastAsia" w:ascii="仿宋_GB2312" w:hAnsi="仿宋_GB2312" w:eastAsia="仿宋_GB2312" w:cs="仿宋_GB2312"/>
          <w:b w:val="0"/>
          <w:bCs/>
          <w:color w:val="auto"/>
          <w:kern w:val="1"/>
          <w:sz w:val="32"/>
          <w:szCs w:val="32"/>
          <w:u w:val="single"/>
          <w:lang w:val="en-US" w:eastAsia="zh-CN"/>
        </w:rPr>
      </w:pPr>
      <w:r>
        <w:rPr>
          <w:rFonts w:hint="eastAsia" w:ascii="仿宋_GB2312" w:hAnsi="仿宋_GB2312" w:eastAsia="仿宋_GB2312" w:cs="仿宋_GB2312"/>
          <w:b w:val="0"/>
          <w:bCs/>
          <w:color w:val="000000"/>
          <w:kern w:val="1"/>
          <w:sz w:val="32"/>
          <w:szCs w:val="32"/>
          <w:u w:val="none"/>
        </w:rPr>
        <w:t>统一社会信用代码：</w:t>
      </w:r>
      <w:bookmarkStart w:id="5" w:name="CALCULATE—DSR—tAjDsrs_cTzshxydm"/>
      <w:r>
        <w:rPr>
          <w:rFonts w:hint="eastAsia" w:ascii="仿宋_GB2312" w:hAnsi="仿宋_GB2312" w:eastAsia="仿宋_GB2312" w:cs="仿宋_GB2312"/>
          <w:b w:val="0"/>
          <w:color w:val="000000"/>
          <w:sz w:val="32"/>
          <w:u w:val="none"/>
        </w:rPr>
        <w:t>92450225MABP4R1A31</w:t>
      </w:r>
      <w:bookmarkEnd w:id="5"/>
      <w:r>
        <w:rPr>
          <w:rFonts w:hint="eastAsia" w:ascii="仿宋_GB2312" w:hAnsi="仿宋_GB2312" w:eastAsia="仿宋_GB2312" w:cs="仿宋_GB2312"/>
          <w:b w:val="0"/>
          <w:bCs/>
          <w:color w:val="000000"/>
          <w:kern w:val="1"/>
          <w:sz w:val="32"/>
          <w:szCs w:val="32"/>
          <w:u w:val="none"/>
        </w:rPr>
        <w:t xml:space="preserve">                                  </w:t>
      </w:r>
    </w:p>
    <w:p w14:paraId="0D57EDD7">
      <w:pPr>
        <w:keepNext w:val="0"/>
        <w:keepLines w:val="0"/>
        <w:pageBreakBefore w:val="0"/>
        <w:kinsoku/>
        <w:overflowPunct/>
        <w:topLinePunct w:val="0"/>
        <w:bidi w:val="0"/>
        <w:spacing w:line="560" w:lineRule="exact"/>
        <w:ind w:left="140" w:hanging="140"/>
        <w:jc w:val="left"/>
        <w:rPr>
          <w:rFonts w:hint="eastAsia" w:ascii="仿宋_GB2312" w:hAnsi="仿宋_GB2312" w:eastAsia="仿宋_GB2312" w:cs="仿宋_GB2312"/>
          <w:b w:val="0"/>
          <w:bCs/>
          <w:color w:val="auto"/>
          <w:kern w:val="1"/>
          <w:sz w:val="32"/>
          <w:szCs w:val="32"/>
          <w:lang w:val="en-US" w:eastAsia="zh-CN"/>
        </w:rPr>
      </w:pPr>
      <w:r>
        <w:rPr>
          <w:rFonts w:hint="eastAsia" w:ascii="仿宋_GB2312" w:hAnsi="仿宋_GB2312" w:eastAsia="仿宋_GB2312" w:cs="仿宋_GB2312"/>
          <w:b w:val="0"/>
          <w:bCs/>
          <w:color w:val="000000"/>
          <w:kern w:val="1"/>
          <w:sz w:val="32"/>
          <w:szCs w:val="32"/>
          <w:u w:val="none"/>
        </w:rPr>
        <w:t>住所（住址）：</w:t>
      </w:r>
      <w:bookmarkStart w:id="6" w:name="CALCULATE—DSR—tAjDsrs_cLxdzSheng"/>
      <w:r>
        <w:rPr>
          <w:rFonts w:hint="eastAsia" w:ascii="仿宋_GB2312" w:hAnsi="仿宋_GB2312" w:eastAsia="仿宋_GB2312" w:cs="仿宋_GB2312"/>
          <w:b w:val="0"/>
          <w:color w:val="000000"/>
          <w:sz w:val="32"/>
          <w:u w:val="none"/>
        </w:rPr>
        <w:t>融水县融水镇民族路</w:t>
      </w:r>
      <w:bookmarkEnd w:id="6"/>
      <w:r>
        <w:rPr>
          <w:rFonts w:hint="eastAsia" w:ascii="仿宋_GB2312" w:hAnsi="仿宋_GB2312" w:eastAsia="仿宋_GB2312" w:cs="仿宋_GB2312"/>
          <w:b w:val="0"/>
          <w:color w:val="000000"/>
          <w:sz w:val="32"/>
          <w:u w:val="none"/>
          <w:lang w:val="en-US" w:eastAsia="zh-CN"/>
        </w:rPr>
        <w:t>******</w:t>
      </w:r>
      <w:r>
        <w:rPr>
          <w:rFonts w:hint="eastAsia" w:ascii="仿宋_GB2312" w:hAnsi="仿宋_GB2312" w:eastAsia="仿宋_GB2312" w:cs="仿宋_GB2312"/>
          <w:b w:val="0"/>
          <w:bCs/>
          <w:color w:val="000000"/>
          <w:kern w:val="1"/>
          <w:sz w:val="32"/>
          <w:szCs w:val="32"/>
          <w:u w:val="none"/>
        </w:rPr>
        <w:t xml:space="preserve">                                     </w:t>
      </w:r>
      <w:r>
        <w:rPr>
          <w:rFonts w:hint="eastAsia" w:ascii="仿宋_GB2312" w:hAnsi="仿宋_GB2312" w:eastAsia="仿宋_GB2312" w:cs="仿宋_GB2312"/>
          <w:b w:val="0"/>
          <w:bCs/>
          <w:color w:val="000000"/>
          <w:kern w:val="1"/>
          <w:sz w:val="32"/>
          <w:szCs w:val="32"/>
          <w:u w:val="none"/>
          <w:lang w:val="en-US" w:eastAsia="zh-CN"/>
        </w:rPr>
        <w:t xml:space="preserve"> </w:t>
      </w:r>
    </w:p>
    <w:p w14:paraId="6BCA2B9F">
      <w:pPr>
        <w:keepNext w:val="0"/>
        <w:keepLines w:val="0"/>
        <w:pageBreakBefore w:val="0"/>
        <w:kinsoku/>
        <w:overflowPunct/>
        <w:topLinePunct w:val="0"/>
        <w:bidi w:val="0"/>
        <w:spacing w:line="560" w:lineRule="exact"/>
        <w:jc w:val="left"/>
        <w:rPr>
          <w:rFonts w:hint="eastAsia" w:ascii="仿宋_GB2312" w:hAnsi="仿宋_GB2312" w:eastAsia="仿宋_GB2312" w:cs="仿宋_GB2312"/>
          <w:b w:val="0"/>
          <w:bCs/>
          <w:color w:val="auto"/>
          <w:kern w:val="1"/>
          <w:sz w:val="32"/>
          <w:szCs w:val="32"/>
          <w:lang w:val="en-US" w:eastAsia="zh-CN"/>
        </w:rPr>
      </w:pPr>
      <w:r>
        <w:rPr>
          <w:rFonts w:hint="eastAsia" w:ascii="仿宋_GB2312" w:hAnsi="仿宋_GB2312" w:eastAsia="仿宋_GB2312" w:cs="仿宋_GB2312"/>
          <w:b w:val="0"/>
          <w:bCs/>
          <w:color w:val="000000"/>
          <w:kern w:val="1"/>
          <w:sz w:val="32"/>
          <w:szCs w:val="32"/>
          <w:u w:val="none"/>
        </w:rPr>
        <w:t>法定代表人（负责人</w:t>
      </w:r>
      <w:r>
        <w:rPr>
          <w:rFonts w:hint="eastAsia" w:ascii="仿宋_GB2312" w:hAnsi="仿宋_GB2312" w:eastAsia="仿宋_GB2312" w:cs="仿宋_GB2312"/>
          <w:b w:val="0"/>
          <w:bCs/>
          <w:color w:val="000000"/>
          <w:kern w:val="1"/>
          <w:sz w:val="32"/>
          <w:szCs w:val="32"/>
          <w:u w:val="none"/>
          <w:lang w:eastAsia="zh-CN"/>
        </w:rPr>
        <w:t>、经营者</w:t>
      </w:r>
      <w:r>
        <w:rPr>
          <w:rFonts w:hint="eastAsia" w:ascii="仿宋_GB2312" w:hAnsi="仿宋_GB2312" w:eastAsia="仿宋_GB2312" w:cs="仿宋_GB2312"/>
          <w:b w:val="0"/>
          <w:bCs/>
          <w:color w:val="000000"/>
          <w:kern w:val="1"/>
          <w:sz w:val="32"/>
          <w:szCs w:val="32"/>
          <w:u w:val="none"/>
        </w:rPr>
        <w:t>）：</w:t>
      </w:r>
      <w:bookmarkStart w:id="7" w:name="CALCULATE—DSR—tAjDsrs_cFddbr"/>
      <w:r>
        <w:rPr>
          <w:rFonts w:hint="eastAsia" w:ascii="仿宋_GB2312" w:hAnsi="仿宋_GB2312" w:eastAsia="仿宋_GB2312" w:cs="仿宋_GB2312"/>
          <w:b w:val="0"/>
          <w:color w:val="000000"/>
          <w:sz w:val="32"/>
          <w:u w:val="none"/>
        </w:rPr>
        <w:t>韦英愿</w:t>
      </w:r>
      <w:bookmarkEnd w:id="7"/>
      <w:r>
        <w:rPr>
          <w:rFonts w:hint="eastAsia" w:ascii="仿宋_GB2312" w:hAnsi="仿宋_GB2312" w:eastAsia="仿宋_GB2312" w:cs="仿宋_GB2312"/>
          <w:b w:val="0"/>
          <w:bCs/>
          <w:color w:val="000000"/>
          <w:kern w:val="1"/>
          <w:sz w:val="32"/>
          <w:szCs w:val="32"/>
          <w:u w:val="none"/>
        </w:rPr>
        <w:t xml:space="preserve">                       </w:t>
      </w:r>
    </w:p>
    <w:p w14:paraId="538C4ACB">
      <w:pPr>
        <w:keepNext w:val="0"/>
        <w:keepLines w:val="0"/>
        <w:pageBreakBefore w:val="0"/>
        <w:kinsoku/>
        <w:overflowPunct/>
        <w:topLinePunct w:val="0"/>
        <w:bidi w:val="0"/>
        <w:spacing w:line="560" w:lineRule="exact"/>
        <w:ind w:left="140" w:hanging="140"/>
        <w:jc w:val="left"/>
        <w:rPr>
          <w:rFonts w:hint="eastAsia" w:ascii="仿宋_GB2312" w:hAnsi="仿宋_GB2312" w:eastAsia="仿宋_GB2312" w:cs="仿宋_GB2312"/>
          <w:b w:val="0"/>
          <w:bCs/>
          <w:color w:val="auto"/>
          <w:sz w:val="32"/>
          <w:szCs w:val="32"/>
          <w:u w:val="single" w:color="231F20"/>
        </w:rPr>
      </w:pPr>
      <w:r>
        <w:rPr>
          <w:rFonts w:hint="eastAsia" w:ascii="仿宋_GB2312" w:hAnsi="仿宋_GB2312" w:eastAsia="仿宋_GB2312" w:cs="仿宋_GB2312"/>
          <w:b w:val="0"/>
          <w:bCs/>
          <w:color w:val="000000"/>
          <w:kern w:val="1"/>
          <w:sz w:val="32"/>
          <w:szCs w:val="32"/>
          <w:u w:val="none"/>
        </w:rPr>
        <w:t>身份证件号码：</w:t>
      </w:r>
      <w:bookmarkStart w:id="8" w:name="CALCULATE—DSR—tAjDsrs_cZjhm"/>
      <w:r>
        <w:rPr>
          <w:rFonts w:hint="eastAsia" w:ascii="仿宋_GB2312" w:hAnsi="仿宋_GB2312" w:eastAsia="仿宋_GB2312" w:cs="仿宋_GB2312"/>
          <w:b w:val="0"/>
          <w:color w:val="000000"/>
          <w:sz w:val="32"/>
          <w:u w:val="none"/>
        </w:rPr>
        <w:t>452229198502</w:t>
      </w:r>
      <w:bookmarkEnd w:id="8"/>
      <w:r>
        <w:rPr>
          <w:rFonts w:hint="eastAsia" w:ascii="仿宋_GB2312" w:hAnsi="仿宋_GB2312" w:eastAsia="仿宋_GB2312" w:cs="仿宋_GB2312"/>
          <w:b w:val="0"/>
          <w:color w:val="000000"/>
          <w:sz w:val="32"/>
          <w:u w:val="none"/>
          <w:lang w:val="en-US" w:eastAsia="zh-CN"/>
        </w:rPr>
        <w:t>******</w:t>
      </w:r>
      <w:r>
        <w:rPr>
          <w:rFonts w:hint="eastAsia" w:ascii="仿宋_GB2312" w:hAnsi="仿宋_GB2312" w:eastAsia="仿宋_GB2312" w:cs="仿宋_GB2312"/>
          <w:b w:val="0"/>
          <w:bCs/>
          <w:color w:val="000000"/>
          <w:kern w:val="1"/>
          <w:sz w:val="32"/>
          <w:szCs w:val="32"/>
          <w:u w:val="none"/>
        </w:rPr>
        <w:t xml:space="preserve">                                      </w:t>
      </w:r>
    </w:p>
    <w:p w14:paraId="376A996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color w:val="auto"/>
          <w:sz w:val="32"/>
          <w:szCs w:val="32"/>
          <w:lang w:val="en-US" w:eastAsia="zh-CN"/>
        </w:rPr>
      </w:pPr>
      <w:bookmarkStart w:id="9" w:name="OLE_LINK2"/>
      <w:r>
        <w:rPr>
          <w:rFonts w:hint="eastAsia" w:ascii="仿宋_GB2312" w:hAnsi="仿宋_GB2312" w:eastAsia="仿宋_GB2312" w:cs="仿宋_GB2312"/>
          <w:color w:val="000000"/>
          <w:sz w:val="32"/>
          <w:szCs w:val="32"/>
          <w:u w:val="none"/>
          <w:lang w:val="en-US" w:eastAsia="zh-CN"/>
        </w:rPr>
        <w:t>2026年6月16日，由柳州市市场监督管理局委托的华研检测集团有限责任公司工作人员对融水县融水镇赞赞百货店（以下简称当事人）进行食品安全监督抽检，在经营者韦英愿的陪同下从店内随机抽取香蕉、</w:t>
      </w:r>
      <w:r>
        <w:rPr>
          <w:rFonts w:hint="eastAsia" w:ascii="仿宋_GB2312" w:hAnsi="仿宋" w:eastAsia="仿宋_GB2312"/>
          <w:color w:val="000000"/>
          <w:sz w:val="32"/>
          <w:szCs w:val="32"/>
          <w:u w:val="none"/>
          <w:lang w:val="en-US" w:eastAsia="zh-CN"/>
        </w:rPr>
        <w:t>荔枝、油桃等7个批次</w:t>
      </w:r>
      <w:r>
        <w:rPr>
          <w:rFonts w:hint="eastAsia" w:ascii="仿宋_GB2312" w:hAnsi="仿宋_GB2312" w:eastAsia="仿宋_GB2312" w:cs="仿宋_GB2312"/>
          <w:color w:val="000000"/>
          <w:sz w:val="32"/>
          <w:szCs w:val="32"/>
          <w:u w:val="none"/>
          <w:lang w:val="en-US" w:eastAsia="zh-CN"/>
        </w:rPr>
        <w:t>的样品，并在</w:t>
      </w:r>
      <w:r>
        <w:rPr>
          <w:rFonts w:hint="eastAsia" w:ascii="仿宋_GB2312" w:hAnsi="仿宋_GB2312" w:eastAsia="仿宋_GB2312" w:cs="仿宋_GB2312"/>
          <w:color w:val="000000"/>
          <w:sz w:val="32"/>
          <w:szCs w:val="32"/>
          <w:highlight w:val="none"/>
          <w:u w:val="none"/>
          <w:lang w:val="en-US" w:eastAsia="zh-CN"/>
        </w:rPr>
        <w:t>经营者</w:t>
      </w:r>
      <w:r>
        <w:rPr>
          <w:rFonts w:hint="eastAsia" w:ascii="仿宋_GB2312" w:hAnsi="仿宋_GB2312" w:eastAsia="仿宋_GB2312" w:cs="仿宋_GB2312"/>
          <w:color w:val="000000"/>
          <w:sz w:val="32"/>
          <w:szCs w:val="32"/>
          <w:u w:val="none"/>
          <w:lang w:val="en-US" w:eastAsia="zh-CN"/>
        </w:rPr>
        <w:t>韦英愿</w:t>
      </w:r>
      <w:r>
        <w:rPr>
          <w:rFonts w:hint="eastAsia" w:ascii="仿宋_GB2312" w:hAnsi="仿宋_GB2312" w:eastAsia="仿宋_GB2312" w:cs="仿宋_GB2312"/>
          <w:color w:val="000000"/>
          <w:sz w:val="32"/>
          <w:szCs w:val="32"/>
          <w:highlight w:val="none"/>
          <w:u w:val="none"/>
          <w:lang w:val="en-US" w:eastAsia="zh-CN"/>
        </w:rPr>
        <w:t>的</w:t>
      </w:r>
      <w:r>
        <w:rPr>
          <w:rFonts w:hint="eastAsia" w:ascii="仿宋_GB2312" w:hAnsi="仿宋_GB2312" w:eastAsia="仿宋_GB2312" w:cs="仿宋_GB2312"/>
          <w:color w:val="000000"/>
          <w:sz w:val="32"/>
          <w:szCs w:val="32"/>
          <w:u w:val="none"/>
          <w:lang w:eastAsia="zh-CN"/>
        </w:rPr>
        <w:t>见证下现场封样，现场制作有详细的《食品安全抽样检验抽样单》（抽样单编号：</w:t>
      </w:r>
      <w:r>
        <w:rPr>
          <w:rFonts w:hint="eastAsia" w:ascii="仿宋_GB2312" w:hAnsi="仿宋_GB2312" w:eastAsia="仿宋_GB2312" w:cs="仿宋_GB2312"/>
          <w:color w:val="000000"/>
          <w:sz w:val="32"/>
          <w:szCs w:val="32"/>
          <w:u w:val="none"/>
          <w:lang w:val="en-US" w:eastAsia="zh-CN"/>
        </w:rPr>
        <w:t>DBJ26450200767630125</w:t>
      </w:r>
      <w:r>
        <w:rPr>
          <w:rFonts w:hint="eastAsia" w:ascii="仿宋_GB2312" w:hAnsi="仿宋_GB2312" w:eastAsia="仿宋_GB2312" w:cs="仿宋_GB2312"/>
          <w:color w:val="000000"/>
          <w:sz w:val="32"/>
          <w:szCs w:val="32"/>
          <w:u w:val="none"/>
          <w:lang w:eastAsia="zh-CN"/>
        </w:rPr>
        <w:t>）以及《食品安全抽样检验告知书》各一份</w:t>
      </w:r>
      <w:r>
        <w:rPr>
          <w:rFonts w:hint="eastAsia" w:ascii="仿宋_GB2312" w:hAnsi="仿宋_GB2312" w:eastAsia="仿宋_GB2312" w:cs="仿宋_GB2312"/>
          <w:color w:val="000000"/>
          <w:sz w:val="32"/>
          <w:szCs w:val="32"/>
          <w:u w:val="none"/>
        </w:rPr>
        <w:t>，经</w:t>
      </w:r>
      <w:r>
        <w:rPr>
          <w:rFonts w:hint="eastAsia" w:ascii="仿宋_GB2312" w:hAnsi="仿宋_GB2312" w:eastAsia="仿宋_GB2312" w:cs="仿宋_GB2312"/>
          <w:color w:val="000000"/>
          <w:sz w:val="32"/>
          <w:szCs w:val="32"/>
          <w:u w:val="none"/>
          <w:lang w:eastAsia="zh-CN"/>
        </w:rPr>
        <w:t>该公司</w:t>
      </w:r>
      <w:r>
        <w:rPr>
          <w:rFonts w:hint="eastAsia" w:ascii="仿宋_GB2312" w:hAnsi="仿宋_GB2312" w:eastAsia="仿宋_GB2312" w:cs="仿宋_GB2312"/>
          <w:color w:val="000000"/>
          <w:sz w:val="32"/>
          <w:szCs w:val="32"/>
          <w:u w:val="none"/>
        </w:rPr>
        <w:t>检验，于202</w:t>
      </w: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年</w:t>
      </w:r>
      <w:r>
        <w:rPr>
          <w:rFonts w:hint="eastAsia" w:ascii="仿宋_GB2312" w:hAnsi="仿宋_GB2312" w:eastAsia="仿宋_GB2312" w:cs="仿宋_GB2312"/>
          <w:color w:val="000000"/>
          <w:sz w:val="32"/>
          <w:szCs w:val="32"/>
          <w:u w:val="none"/>
          <w:lang w:val="en-US" w:eastAsia="zh-CN"/>
        </w:rPr>
        <w:t>7</w:t>
      </w:r>
      <w:r>
        <w:rPr>
          <w:rFonts w:hint="eastAsia" w:ascii="仿宋_GB2312" w:hAnsi="仿宋_GB2312" w:eastAsia="仿宋_GB2312" w:cs="仿宋_GB2312"/>
          <w:color w:val="000000"/>
          <w:sz w:val="32"/>
          <w:szCs w:val="32"/>
          <w:u w:val="none"/>
        </w:rPr>
        <w:t>月</w:t>
      </w:r>
      <w:r>
        <w:rPr>
          <w:rFonts w:hint="eastAsia" w:ascii="仿宋_GB2312" w:hAnsi="仿宋_GB2312" w:eastAsia="仿宋_GB2312" w:cs="仿宋_GB2312"/>
          <w:color w:val="000000"/>
          <w:sz w:val="32"/>
          <w:szCs w:val="32"/>
          <w:u w:val="none"/>
          <w:lang w:val="en-US" w:eastAsia="zh-CN"/>
        </w:rPr>
        <w:t>16</w:t>
      </w:r>
      <w:r>
        <w:rPr>
          <w:rFonts w:hint="eastAsia" w:ascii="仿宋_GB2312" w:hAnsi="仿宋_GB2312" w:eastAsia="仿宋_GB2312" w:cs="仿宋_GB2312"/>
          <w:color w:val="000000"/>
          <w:sz w:val="32"/>
          <w:szCs w:val="32"/>
          <w:u w:val="none"/>
        </w:rPr>
        <w:t>日签发的检验报告（报告编号：</w:t>
      </w:r>
      <w:r>
        <w:rPr>
          <w:rFonts w:hint="eastAsia" w:ascii="仿宋_GB2312" w:hAnsi="仿宋_GB2312" w:eastAsia="仿宋_GB2312"/>
          <w:color w:val="000000"/>
          <w:sz w:val="32"/>
          <w:szCs w:val="32"/>
          <w:highlight w:val="none"/>
          <w:u w:val="none"/>
          <w:lang w:val="en-US" w:eastAsia="zh-CN"/>
        </w:rPr>
        <w:t>SP202607731),</w:t>
      </w:r>
      <w:r>
        <w:rPr>
          <w:rFonts w:hint="eastAsia" w:ascii="仿宋_GB2312" w:hAnsi="仿宋_GB2312" w:eastAsia="仿宋_GB2312" w:cs="仿宋_GB2312"/>
          <w:color w:val="000000"/>
          <w:sz w:val="32"/>
          <w:szCs w:val="32"/>
          <w:u w:val="none"/>
        </w:rPr>
        <w:t>样品名称“荔枝”的检验项目“除虫脲”实测值0.86mg/kg,不符合GB2723-2026《食品安全国家标准 食品中农药最大残留限量》≤0.5mg/kg的要求</w:t>
      </w:r>
      <w:r>
        <w:rPr>
          <w:rFonts w:hint="eastAsia" w:ascii="仿宋_GB2312" w:eastAsia="仿宋_GB2312"/>
          <w:color w:val="000000"/>
          <w:sz w:val="32"/>
          <w:szCs w:val="32"/>
          <w:u w:val="none"/>
          <w:lang w:val="en-US" w:eastAsia="zh-CN"/>
        </w:rPr>
        <w:t>，</w:t>
      </w:r>
      <w:r>
        <w:rPr>
          <w:rFonts w:hint="eastAsia" w:ascii="仿宋_GB2312" w:eastAsia="仿宋_GB2312"/>
          <w:color w:val="000000"/>
          <w:sz w:val="32"/>
          <w:szCs w:val="32"/>
          <w:u w:val="none"/>
        </w:rPr>
        <w:t>检验结</w:t>
      </w:r>
      <w:r>
        <w:rPr>
          <w:rFonts w:hint="eastAsia" w:ascii="仿宋_GB2312" w:eastAsia="仿宋_GB2312"/>
          <w:color w:val="000000"/>
          <w:sz w:val="32"/>
          <w:szCs w:val="32"/>
          <w:u w:val="none"/>
          <w:lang w:val="en-US" w:eastAsia="zh-CN"/>
        </w:rPr>
        <w:t>论为不合格</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rPr>
        <w:t>我局执法人员于2026年7月20日送达《检验报告》和《食品安全抽样检验结果通知书》</w:t>
      </w:r>
      <w:r>
        <w:rPr>
          <w:rFonts w:hint="eastAsia" w:ascii="仿宋_GB2312" w:hAnsi="仿宋_GB2312" w:eastAsia="仿宋_GB2312" w:cs="仿宋_GB2312"/>
          <w:color w:val="000000"/>
          <w:sz w:val="32"/>
          <w:szCs w:val="32"/>
          <w:u w:val="none"/>
          <w:lang w:eastAsia="zh-CN"/>
        </w:rPr>
        <w:t>给当事人</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由经营者</w:t>
      </w:r>
      <w:r>
        <w:rPr>
          <w:rFonts w:hint="eastAsia" w:ascii="仿宋_GB2312" w:hAnsi="仿宋_GB2312" w:eastAsia="仿宋_GB2312" w:cs="仿宋_GB2312"/>
          <w:color w:val="000000"/>
          <w:sz w:val="32"/>
          <w:szCs w:val="32"/>
          <w:u w:val="none"/>
        </w:rPr>
        <w:t>签收，并告知享有的权利</w:t>
      </w:r>
      <w:r>
        <w:rPr>
          <w:rFonts w:hint="eastAsia" w:ascii="仿宋_GB2312" w:hAnsi="仿宋_GB2312" w:eastAsia="仿宋_GB2312" w:cs="仿宋_GB2312"/>
          <w:color w:val="000000"/>
          <w:sz w:val="32"/>
          <w:szCs w:val="32"/>
          <w:u w:val="none"/>
          <w:lang w:eastAsia="zh-CN"/>
        </w:rPr>
        <w:t>，当事人对检验结果未提出异议，不申请复检。</w: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highlight w:val="none"/>
          <w:u w:val="none"/>
        </w:rPr>
        <w:t>年</w:t>
      </w:r>
      <w:r>
        <w:rPr>
          <w:rFonts w:hint="eastAsia" w:ascii="仿宋_GB2312" w:hAnsi="仿宋_GB2312" w:eastAsia="仿宋_GB2312" w:cs="仿宋_GB2312"/>
          <w:color w:val="000000"/>
          <w:sz w:val="32"/>
          <w:szCs w:val="32"/>
          <w:highlight w:val="none"/>
          <w:u w:val="none"/>
          <w:lang w:val="en-US" w:eastAsia="zh-CN"/>
        </w:rPr>
        <w:t>7</w:t>
      </w:r>
      <w:r>
        <w:rPr>
          <w:rFonts w:hint="eastAsia" w:ascii="仿宋_GB2312" w:hAnsi="仿宋_GB2312" w:eastAsia="仿宋_GB2312" w:cs="仿宋_GB2312"/>
          <w:color w:val="000000"/>
          <w:sz w:val="32"/>
          <w:szCs w:val="32"/>
          <w:highlight w:val="none"/>
          <w:u w:val="none"/>
        </w:rPr>
        <w:t>月</w:t>
      </w:r>
      <w:r>
        <w:rPr>
          <w:rFonts w:hint="eastAsia" w:ascii="仿宋_GB2312" w:hAnsi="仿宋_GB2312" w:eastAsia="仿宋_GB2312" w:cs="仿宋_GB2312"/>
          <w:color w:val="000000"/>
          <w:sz w:val="32"/>
          <w:szCs w:val="32"/>
          <w:highlight w:val="none"/>
          <w:u w:val="none"/>
          <w:lang w:val="en-US" w:eastAsia="zh-CN"/>
        </w:rPr>
        <w:t>20</w:t>
      </w:r>
      <w:r>
        <w:rPr>
          <w:rFonts w:hint="eastAsia" w:ascii="仿宋_GB2312" w:hAnsi="仿宋_GB2312" w:eastAsia="仿宋_GB2312" w:cs="仿宋_GB2312"/>
          <w:color w:val="000000"/>
          <w:sz w:val="32"/>
          <w:szCs w:val="32"/>
          <w:highlight w:val="none"/>
          <w:u w:val="none"/>
        </w:rPr>
        <w:t>日</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我局决定</w:t>
      </w:r>
      <w:r>
        <w:rPr>
          <w:rFonts w:hint="eastAsia" w:ascii="仿宋_GB2312" w:hAnsi="仿宋_GB2312" w:eastAsia="仿宋_GB2312" w:cs="仿宋_GB2312"/>
          <w:color w:val="000000"/>
          <w:sz w:val="32"/>
          <w:szCs w:val="32"/>
          <w:u w:val="none"/>
        </w:rPr>
        <w:t>对当事人</w:t>
      </w:r>
      <w:r>
        <w:rPr>
          <w:rFonts w:hint="eastAsia" w:ascii="仿宋_GB2312" w:hAnsi="仿宋_GB2312" w:eastAsia="仿宋_GB2312" w:cs="仿宋_GB2312"/>
          <w:color w:val="000000"/>
          <w:sz w:val="32"/>
          <w:szCs w:val="32"/>
          <w:u w:val="none"/>
          <w:lang w:val="en-US" w:eastAsia="zh-CN"/>
        </w:rPr>
        <w:t>进行</w:t>
      </w:r>
      <w:r>
        <w:rPr>
          <w:rFonts w:hint="eastAsia" w:ascii="仿宋_GB2312" w:hAnsi="仿宋_GB2312" w:eastAsia="仿宋_GB2312" w:cs="仿宋_GB2312"/>
          <w:color w:val="000000"/>
          <w:sz w:val="32"/>
          <w:szCs w:val="32"/>
          <w:u w:val="none"/>
        </w:rPr>
        <w:t>立案调查</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2026年8月11日</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执法人员对</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lang w:val="en-US" w:eastAsia="zh-CN"/>
        </w:rPr>
        <w:t>进行</w:t>
      </w:r>
      <w:r>
        <w:rPr>
          <w:rFonts w:hint="eastAsia" w:ascii="仿宋_GB2312" w:hAnsi="仿宋_GB2312" w:eastAsia="仿宋_GB2312" w:cs="仿宋_GB2312"/>
          <w:color w:val="000000"/>
          <w:sz w:val="32"/>
          <w:szCs w:val="32"/>
          <w:u w:val="none"/>
        </w:rPr>
        <w:t>询问调查</w:t>
      </w:r>
      <w:r>
        <w:rPr>
          <w:rFonts w:hint="eastAsia" w:ascii="仿宋_GB2312" w:hAnsi="仿宋_GB2312" w:eastAsia="仿宋_GB2312" w:cs="仿宋_GB2312"/>
          <w:color w:val="000000"/>
          <w:sz w:val="32"/>
          <w:szCs w:val="32"/>
          <w:u w:val="none"/>
          <w:lang w:val="en-US" w:eastAsia="zh-CN"/>
        </w:rPr>
        <w:t>，已基本查明事实。</w:t>
      </w:r>
    </w:p>
    <w:p w14:paraId="13BF1B5B">
      <w:pPr>
        <w:keepNext w:val="0"/>
        <w:keepLines w:val="0"/>
        <w:pageBreakBefore w:val="0"/>
        <w:numPr>
          <w:ilvl w:val="0"/>
          <w:numId w:val="0"/>
        </w:numPr>
        <w:kinsoku/>
        <w:overflowPunct/>
        <w:topLinePunct w:val="0"/>
        <w:autoSpaceDE/>
        <w:autoSpaceDN/>
        <w:bidi w:val="0"/>
        <w:snapToGrid/>
        <w:spacing w:line="560" w:lineRule="exact"/>
        <w:ind w:firstLine="640" w:firstLineChars="200"/>
        <w:jc w:val="left"/>
        <w:rPr>
          <w:rFonts w:hint="eastAsia" w:ascii="仿宋_GB2312" w:hAnsi="仿宋_GB2312" w:eastAsia="仿宋_GB2312" w:cs="仿宋_GB2312"/>
          <w:color w:val="auto"/>
          <w:sz w:val="32"/>
          <w:szCs w:val="32"/>
          <w:lang w:eastAsia="zh-CN"/>
        </w:rPr>
      </w:pPr>
      <w:bookmarkStart w:id="10" w:name="OLE_LINK7"/>
      <w:r>
        <w:rPr>
          <w:rFonts w:hint="eastAsia" w:ascii="仿宋_GB2312" w:hAnsi="仿宋_GB2312" w:eastAsia="仿宋_GB2312" w:cs="仿宋_GB2312"/>
          <w:color w:val="000000"/>
          <w:sz w:val="32"/>
          <w:szCs w:val="32"/>
          <w:u w:val="none"/>
          <w:lang w:val="en-US" w:eastAsia="zh-CN"/>
        </w:rPr>
        <w:t>经查实，当事人取得《营业执照》在</w:t>
      </w:r>
      <w:r>
        <w:rPr>
          <w:rFonts w:hint="eastAsia" w:ascii="仿宋_GB2312" w:hAnsi="仿宋_GB2312" w:eastAsia="仿宋_GB2312" w:cs="仿宋_GB2312"/>
          <w:color w:val="000000"/>
          <w:sz w:val="32"/>
          <w:szCs w:val="32"/>
          <w:u w:val="none"/>
          <w:lang w:eastAsia="zh-CN"/>
        </w:rPr>
        <w:t>融水县融水镇民族</w:t>
      </w:r>
      <w:r>
        <w:rPr>
          <w:rFonts w:hint="eastAsia" w:ascii="仿宋_GB2312" w:hAnsi="仿宋_GB2312" w:eastAsia="仿宋_GB2312" w:cs="仿宋_GB2312"/>
          <w:color w:val="000000"/>
          <w:sz w:val="32"/>
          <w:szCs w:val="32"/>
          <w:u w:val="none"/>
          <w:lang w:val="en-US" w:eastAsia="zh-CN"/>
        </w:rPr>
        <w:t>******从事食品经营活动。当事人近期从融水县蒋弟水果批发店以</w:t>
      </w:r>
      <w:r>
        <w:rPr>
          <w:rFonts w:hint="eastAsia" w:ascii="仿宋_GB2312" w:hAnsi="仿宋_GB2312" w:eastAsia="仿宋_GB2312"/>
          <w:color w:val="000000"/>
          <w:sz w:val="32"/>
          <w:szCs w:val="32"/>
          <w:highlight w:val="none"/>
          <w:u w:val="none"/>
          <w:lang w:val="en-US" w:eastAsia="zh-CN"/>
        </w:rPr>
        <w:t>8.5元/斤的价格</w:t>
      </w:r>
      <w:r>
        <w:rPr>
          <w:rFonts w:hint="eastAsia" w:ascii="仿宋_GB2312" w:hAnsi="仿宋_GB2312" w:eastAsia="仿宋_GB2312" w:cs="仿宋_GB2312"/>
          <w:color w:val="000000"/>
          <w:sz w:val="32"/>
          <w:szCs w:val="32"/>
          <w:u w:val="none"/>
          <w:lang w:val="en-US" w:eastAsia="zh-CN"/>
        </w:rPr>
        <w:t>购进荔枝20斤，并以10元/斤的价格进行销售</w:t>
      </w:r>
      <w:r>
        <w:rPr>
          <w:rFonts w:hint="eastAsia" w:ascii="仿宋_GB2312" w:eastAsia="仿宋_GB2312"/>
          <w:b w:val="0"/>
          <w:bCs/>
          <w:color w:val="000000"/>
          <w:sz w:val="32"/>
          <w:szCs w:val="32"/>
          <w:u w:val="none"/>
          <w:lang w:val="en-US" w:eastAsia="zh-CN"/>
        </w:rPr>
        <w:t>，当事人采购不合格荔枝时，供货商未办理营业执照，当事人</w:t>
      </w:r>
      <w:r>
        <w:rPr>
          <w:rFonts w:hint="eastAsia" w:ascii="仿宋_GB2312" w:eastAsia="仿宋_GB2312"/>
          <w:b w:val="0"/>
          <w:bCs/>
          <w:color w:val="000000"/>
          <w:sz w:val="32"/>
          <w:szCs w:val="32"/>
          <w:u w:val="none"/>
          <w:lang w:eastAsia="zh-CN"/>
        </w:rPr>
        <w:t>提供的供货商的营业执照为</w:t>
      </w:r>
      <w:r>
        <w:rPr>
          <w:rFonts w:hint="eastAsia" w:ascii="仿宋_GB2312" w:eastAsia="仿宋_GB2312"/>
          <w:b w:val="0"/>
          <w:bCs/>
          <w:color w:val="000000"/>
          <w:sz w:val="32"/>
          <w:szCs w:val="32"/>
          <w:u w:val="none"/>
          <w:lang w:val="en-US" w:eastAsia="zh-CN"/>
        </w:rPr>
        <w:t>2026年7月27日补办的，</w:t>
      </w:r>
      <w:r>
        <w:rPr>
          <w:rFonts w:hint="eastAsia" w:ascii="仿宋_GB2312" w:hAnsi="仿宋_GB2312" w:eastAsia="仿宋_GB2312" w:cs="仿宋_GB2312"/>
          <w:color w:val="000000"/>
          <w:sz w:val="32"/>
          <w:szCs w:val="32"/>
          <w:highlight w:val="none"/>
          <w:u w:val="none"/>
          <w:lang w:val="en-US" w:eastAsia="zh-CN"/>
        </w:rPr>
        <w:t>至</w:t>
      </w:r>
      <w:r>
        <w:rPr>
          <w:rFonts w:hint="eastAsia" w:ascii="仿宋_GB2312" w:hAnsi="仿宋_GB2312" w:eastAsia="仿宋_GB2312" w:cs="仿宋_GB2312"/>
          <w:color w:val="000000"/>
          <w:sz w:val="32"/>
          <w:szCs w:val="32"/>
          <w:u w:val="none"/>
        </w:rPr>
        <w:t>2026年7月20日</w:t>
      </w:r>
      <w:r>
        <w:rPr>
          <w:rFonts w:hint="eastAsia" w:ascii="仿宋_GB2312" w:hAnsi="仿宋_GB2312" w:eastAsia="仿宋_GB2312" w:cs="仿宋_GB2312"/>
          <w:color w:val="000000"/>
          <w:sz w:val="32"/>
          <w:szCs w:val="32"/>
          <w:highlight w:val="none"/>
          <w:u w:val="none"/>
          <w:lang w:val="en-US" w:eastAsia="zh-CN"/>
        </w:rPr>
        <w:t>当事人收到</w:t>
      </w:r>
      <w:r>
        <w:rPr>
          <w:rFonts w:hint="eastAsia" w:ascii="仿宋_GB2312" w:hAnsi="仿宋_GB2312" w:eastAsia="仿宋_GB2312" w:cs="仿宋_GB2312"/>
          <w:color w:val="000000"/>
          <w:sz w:val="32"/>
          <w:szCs w:val="32"/>
          <w:highlight w:val="none"/>
          <w:u w:val="none"/>
        </w:rPr>
        <w:t>检验报告</w:t>
      </w:r>
      <w:r>
        <w:rPr>
          <w:rFonts w:hint="eastAsia" w:ascii="仿宋_GB2312" w:hAnsi="仿宋_GB2312" w:eastAsia="仿宋_GB2312" w:cs="仿宋_GB2312"/>
          <w:color w:val="000000"/>
          <w:sz w:val="32"/>
          <w:szCs w:val="32"/>
          <w:highlight w:val="none"/>
          <w:u w:val="none"/>
          <w:lang w:val="en-US" w:eastAsia="zh-CN"/>
        </w:rPr>
        <w:t>时止，当事人已全部销售上述不合格食品，虽然当事人已粘贴召回公告，但截止目前为止未能召回，经核算，当事人销售该批次不合格荔枝的货值金额为200元，违法所得为30元，</w:t>
      </w:r>
      <w:r>
        <w:rPr>
          <w:rFonts w:hint="eastAsia" w:ascii="仿宋_GB2312" w:hAnsi="仿宋_GB2312" w:eastAsia="仿宋_GB2312" w:cs="仿宋_GB2312"/>
          <w:color w:val="000000"/>
          <w:sz w:val="32"/>
          <w:szCs w:val="32"/>
          <w:u w:val="none"/>
          <w:lang w:val="en-US" w:eastAsia="zh-CN"/>
        </w:rPr>
        <w:t>当事人对上述事实均予以承认。</w:t>
      </w:r>
    </w:p>
    <w:bookmarkEnd w:id="9"/>
    <w:bookmarkEnd w:id="10"/>
    <w:p w14:paraId="3FB107CB">
      <w:pPr>
        <w:keepNext w:val="0"/>
        <w:keepLines w:val="0"/>
        <w:pageBreakBefore w:val="0"/>
        <w:widowControl w:val="0"/>
        <w:kinsoku/>
        <w:wordWrap/>
        <w:overflowPunct/>
        <w:topLinePunct w:val="0"/>
        <w:autoSpaceDE/>
        <w:autoSpaceDN/>
        <w:bidi w:val="0"/>
        <w:adjustRightInd w:val="0"/>
        <w:snapToGrid/>
        <w:spacing w:line="560" w:lineRule="exact"/>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rPr>
        <w:t xml:space="preserve">上述事实，主要有以下证据证明：                                              </w:t>
      </w:r>
    </w:p>
    <w:p w14:paraId="74728A2F">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lang w:val="en-US" w:eastAsia="zh-CN"/>
        </w:rPr>
        <w:t>1</w:t>
      </w:r>
      <w:r>
        <w:rPr>
          <w:rFonts w:hint="eastAsia" w:ascii="仿宋_GB2312" w:hAnsi="仿宋_GB2312" w:eastAsia="仿宋_GB2312" w:cs="仿宋_GB2312"/>
          <w:color w:val="000000"/>
          <w:sz w:val="32"/>
          <w:szCs w:val="32"/>
          <w:u w:val="none"/>
        </w:rPr>
        <w:t>.《国家食品安全抽样检验告知书》</w:t>
      </w:r>
      <w:r>
        <w:rPr>
          <w:rFonts w:hint="eastAsia" w:ascii="仿宋_GB2312" w:hAnsi="仿宋_GB2312" w:eastAsia="仿宋_GB2312" w:cs="仿宋_GB2312"/>
          <w:color w:val="000000"/>
          <w:sz w:val="32"/>
          <w:szCs w:val="32"/>
          <w:u w:val="none"/>
          <w:lang w:eastAsia="zh-CN"/>
        </w:rPr>
        <w:t>一</w:t>
      </w:r>
      <w:r>
        <w:rPr>
          <w:rFonts w:hint="eastAsia" w:ascii="仿宋_GB2312" w:hAnsi="仿宋_GB2312" w:eastAsia="仿宋_GB2312" w:cs="仿宋_GB2312"/>
          <w:color w:val="000000"/>
          <w:sz w:val="32"/>
          <w:szCs w:val="32"/>
          <w:u w:val="none"/>
        </w:rPr>
        <w:t>份，</w:t>
      </w:r>
      <w:bookmarkStart w:id="11" w:name="OLE_LINK3"/>
      <w:r>
        <w:rPr>
          <w:rFonts w:hint="eastAsia" w:ascii="仿宋_GB2312" w:hAnsi="仿宋_GB2312" w:eastAsia="仿宋_GB2312" w:cs="仿宋_GB2312"/>
          <w:color w:val="000000"/>
          <w:sz w:val="32"/>
          <w:szCs w:val="32"/>
          <w:u w:val="none"/>
        </w:rPr>
        <w:t>证明：已告知</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rPr>
        <w:t xml:space="preserve">抽检事由和事项；                          </w:t>
      </w:r>
      <w:bookmarkEnd w:id="11"/>
      <w:r>
        <w:rPr>
          <w:rFonts w:hint="eastAsia" w:ascii="仿宋_GB2312" w:hAnsi="仿宋_GB2312" w:eastAsia="仿宋_GB2312" w:cs="仿宋_GB2312"/>
          <w:color w:val="000000"/>
          <w:sz w:val="32"/>
          <w:szCs w:val="32"/>
          <w:u w:val="none"/>
        </w:rPr>
        <w:t xml:space="preserve">  </w:t>
      </w:r>
    </w:p>
    <w:p w14:paraId="3980E9F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lang w:val="en-US" w:eastAsia="zh-CN"/>
        </w:rPr>
        <w:t>2</w:t>
      </w:r>
      <w:r>
        <w:rPr>
          <w:rFonts w:hint="eastAsia" w:ascii="仿宋_GB2312" w:hAnsi="仿宋_GB2312" w:eastAsia="仿宋_GB2312" w:cs="仿宋_GB2312"/>
          <w:color w:val="000000"/>
          <w:sz w:val="32"/>
          <w:szCs w:val="32"/>
          <w:u w:val="none"/>
        </w:rPr>
        <w:t>.《国家食品安全抽样检验抽样单</w:t>
      </w:r>
      <w:r>
        <w:rPr>
          <w:rFonts w:hint="eastAsia" w:ascii="仿宋_GB2312" w:hAnsi="仿宋_GB2312" w:eastAsia="仿宋_GB2312" w:cs="仿宋_GB2312"/>
          <w:color w:val="000000"/>
          <w:sz w:val="32"/>
          <w:szCs w:val="32"/>
          <w:u w:val="none"/>
          <w:lang w:eastAsia="zh-CN"/>
        </w:rPr>
        <w:t>（非网络）</w:t>
      </w:r>
      <w:r>
        <w:rPr>
          <w:rFonts w:hint="eastAsia" w:ascii="仿宋_GB2312" w:hAnsi="仿宋_GB2312" w:eastAsia="仿宋_GB2312" w:cs="仿宋_GB2312"/>
          <w:color w:val="000000"/>
          <w:sz w:val="32"/>
          <w:szCs w:val="32"/>
          <w:u w:val="none"/>
        </w:rPr>
        <w:t>》（抽样单编号：</w:t>
      </w:r>
      <w:r>
        <w:rPr>
          <w:rFonts w:hint="eastAsia" w:ascii="仿宋_GB2312" w:hAnsi="仿宋_GB2312" w:eastAsia="仿宋_GB2312" w:cs="仿宋_GB2312"/>
          <w:color w:val="000000"/>
          <w:sz w:val="32"/>
          <w:szCs w:val="32"/>
          <w:u w:val="none"/>
          <w:lang w:val="en-US" w:eastAsia="zh-CN"/>
        </w:rPr>
        <w:t>DBJ26450200767630125</w:t>
      </w:r>
      <w:r>
        <w:rPr>
          <w:rFonts w:hint="eastAsia" w:ascii="仿宋_GB2312" w:hAnsi="仿宋_GB2312" w:eastAsia="仿宋_GB2312" w:cs="仿宋_GB2312"/>
          <w:color w:val="000000"/>
          <w:sz w:val="32"/>
          <w:szCs w:val="32"/>
          <w:u w:val="none"/>
        </w:rPr>
        <w:t>），</w:t>
      </w:r>
      <w:bookmarkStart w:id="12" w:name="OLE_LINK5"/>
      <w:r>
        <w:rPr>
          <w:rFonts w:hint="eastAsia" w:ascii="仿宋_GB2312" w:hAnsi="仿宋_GB2312" w:eastAsia="仿宋_GB2312" w:cs="仿宋_GB2312"/>
          <w:color w:val="000000"/>
          <w:sz w:val="32"/>
          <w:szCs w:val="32"/>
          <w:u w:val="none"/>
        </w:rPr>
        <w:t>证明：</w:t>
      </w:r>
      <w:r>
        <w:rPr>
          <w:rFonts w:hint="eastAsia" w:ascii="仿宋_GB2312" w:hAnsi="仿宋_GB2312" w:eastAsia="仿宋_GB2312" w:cs="仿宋_GB2312"/>
          <w:color w:val="000000"/>
          <w:sz w:val="32"/>
          <w:szCs w:val="32"/>
          <w:u w:val="none"/>
          <w:lang w:eastAsia="zh-CN"/>
        </w:rPr>
        <w:t>该</w:t>
      </w:r>
      <w:r>
        <w:rPr>
          <w:rFonts w:hint="eastAsia" w:ascii="仿宋_GB2312" w:hAnsi="仿宋_GB2312" w:eastAsia="仿宋_GB2312" w:cs="仿宋_GB2312"/>
          <w:color w:val="000000"/>
          <w:sz w:val="32"/>
          <w:szCs w:val="32"/>
          <w:u w:val="none"/>
        </w:rPr>
        <w:t>样品</w:t>
      </w:r>
      <w:r>
        <w:rPr>
          <w:rFonts w:hint="eastAsia" w:ascii="仿宋_GB2312" w:hAnsi="仿宋_GB2312" w:eastAsia="仿宋_GB2312" w:cs="仿宋_GB2312"/>
          <w:color w:val="000000"/>
          <w:sz w:val="32"/>
          <w:szCs w:val="32"/>
          <w:u w:val="none"/>
          <w:lang w:eastAsia="zh-CN"/>
        </w:rPr>
        <w:t>的</w:t>
      </w:r>
      <w:r>
        <w:rPr>
          <w:rFonts w:hint="eastAsia" w:ascii="仿宋_GB2312" w:hAnsi="仿宋_GB2312" w:eastAsia="仿宋_GB2312" w:cs="仿宋_GB2312"/>
          <w:color w:val="000000"/>
          <w:sz w:val="32"/>
          <w:szCs w:val="32"/>
          <w:u w:val="none"/>
        </w:rPr>
        <w:t xml:space="preserve">基本信息情况；                                  </w:t>
      </w:r>
    </w:p>
    <w:bookmarkEnd w:id="12"/>
    <w:p w14:paraId="086A0E39">
      <w:pPr>
        <w:keepNext w:val="0"/>
        <w:keepLines w:val="0"/>
        <w:pageBreakBefore w:val="0"/>
        <w:widowControl w:val="0"/>
        <w:kinsoku/>
        <w:wordWrap/>
        <w:overflowPunct/>
        <w:topLinePunct w:val="0"/>
        <w:autoSpaceDE/>
        <w:autoSpaceDN/>
        <w:bidi w:val="0"/>
        <w:adjustRightInd w:val="0"/>
        <w:snapToGrid/>
        <w:spacing w:line="560" w:lineRule="exact"/>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rPr>
        <w:t xml:space="preserve">    </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.《检验报告》（</w:t>
      </w:r>
      <w:r>
        <w:rPr>
          <w:rFonts w:hint="eastAsia" w:ascii="仿宋_GB2312" w:hAnsi="仿宋_GB2312" w:eastAsia="仿宋_GB2312" w:cs="仿宋_GB2312"/>
          <w:color w:val="000000"/>
          <w:sz w:val="32"/>
          <w:szCs w:val="32"/>
          <w:u w:val="none"/>
          <w:lang w:eastAsia="zh-CN"/>
        </w:rPr>
        <w:t>报告编号：</w:t>
      </w:r>
      <w:r>
        <w:rPr>
          <w:rFonts w:hint="eastAsia" w:ascii="仿宋_GB2312" w:hAnsi="仿宋_GB2312" w:eastAsia="仿宋_GB2312" w:cs="仿宋_GB2312"/>
          <w:color w:val="000000"/>
          <w:sz w:val="32"/>
          <w:szCs w:val="32"/>
          <w:u w:val="none"/>
          <w:lang w:val="en-US" w:eastAsia="zh-CN"/>
        </w:rPr>
        <w:t>SP202607731</w:t>
      </w:r>
      <w:r>
        <w:rPr>
          <w:rFonts w:hint="eastAsia" w:ascii="仿宋_GB2312" w:hAnsi="仿宋_GB2312" w:eastAsia="仿宋_GB2312" w:cs="仿宋_GB2312"/>
          <w:color w:val="000000"/>
          <w:sz w:val="32"/>
          <w:szCs w:val="32"/>
          <w:u w:val="none"/>
        </w:rPr>
        <w:t xml:space="preserve">）,证明:该样品检验结论不合格；                                                       </w:t>
      </w:r>
    </w:p>
    <w:p w14:paraId="2755397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lang w:val="en-US" w:eastAsia="zh-CN"/>
        </w:rPr>
        <w:t>4</w:t>
      </w:r>
      <w:r>
        <w:rPr>
          <w:rFonts w:hint="eastAsia" w:ascii="仿宋_GB2312" w:hAnsi="仿宋_GB2312" w:eastAsia="仿宋_GB2312" w:cs="仿宋_GB2312"/>
          <w:color w:val="000000"/>
          <w:sz w:val="32"/>
          <w:szCs w:val="32"/>
          <w:u w:val="none"/>
        </w:rPr>
        <w:t>．《食品安全抽样检验结果通知书》,</w:t>
      </w:r>
      <w:bookmarkStart w:id="13" w:name="OLE_LINK8"/>
      <w:r>
        <w:rPr>
          <w:rFonts w:hint="eastAsia" w:ascii="仿宋_GB2312" w:hAnsi="仿宋_GB2312" w:eastAsia="仿宋_GB2312" w:cs="仿宋_GB2312"/>
          <w:color w:val="000000"/>
          <w:sz w:val="32"/>
          <w:szCs w:val="32"/>
          <w:u w:val="none"/>
        </w:rPr>
        <w:t xml:space="preserve">证明：已告知当事人检验结果及享有的权利；                  </w:t>
      </w:r>
      <w:bookmarkEnd w:id="13"/>
      <w:r>
        <w:rPr>
          <w:rFonts w:hint="eastAsia" w:ascii="仿宋_GB2312" w:hAnsi="仿宋_GB2312" w:eastAsia="仿宋_GB2312" w:cs="仿宋_GB2312"/>
          <w:color w:val="000000"/>
          <w:sz w:val="32"/>
          <w:szCs w:val="32"/>
          <w:u w:val="none"/>
        </w:rPr>
        <w:t xml:space="preserve">                            </w:t>
      </w:r>
    </w:p>
    <w:p w14:paraId="499D3A2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 xml:space="preserve">.《现场笔录》,证明：抽检样品不合格后执法人员检查后处置现场记录；                                                        </w:t>
      </w:r>
    </w:p>
    <w:p w14:paraId="05E28D50">
      <w:pPr>
        <w:keepNext w:val="0"/>
        <w:keepLines w:val="0"/>
        <w:pageBreakBefore w:val="0"/>
        <w:widowControl w:val="0"/>
        <w:kinsoku/>
        <w:wordWrap/>
        <w:overflowPunct/>
        <w:topLinePunct w:val="0"/>
        <w:autoSpaceDE/>
        <w:autoSpaceDN/>
        <w:bidi w:val="0"/>
        <w:adjustRightInd w:val="0"/>
        <w:snapToGrid/>
        <w:spacing w:line="560" w:lineRule="exact"/>
        <w:ind w:firstLine="624" w:firstLineChars="195"/>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.《询问笔录》,证明：当事人承认违法事实</w:t>
      </w:r>
      <w:r>
        <w:rPr>
          <w:rFonts w:hint="eastAsia" w:ascii="仿宋_GB2312" w:hAnsi="仿宋_GB2312" w:eastAsia="仿宋_GB2312" w:cs="仿宋_GB2312"/>
          <w:color w:val="000000"/>
          <w:sz w:val="32"/>
          <w:szCs w:val="32"/>
          <w:u w:val="none"/>
          <w:lang w:eastAsia="zh-CN"/>
        </w:rPr>
        <w:t>等</w:t>
      </w:r>
      <w:r>
        <w:rPr>
          <w:rFonts w:hint="eastAsia" w:ascii="仿宋_GB2312" w:hAnsi="仿宋_GB2312" w:eastAsia="仿宋_GB2312" w:cs="仿宋_GB2312"/>
          <w:color w:val="000000"/>
          <w:sz w:val="32"/>
          <w:szCs w:val="32"/>
          <w:u w:val="none"/>
        </w:rPr>
        <w:t xml:space="preserve">事项；                                                                                                      </w:t>
      </w:r>
    </w:p>
    <w:p w14:paraId="3397F27D">
      <w:pPr>
        <w:keepNext w:val="0"/>
        <w:keepLines w:val="0"/>
        <w:pageBreakBefore w:val="0"/>
        <w:widowControl w:val="0"/>
        <w:kinsoku/>
        <w:wordWrap/>
        <w:overflowPunct/>
        <w:topLinePunct w:val="0"/>
        <w:autoSpaceDE/>
        <w:autoSpaceDN/>
        <w:bidi w:val="0"/>
        <w:adjustRightInd w:val="0"/>
        <w:snapToGrid/>
        <w:spacing w:line="560" w:lineRule="exact"/>
        <w:ind w:firstLine="624" w:firstLineChars="195"/>
        <w:jc w:val="left"/>
        <w:textAlignment w:val="baseline"/>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u w:val="none"/>
          <w:lang w:val="en-US" w:eastAsia="zh-CN"/>
        </w:rPr>
        <w:t>7</w:t>
      </w:r>
      <w:r>
        <w:rPr>
          <w:rFonts w:hint="eastAsia" w:ascii="仿宋_GB2312" w:hAnsi="仿宋_GB2312" w:eastAsia="仿宋_GB2312" w:cs="仿宋_GB2312"/>
          <w:color w:val="000000"/>
          <w:sz w:val="32"/>
          <w:szCs w:val="32"/>
          <w:u w:val="none"/>
        </w:rPr>
        <w:t>. 当事人的《营业执照》复印件</w:t>
      </w:r>
      <w:r>
        <w:rPr>
          <w:rFonts w:hint="eastAsia" w:ascii="仿宋_GB2312" w:hAnsi="仿宋_GB2312" w:eastAsia="仿宋_GB2312" w:cs="仿宋_GB2312"/>
          <w:color w:val="000000"/>
          <w:sz w:val="32"/>
          <w:szCs w:val="32"/>
          <w:u w:val="none"/>
          <w:lang w:eastAsia="zh-CN"/>
        </w:rPr>
        <w:t>一</w:t>
      </w:r>
      <w:r>
        <w:rPr>
          <w:rFonts w:hint="eastAsia" w:ascii="仿宋_GB2312" w:hAnsi="仿宋_GB2312" w:eastAsia="仿宋_GB2312" w:cs="仿宋_GB2312"/>
          <w:color w:val="000000"/>
          <w:sz w:val="32"/>
          <w:szCs w:val="32"/>
          <w:u w:val="none"/>
        </w:rPr>
        <w:t xml:space="preserve">份，证明：当事人经营资质及主体资格；                                                                              </w:t>
      </w:r>
    </w:p>
    <w:p w14:paraId="799BA1FC">
      <w:pPr>
        <w:keepNext w:val="0"/>
        <w:keepLines w:val="0"/>
        <w:pageBreakBefore w:val="0"/>
        <w:widowControl w:val="0"/>
        <w:kinsoku/>
        <w:wordWrap/>
        <w:overflowPunct/>
        <w:topLinePunct w:val="0"/>
        <w:autoSpaceDE/>
        <w:autoSpaceDN/>
        <w:bidi w:val="0"/>
        <w:adjustRightInd w:val="0"/>
        <w:snapToGrid/>
        <w:spacing w:line="560" w:lineRule="exact"/>
        <w:ind w:firstLine="624" w:firstLineChars="195"/>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000000"/>
          <w:sz w:val="32"/>
          <w:szCs w:val="32"/>
          <w:u w:val="none"/>
          <w:lang w:val="en-US" w:eastAsia="zh-CN"/>
        </w:rPr>
        <w:t>8</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经营者</w:t>
      </w:r>
      <w:r>
        <w:rPr>
          <w:rFonts w:hint="eastAsia" w:ascii="仿宋_GB2312" w:hAnsi="仿宋_GB2312" w:eastAsia="仿宋_GB2312" w:cs="仿宋_GB2312"/>
          <w:color w:val="000000"/>
          <w:sz w:val="32"/>
          <w:szCs w:val="32"/>
          <w:u w:val="none"/>
        </w:rPr>
        <w:t>个人身份证复印件</w:t>
      </w:r>
      <w:r>
        <w:rPr>
          <w:rFonts w:hint="eastAsia" w:ascii="仿宋_GB2312" w:hAnsi="仿宋_GB2312" w:eastAsia="仿宋_GB2312" w:cs="仿宋_GB2312"/>
          <w:color w:val="000000"/>
          <w:sz w:val="32"/>
          <w:szCs w:val="32"/>
          <w:u w:val="none"/>
          <w:lang w:eastAsia="zh-CN"/>
        </w:rPr>
        <w:t>一</w:t>
      </w:r>
      <w:r>
        <w:rPr>
          <w:rFonts w:hint="eastAsia" w:ascii="仿宋_GB2312" w:hAnsi="仿宋_GB2312" w:eastAsia="仿宋_GB2312" w:cs="仿宋_GB2312"/>
          <w:color w:val="000000"/>
          <w:sz w:val="32"/>
          <w:szCs w:val="32"/>
          <w:u w:val="none"/>
        </w:rPr>
        <w:t>份，证明：</w:t>
      </w:r>
      <w:r>
        <w:rPr>
          <w:rFonts w:hint="eastAsia" w:ascii="仿宋_GB2312" w:hAnsi="仿宋_GB2312" w:eastAsia="仿宋_GB2312" w:cs="仿宋_GB2312"/>
          <w:color w:val="000000"/>
          <w:sz w:val="32"/>
          <w:szCs w:val="32"/>
          <w:u w:val="none"/>
          <w:lang w:eastAsia="zh-CN"/>
        </w:rPr>
        <w:t>经营者</w:t>
      </w:r>
      <w:r>
        <w:rPr>
          <w:rFonts w:hint="eastAsia" w:ascii="仿宋_GB2312" w:hAnsi="仿宋_GB2312" w:eastAsia="仿宋_GB2312" w:cs="仿宋_GB2312"/>
          <w:color w:val="000000"/>
          <w:sz w:val="32"/>
          <w:szCs w:val="32"/>
          <w:u w:val="none"/>
        </w:rPr>
        <w:t xml:space="preserve">的个人基本信息；                                                                           </w:t>
      </w:r>
    </w:p>
    <w:p w14:paraId="74EFD9F1">
      <w:pPr>
        <w:keepNext w:val="0"/>
        <w:keepLines w:val="0"/>
        <w:pageBreakBefore w:val="0"/>
        <w:kinsoku/>
        <w:overflowPunct/>
        <w:topLinePunct w:val="0"/>
        <w:autoSpaceDE/>
        <w:autoSpaceDN/>
        <w:bidi w:val="0"/>
        <w:snapToGrid/>
        <w:spacing w:line="560" w:lineRule="exact"/>
        <w:ind w:firstLine="640" w:firstLineChars="200"/>
        <w:jc w:val="left"/>
        <w:rPr>
          <w:rFonts w:hint="eastAsia" w:ascii="仿宋_GB2312" w:hAnsi="仿宋_GB2312" w:eastAsia="仿宋_GB2312" w:cs="仿宋_GB2312"/>
          <w:color w:val="221E1F"/>
          <w:sz w:val="32"/>
          <w:szCs w:val="32"/>
          <w:highlight w:val="none"/>
        </w:rPr>
      </w:pPr>
      <w:r>
        <w:rPr>
          <w:rFonts w:hint="eastAsia" w:ascii="仿宋_GB2312" w:hAnsi="仿宋_GB2312" w:eastAsia="仿宋_GB2312" w:cs="仿宋_GB2312"/>
          <w:color w:val="000000"/>
          <w:sz w:val="32"/>
          <w:szCs w:val="32"/>
          <w:highlight w:val="none"/>
          <w:u w:val="none"/>
          <w:lang w:val="en-US" w:eastAsia="zh-CN"/>
        </w:rPr>
        <w:t>9</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证据提取单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抽样照片、样品付费单以及后处置</w:t>
      </w:r>
      <w:r>
        <w:rPr>
          <w:rFonts w:hint="eastAsia" w:ascii="仿宋_GB2312" w:hAnsi="仿宋_GB2312" w:eastAsia="仿宋_GB2312" w:cs="仿宋_GB2312"/>
          <w:color w:val="000000"/>
          <w:sz w:val="32"/>
          <w:szCs w:val="32"/>
          <w:u w:val="none"/>
        </w:rPr>
        <w:t>现场检查照片）</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供货商的营业执照照片</w:t>
      </w:r>
      <w:r>
        <w:rPr>
          <w:rFonts w:hint="eastAsia" w:ascii="仿宋_GB2312" w:hAnsi="仿宋_GB2312" w:eastAsia="仿宋_GB2312" w:cs="仿宋_GB2312"/>
          <w:color w:val="000000"/>
          <w:sz w:val="32"/>
          <w:szCs w:val="32"/>
          <w:highlight w:val="none"/>
          <w:u w:val="none"/>
        </w:rPr>
        <w:t>，证明：执法人员现场抽检情况以及</w:t>
      </w:r>
      <w:r>
        <w:rPr>
          <w:rFonts w:hint="eastAsia" w:ascii="仿宋_GB2312" w:hAnsi="仿宋_GB2312" w:eastAsia="仿宋_GB2312" w:cs="仿宋_GB2312"/>
          <w:color w:val="000000"/>
          <w:sz w:val="32"/>
          <w:szCs w:val="32"/>
          <w:highlight w:val="none"/>
          <w:u w:val="none"/>
          <w:lang w:eastAsia="zh-CN"/>
        </w:rPr>
        <w:t>送达《</w:t>
      </w:r>
      <w:r>
        <w:rPr>
          <w:rFonts w:hint="eastAsia" w:ascii="仿宋_GB2312" w:hAnsi="仿宋_GB2312" w:eastAsia="仿宋_GB2312" w:cs="仿宋_GB2312"/>
          <w:color w:val="000000"/>
          <w:sz w:val="32"/>
          <w:szCs w:val="32"/>
          <w:highlight w:val="none"/>
          <w:u w:val="none"/>
        </w:rPr>
        <w:t>不合格检验报告</w:t>
      </w:r>
      <w:r>
        <w:rPr>
          <w:rFonts w:hint="eastAsia" w:ascii="仿宋_GB2312" w:hAnsi="仿宋_GB2312" w:eastAsia="仿宋_GB2312" w:cs="仿宋_GB2312"/>
          <w:color w:val="000000"/>
          <w:sz w:val="32"/>
          <w:szCs w:val="32"/>
          <w:highlight w:val="none"/>
          <w:u w:val="none"/>
          <w:lang w:eastAsia="zh-CN"/>
        </w:rPr>
        <w:t>》时</w:t>
      </w:r>
      <w:r>
        <w:rPr>
          <w:rFonts w:hint="eastAsia" w:ascii="仿宋_GB2312" w:hAnsi="仿宋_GB2312" w:eastAsia="仿宋_GB2312" w:cs="仿宋_GB2312"/>
          <w:color w:val="000000"/>
          <w:sz w:val="32"/>
          <w:szCs w:val="32"/>
          <w:highlight w:val="none"/>
          <w:u w:val="none"/>
        </w:rPr>
        <w:t>对现场的检查情况；</w:t>
      </w:r>
    </w:p>
    <w:p w14:paraId="67DA426E">
      <w:pPr>
        <w:pStyle w:val="4"/>
        <w:keepNext w:val="0"/>
        <w:keepLines w:val="0"/>
        <w:pageBreakBefore w:val="0"/>
        <w:tabs>
          <w:tab w:val="left" w:pos="9060"/>
        </w:tabs>
        <w:kinsoku/>
        <w:overflowPunct/>
        <w:topLinePunct w:val="0"/>
        <w:bidi w:val="0"/>
        <w:spacing w:line="560" w:lineRule="exact"/>
        <w:jc w:val="left"/>
        <w:rPr>
          <w:rFonts w:hint="eastAsia" w:ascii="仿宋_GB2312" w:hAnsi="仿宋_GB2312" w:eastAsia="仿宋_GB2312" w:cs="仿宋_GB2312"/>
          <w:b w:val="0"/>
          <w:bCs/>
          <w:color w:val="auto"/>
          <w:sz w:val="32"/>
          <w:szCs w:val="32"/>
          <w:u w:val="single"/>
          <w:lang w:val="en-US" w:eastAsia="zh-CN"/>
        </w:rPr>
      </w:pPr>
      <w:r>
        <w:rPr>
          <w:rFonts w:hint="eastAsia" w:ascii="仿宋_GB2312" w:hAnsi="仿宋_GB2312" w:eastAsia="仿宋_GB2312" w:cs="仿宋_GB2312"/>
          <w:b w:val="0"/>
          <w:bCs/>
          <w:color w:val="000000"/>
          <w:sz w:val="32"/>
          <w:szCs w:val="32"/>
          <w:u w:val="none"/>
          <w:lang w:val="en-US" w:eastAsia="zh-CN"/>
        </w:rPr>
        <w:t xml:space="preserve">    </w:t>
      </w:r>
      <w:bookmarkStart w:id="14" w:name="CALCULATE—XZCFJDS—cCfgzwsSdrq"/>
      <w:r>
        <w:rPr>
          <w:rFonts w:hint="eastAsia" w:ascii="仿宋_GB2312" w:hAnsi="仿宋_GB2312" w:eastAsia="仿宋_GB2312" w:cs="仿宋_GB2312"/>
          <w:b w:val="0"/>
          <w:color w:val="000000"/>
          <w:sz w:val="32"/>
          <w:u w:val="none"/>
        </w:rPr>
        <w:t>2026年9月10日</w:t>
      </w:r>
      <w:bookmarkEnd w:id="14"/>
      <w:r>
        <w:rPr>
          <w:rFonts w:hint="eastAsia" w:ascii="仿宋_GB2312" w:hAnsi="仿宋_GB2312" w:eastAsia="仿宋_GB2312" w:cs="仿宋_GB2312"/>
          <w:b w:val="0"/>
          <w:bCs/>
          <w:color w:val="000000"/>
          <w:sz w:val="32"/>
          <w:szCs w:val="32"/>
          <w:u w:val="none"/>
        </w:rPr>
        <w:t>，本局向当事人送达了本案《行政处罚告知书》(</w:t>
      </w:r>
      <w:bookmarkStart w:id="15" w:name="CALCULATE—XZCFJDS—cCfgzSdwswh"/>
      <w:r>
        <w:rPr>
          <w:rFonts w:hint="eastAsia" w:ascii="仿宋_GB2312" w:hAnsi="仿宋_GB2312" w:eastAsia="仿宋_GB2312" w:cs="仿宋_GB2312"/>
          <w:b w:val="0"/>
          <w:color w:val="000000"/>
          <w:sz w:val="32"/>
          <w:u w:val="none"/>
        </w:rPr>
        <w:t>融水市监罚告〔2026〕157号</w:t>
      </w:r>
      <w:bookmarkEnd w:id="15"/>
      <w:r>
        <w:rPr>
          <w:rFonts w:hint="eastAsia" w:ascii="仿宋_GB2312" w:hAnsi="仿宋_GB2312" w:eastAsia="仿宋_GB2312" w:cs="仿宋_GB2312"/>
          <w:b w:val="0"/>
          <w:bCs/>
          <w:color w:val="000000"/>
          <w:sz w:val="32"/>
          <w:szCs w:val="32"/>
          <w:u w:val="none"/>
        </w:rPr>
        <w:t>)，</w:t>
      </w:r>
      <w:bookmarkStart w:id="16" w:name="CALCULATE—XZCFJDS—nTccssb"/>
      <w:r>
        <w:rPr>
          <w:rFonts w:hint="eastAsia" w:ascii="仿宋_GB2312" w:hAnsi="仿宋_GB2312" w:eastAsia="仿宋_GB2312" w:cs="仿宋_GB2312"/>
          <w:b w:val="0"/>
          <w:color w:val="000000"/>
          <w:sz w:val="32"/>
          <w:u w:val="none"/>
        </w:rPr>
        <w:t>当事人在法定期限内未提出任何陈述或申辩</w:t>
      </w:r>
      <w:bookmarkEnd w:id="16"/>
      <w:r>
        <w:rPr>
          <w:rFonts w:hint="eastAsia" w:ascii="仿宋_GB2312" w:hAnsi="仿宋_GB2312" w:eastAsia="仿宋_GB2312" w:cs="仿宋_GB2312"/>
          <w:b w:val="0"/>
          <w:color w:val="000000"/>
          <w:sz w:val="32"/>
          <w:u w:val="none"/>
          <w:lang w:eastAsia="zh-CN"/>
        </w:rPr>
        <w:t>，</w:t>
      </w:r>
      <w:r>
        <w:rPr>
          <w:rFonts w:hint="eastAsia" w:ascii="仿宋_GB2312" w:hAnsi="仿宋_GB2312" w:eastAsia="仿宋_GB2312" w:cs="仿宋_GB2312"/>
          <w:b w:val="0"/>
          <w:color w:val="000000"/>
          <w:sz w:val="32"/>
          <w:u w:val="none"/>
          <w:lang w:val="en-US" w:eastAsia="zh-CN"/>
        </w:rPr>
        <w:t>视为放弃此权利。</w:t>
      </w:r>
      <w:r>
        <w:rPr>
          <w:rFonts w:hint="eastAsia" w:ascii="仿宋_GB2312" w:hAnsi="仿宋_GB2312" w:eastAsia="仿宋_GB2312" w:cs="仿宋_GB2312"/>
          <w:b w:val="0"/>
          <w:bCs/>
          <w:color w:val="000000"/>
          <w:sz w:val="32"/>
          <w:szCs w:val="32"/>
          <w:u w:val="none"/>
        </w:rPr>
        <w:t xml:space="preserve">                                          </w:t>
      </w:r>
      <w:r>
        <w:rPr>
          <w:rFonts w:hint="eastAsia" w:ascii="仿宋_GB2312" w:hAnsi="仿宋_GB2312" w:eastAsia="仿宋_GB2312" w:cs="仿宋_GB2312"/>
          <w:b w:val="0"/>
          <w:bCs/>
          <w:color w:val="000000"/>
          <w:sz w:val="32"/>
          <w:szCs w:val="32"/>
          <w:u w:val="none"/>
          <w:lang w:val="en-US" w:eastAsia="zh-CN"/>
        </w:rPr>
        <w:t xml:space="preserve">          </w:t>
      </w:r>
      <w:r>
        <w:rPr>
          <w:rFonts w:hint="eastAsia" w:ascii="仿宋_GB2312" w:hAnsi="仿宋_GB2312" w:eastAsia="仿宋_GB2312" w:cs="仿宋_GB2312"/>
          <w:b w:val="0"/>
          <w:bCs/>
          <w:color w:val="000000"/>
          <w:sz w:val="32"/>
          <w:szCs w:val="32"/>
          <w:u w:val="none"/>
        </w:rPr>
        <w:t xml:space="preserve">                            </w:t>
      </w:r>
      <w:r>
        <w:rPr>
          <w:rFonts w:hint="eastAsia" w:ascii="仿宋_GB2312" w:hAnsi="仿宋_GB2312" w:eastAsia="仿宋_GB2312" w:cs="仿宋_GB2312"/>
          <w:b w:val="0"/>
          <w:bCs/>
          <w:color w:val="000000"/>
          <w:sz w:val="32"/>
          <w:szCs w:val="32"/>
          <w:u w:val="none"/>
          <w:lang w:val="en-US" w:eastAsia="zh-CN"/>
        </w:rPr>
        <w:t xml:space="preserve">                                         </w:t>
      </w:r>
    </w:p>
    <w:p w14:paraId="52FD4A97">
      <w:pPr>
        <w:keepNext w:val="0"/>
        <w:keepLines w:val="0"/>
        <w:pageBreakBefore w:val="0"/>
        <w:kinsoku/>
        <w:overflowPunct/>
        <w:topLinePunct w:val="0"/>
        <w:bidi w:val="0"/>
        <w:spacing w:line="560" w:lineRule="exact"/>
        <w:ind w:firstLine="640" w:firstLineChars="200"/>
        <w:jc w:val="left"/>
        <w:rPr>
          <w:rFonts w:hint="eastAsia" w:ascii="Times New Roman" w:hAnsi="仿宋_GB2312" w:eastAsia="仿宋_GB2312" w:cs="仿宋_GB2312"/>
          <w:bCs/>
          <w:sz w:val="32"/>
          <w:szCs w:val="32"/>
          <w:highlight w:val="none"/>
        </w:rPr>
      </w:pPr>
      <w:r>
        <w:rPr>
          <w:rFonts w:hint="eastAsia" w:ascii="仿宋_GB2312" w:hAnsi="仿宋_GB2312" w:eastAsia="仿宋_GB2312" w:cs="仿宋_GB2312"/>
          <w:color w:val="000000"/>
          <w:kern w:val="1"/>
          <w:sz w:val="32"/>
          <w:szCs w:val="32"/>
          <w:u w:val="none"/>
        </w:rPr>
        <w:t>本局认为，</w:t>
      </w:r>
      <w:bookmarkStart w:id="17" w:name="CALCULATE—XZCFJDS—xzcfjdswfxx"/>
      <w:r>
        <w:rPr>
          <w:rFonts w:hint="eastAsia" w:ascii="Times New Roman" w:hAnsi="仿宋_GB2312" w:eastAsia="仿宋_GB2312" w:cs="仿宋_GB2312"/>
          <w:bCs/>
          <w:color w:val="000000"/>
          <w:sz w:val="32"/>
          <w:szCs w:val="32"/>
          <w:u w:val="none"/>
        </w:rPr>
        <w:t>当事人销售不符合食品安全标准</w:t>
      </w:r>
      <w:r>
        <w:rPr>
          <w:rFonts w:hint="eastAsia" w:ascii="Times New Roman" w:hAnsi="仿宋_GB2312" w:eastAsia="仿宋_GB2312" w:cs="仿宋_GB2312"/>
          <w:bCs/>
          <w:color w:val="000000"/>
          <w:sz w:val="32"/>
          <w:szCs w:val="32"/>
          <w:u w:val="none"/>
          <w:lang w:eastAsia="zh-CN"/>
        </w:rPr>
        <w:t>食品</w:t>
      </w:r>
      <w:r>
        <w:rPr>
          <w:rFonts w:hint="eastAsia" w:ascii="Times New Roman" w:hAnsi="仿宋_GB2312" w:eastAsia="仿宋_GB2312" w:cs="仿宋_GB2312"/>
          <w:bCs/>
          <w:color w:val="000000"/>
          <w:sz w:val="32"/>
          <w:szCs w:val="32"/>
          <w:u w:val="none"/>
        </w:rPr>
        <w:t>的行为，违反了《食用农产品市场销售质量安全监督管理办法》第十五条第一款“禁止销售者采购、销售食品安全法第三十四条规定情形的食用农产品”的规定</w:t>
      </w:r>
      <w:r>
        <w:rPr>
          <w:rFonts w:hint="eastAsia" w:ascii="Times New Roman" w:hAnsi="仿宋_GB2312" w:eastAsia="仿宋_GB2312" w:cs="仿宋_GB2312"/>
          <w:bCs/>
          <w:color w:val="000000"/>
          <w:sz w:val="32"/>
          <w:szCs w:val="32"/>
          <w:highlight w:val="none"/>
          <w:u w:val="none"/>
        </w:rPr>
        <w:t>。</w:t>
      </w:r>
    </w:p>
    <w:p w14:paraId="1D440AF8">
      <w:pPr>
        <w:keepNext w:val="0"/>
        <w:keepLines w:val="0"/>
        <w:pageBreakBefore w:val="0"/>
        <w:kinsoku/>
        <w:overflowPunct/>
        <w:topLinePunct w:val="0"/>
        <w:bidi w:val="0"/>
        <w:spacing w:line="560" w:lineRule="exact"/>
        <w:ind w:firstLine="640" w:firstLineChars="200"/>
        <w:jc w:val="left"/>
        <w:rPr>
          <w:rFonts w:hint="default" w:ascii="Times New Roman" w:hAnsi="仿宋_GB2312" w:eastAsia="仿宋_GB2312" w:cs="仿宋_GB2312"/>
          <w:bCs/>
          <w:sz w:val="32"/>
          <w:szCs w:val="32"/>
          <w:highlight w:val="none"/>
          <w:lang w:val="en-US" w:eastAsia="zh-CN"/>
        </w:rPr>
      </w:pPr>
      <w:r>
        <w:rPr>
          <w:rFonts w:hint="eastAsia" w:ascii="Times New Roman" w:hAnsi="仿宋_GB2312" w:eastAsia="仿宋_GB2312" w:cs="仿宋_GB2312"/>
          <w:bCs/>
          <w:color w:val="000000"/>
          <w:sz w:val="32"/>
          <w:szCs w:val="32"/>
          <w:highlight w:val="none"/>
          <w:u w:val="none"/>
          <w:lang w:val="en-US" w:eastAsia="zh-CN"/>
        </w:rPr>
        <w:t>当事人进货时未履行查验义务的行为，违反了《食用农产品市场销售质量安全监督管理办法》第八条“销售者采购食用农产品，应当依照食品安全法第六十五条的规定建立食用农产品进货查验记录制度，索取并留存食用农产品进货凭证，并核对供货者等有关信息”的规定。</w:t>
      </w:r>
    </w:p>
    <w:bookmarkEnd w:id="17"/>
    <w:p w14:paraId="1CE7A1DD">
      <w:pPr>
        <w:keepNext w:val="0"/>
        <w:keepLines w:val="0"/>
        <w:pageBreakBefore w:val="0"/>
        <w:kinsoku/>
        <w:wordWrap/>
        <w:overflowPunct/>
        <w:topLinePunct w:val="0"/>
        <w:bidi w:val="0"/>
        <w:adjustRightInd w:val="0"/>
        <w:spacing w:line="560" w:lineRule="exact"/>
        <w:ind w:firstLine="640" w:firstLineChars="200"/>
        <w:jc w:val="left"/>
        <w:textAlignment w:val="baseline"/>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sz w:val="32"/>
          <w:szCs w:val="32"/>
          <w:u w:val="none"/>
          <w:lang w:val="en-US" w:eastAsia="zh-CN"/>
        </w:rPr>
        <w:t>经查，当事人未履行进货查验义务，虽供货商之后补办了营业执照，但</w:t>
      </w:r>
      <w:r>
        <w:rPr>
          <w:rFonts w:hint="eastAsia" w:ascii="仿宋_GB2312" w:eastAsia="仿宋_GB2312"/>
          <w:b w:val="0"/>
          <w:bCs/>
          <w:color w:val="000000"/>
          <w:sz w:val="32"/>
          <w:szCs w:val="32"/>
          <w:u w:val="none"/>
          <w:lang w:val="en-US" w:eastAsia="zh-CN"/>
        </w:rPr>
        <w:t>采购不合格荔枝时，供货商处于未办理营业执照状态，</w:t>
      </w:r>
      <w:r>
        <w:rPr>
          <w:rFonts w:hint="eastAsia" w:ascii="仿宋_GB2312" w:hAnsi="仿宋_GB2312" w:eastAsia="仿宋_GB2312" w:cs="仿宋_GB2312"/>
          <w:color w:val="000000"/>
          <w:sz w:val="32"/>
          <w:szCs w:val="32"/>
          <w:u w:val="none"/>
          <w:lang w:val="en-US" w:eastAsia="zh-CN"/>
        </w:rPr>
        <w:t>不符合《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情形。</w:t>
      </w:r>
    </w:p>
    <w:p w14:paraId="767960A9">
      <w:pPr>
        <w:keepNext w:val="0"/>
        <w:keepLines w:val="0"/>
        <w:pageBreakBefore w:val="0"/>
        <w:kinsoku/>
        <w:wordWrap/>
        <w:overflowPunct/>
        <w:topLinePunct w:val="0"/>
        <w:bidi w:val="0"/>
        <w:adjustRightInd w:val="0"/>
        <w:spacing w:line="560" w:lineRule="exact"/>
        <w:ind w:firstLine="640" w:firstLineChars="200"/>
        <w:jc w:val="left"/>
        <w:textAlignment w:val="baseline"/>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鉴于我局目前未收到有因当事人违法行为导致发生的食品安全事故报告，且</w:t>
      </w:r>
      <w:r>
        <w:rPr>
          <w:rFonts w:hint="eastAsia" w:ascii="仿宋_GB2312" w:hAnsi="仿宋_GB2312" w:eastAsia="仿宋_GB2312"/>
          <w:color w:val="000000"/>
          <w:sz w:val="32"/>
          <w:szCs w:val="32"/>
          <w:highlight w:val="none"/>
          <w:u w:val="none"/>
          <w:lang w:val="zh-CN"/>
        </w:rPr>
        <w:t>该批次不合格</w:t>
      </w:r>
      <w:r>
        <w:rPr>
          <w:rFonts w:hint="eastAsia" w:ascii="仿宋_GB2312" w:hAnsi="仿宋_GB2312" w:eastAsia="仿宋_GB2312"/>
          <w:color w:val="000000"/>
          <w:sz w:val="32"/>
          <w:szCs w:val="32"/>
          <w:highlight w:val="none"/>
          <w:u w:val="none"/>
          <w:lang w:val="en-US" w:eastAsia="zh-CN"/>
        </w:rPr>
        <w:t>荔枝</w:t>
      </w:r>
      <w:r>
        <w:rPr>
          <w:rFonts w:hint="eastAsia" w:ascii="仿宋_GB2312" w:hAnsi="仿宋_GB2312" w:eastAsia="仿宋_GB2312"/>
          <w:color w:val="000000"/>
          <w:sz w:val="32"/>
          <w:szCs w:val="32"/>
          <w:highlight w:val="none"/>
          <w:u w:val="none"/>
          <w:lang w:val="zh-CN"/>
        </w:rPr>
        <w:t>的货值金额</w:t>
      </w:r>
      <w:r>
        <w:rPr>
          <w:rFonts w:hint="eastAsia" w:ascii="仿宋_GB2312" w:hAnsi="仿宋_GB2312" w:eastAsia="仿宋_GB2312"/>
          <w:color w:val="000000"/>
          <w:sz w:val="32"/>
          <w:szCs w:val="32"/>
          <w:highlight w:val="none"/>
          <w:u w:val="none"/>
          <w:lang w:val="en-US" w:eastAsia="zh-CN"/>
        </w:rPr>
        <w:t>200</w:t>
      </w:r>
      <w:r>
        <w:rPr>
          <w:rFonts w:hint="eastAsia" w:ascii="仿宋_GB2312" w:hAnsi="仿宋_GB2312" w:eastAsia="仿宋_GB2312"/>
          <w:color w:val="000000"/>
          <w:sz w:val="32"/>
          <w:szCs w:val="32"/>
          <w:highlight w:val="none"/>
          <w:u w:val="none"/>
          <w:lang w:val="zh-CN"/>
        </w:rPr>
        <w:t>元，</w:t>
      </w:r>
      <w:r>
        <w:rPr>
          <w:rFonts w:hint="eastAsia" w:ascii="仿宋_GB2312" w:hAnsi="仿宋_GB2312" w:eastAsia="仿宋_GB2312" w:cs="仿宋_GB2312"/>
          <w:b w:val="0"/>
          <w:bCs w:val="0"/>
          <w:color w:val="000000"/>
          <w:sz w:val="32"/>
          <w:szCs w:val="32"/>
          <w:u w:val="none"/>
          <w:lang w:eastAsia="zh-CN"/>
        </w:rPr>
        <w:t>参照</w:t>
      </w:r>
      <w:r>
        <w:rPr>
          <w:rFonts w:hint="eastAsia" w:ascii="仿宋_GB2312" w:hAnsi="仿宋_GB2312" w:eastAsia="仿宋_GB2312" w:cs="仿宋_GB2312"/>
          <w:color w:val="000000"/>
          <w:sz w:val="32"/>
          <w:szCs w:val="32"/>
          <w:u w:val="none"/>
          <w:lang w:val="en-US" w:eastAsia="zh-CN"/>
        </w:rPr>
        <w:t>《广西壮族自治区市场监督管理行政处罚裁量基准》(2023 版）的“六十七、《食品安全法》行政处罚裁量基准”，序号7的“减轻”，适用情形：“未造成食品安全事故等人身危害后果且有下列情形之一的：...2.产品未销售；或者产品已经销售且货值金额不足一千元；...”，裁量标准为“没收违法所得和违法生产经营的食品、食品添加剂，并可以没收用于违法生产经营的工具、设备、原料等物品；并处5万元以下罚款。”的规定，当事人符合减轻处罚的情形。</w:t>
      </w:r>
    </w:p>
    <w:p w14:paraId="65ABEBC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80" w:afterAutospacing="0" w:line="560" w:lineRule="exact"/>
        <w:ind w:left="0" w:right="0" w:firstLine="42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Times New Roman" w:hAnsi="仿宋_GB2312" w:eastAsia="仿宋_GB2312" w:cs="仿宋_GB2312"/>
          <w:bCs/>
          <w:color w:val="000000"/>
          <w:sz w:val="32"/>
          <w:szCs w:val="32"/>
          <w:highlight w:val="none"/>
          <w:u w:val="none"/>
        </w:rPr>
        <w:t>依</w:t>
      </w:r>
      <w:r>
        <w:rPr>
          <w:rFonts w:hint="eastAsia" w:ascii="Times New Roman" w:hAnsi="仿宋_GB2312" w:eastAsia="仿宋_GB2312" w:cs="仿宋_GB2312"/>
          <w:bCs/>
          <w:color w:val="000000"/>
          <w:sz w:val="32"/>
          <w:szCs w:val="32"/>
          <w:u w:val="none"/>
        </w:rPr>
        <w:t>据《中华人民共和国食品安全法》第一百二十四条</w:t>
      </w:r>
      <w:r>
        <w:rPr>
          <w:rFonts w:hint="eastAsia" w:ascii="Times New Roman" w:hAnsi="仿宋_GB2312" w:eastAsia="仿宋_GB2312" w:cs="仿宋_GB2312"/>
          <w:bCs/>
          <w:color w:val="000000"/>
          <w:sz w:val="32"/>
          <w:szCs w:val="32"/>
          <w:u w:val="none"/>
          <w:lang w:eastAsia="zh-CN"/>
        </w:rPr>
        <w:t>“</w:t>
      </w:r>
      <w:r>
        <w:rPr>
          <w:rFonts w:hint="eastAsia" w:ascii="Times New Roman" w:hAnsi="仿宋_GB2312" w:eastAsia="仿宋_GB2312" w:cs="仿宋_GB2312"/>
          <w:bCs/>
          <w:color w:val="000000"/>
          <w:sz w:val="32"/>
          <w:szCs w:val="32"/>
          <w:u w:val="none"/>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一）生产经营致病性微生物，农药残留、兽药残留、生物毒素、重金属等污染物质以及其他危害人体健康的物质含量超过食品安全标准限量的食品、食品添加剂；”</w:t>
      </w:r>
      <w:r>
        <w:rPr>
          <w:rFonts w:hint="eastAsia" w:ascii="Times New Roman" w:hAnsi="仿宋_GB2312" w:eastAsia="仿宋_GB2312" w:cs="仿宋_GB2312"/>
          <w:bCs/>
          <w:color w:val="000000"/>
          <w:sz w:val="32"/>
          <w:szCs w:val="32"/>
          <w:u w:val="none"/>
          <w:lang w:val="en-US" w:eastAsia="zh-CN"/>
        </w:rPr>
        <w:t>以及</w:t>
      </w:r>
      <w:r>
        <w:rPr>
          <w:rFonts w:hint="eastAsia" w:ascii="Times New Roman" w:hAnsi="仿宋_GB2312" w:eastAsia="仿宋_GB2312" w:cs="仿宋_GB2312"/>
          <w:bCs/>
          <w:color w:val="000000"/>
          <w:sz w:val="32"/>
          <w:szCs w:val="32"/>
          <w:u w:val="none"/>
        </w:rPr>
        <w:t>《中华人民共和国食品安全法》</w:t>
      </w:r>
      <w:r>
        <w:rPr>
          <w:rFonts w:hint="eastAsia" w:ascii="仿宋_GB2312" w:hAnsi="仿宋_GB2312" w:eastAsia="仿宋_GB2312" w:cs="仿宋_GB2312"/>
          <w:i w:val="0"/>
          <w:iCs w:val="0"/>
          <w:caps w:val="0"/>
          <w:color w:val="000000"/>
          <w:spacing w:val="0"/>
          <w:sz w:val="32"/>
          <w:szCs w:val="32"/>
          <w:u w:val="none"/>
          <w:shd w:val="clear" w:fill="FFFFFF"/>
        </w:rPr>
        <w:t>第一百二十六条</w:t>
      </w:r>
      <w:r>
        <w:rPr>
          <w:rFonts w:hint="eastAsia" w:ascii="仿宋_GB2312" w:hAnsi="仿宋_GB2312" w:eastAsia="仿宋_GB2312" w:cs="仿宋_GB2312"/>
          <w:i w:val="0"/>
          <w:iCs w:val="0"/>
          <w:caps w:val="0"/>
          <w:color w:val="000000"/>
          <w:spacing w:val="0"/>
          <w:sz w:val="32"/>
          <w:szCs w:val="32"/>
          <w:u w:val="none"/>
          <w:shd w:val="clear" w:fill="FFFFFF"/>
          <w:lang w:eastAsia="zh-CN"/>
        </w:rPr>
        <w:t>“</w:t>
      </w:r>
      <w:r>
        <w:rPr>
          <w:rFonts w:hint="eastAsia" w:ascii="仿宋_GB2312" w:hAnsi="仿宋_GB2312" w:eastAsia="仿宋_GB2312" w:cs="仿宋_GB2312"/>
          <w:i w:val="0"/>
          <w:iCs w:val="0"/>
          <w:caps w:val="0"/>
          <w:color w:val="000000"/>
          <w:spacing w:val="0"/>
          <w:sz w:val="32"/>
          <w:szCs w:val="32"/>
          <w:u w:val="none"/>
          <w:shd w:val="clear" w:fill="FFFFFF"/>
        </w:rPr>
        <w:t>违反本法规定，有下列情形之一的，由县级以上人民政府食品药品监督管理部门责令改正，给予</w:t>
      </w:r>
      <w:r>
        <w:rPr>
          <w:rFonts w:hint="eastAsia" w:ascii="Times New Roman" w:hAnsi="仿宋_GB2312" w:eastAsia="仿宋_GB2312" w:cs="仿宋_GB2312"/>
          <w:bCs/>
          <w:color w:val="000000"/>
          <w:sz w:val="32"/>
          <w:szCs w:val="32"/>
          <w:u w:val="none"/>
        </w:rPr>
        <w:t>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w:t>
      </w:r>
      <w:r>
        <w:rPr>
          <w:rFonts w:hint="eastAsia" w:ascii="Times New Roman" w:hAnsi="仿宋_GB2312" w:eastAsia="仿宋_GB2312" w:cs="仿宋_GB2312"/>
          <w:bCs/>
          <w:color w:val="000000"/>
          <w:sz w:val="32"/>
          <w:szCs w:val="32"/>
          <w:u w:val="none"/>
          <w:lang w:eastAsia="zh-CN"/>
        </w:rPr>
        <w:t>”</w:t>
      </w:r>
      <w:r>
        <w:rPr>
          <w:rFonts w:hint="eastAsia" w:ascii="Times New Roman" w:hAnsi="仿宋_GB2312" w:eastAsia="仿宋_GB2312" w:cs="仿宋_GB2312"/>
          <w:bCs/>
          <w:color w:val="000000"/>
          <w:sz w:val="32"/>
          <w:szCs w:val="32"/>
          <w:u w:val="none"/>
        </w:rPr>
        <w:t>的规定</w:t>
      </w:r>
      <w:r>
        <w:rPr>
          <w:rFonts w:hint="eastAsia" w:ascii="仿宋_GB2312" w:hAnsi="Times New Roman" w:eastAsia="仿宋_GB2312" w:cs="仿宋_GB2312"/>
          <w:color w:val="000000"/>
          <w:sz w:val="32"/>
          <w:u w:val="none"/>
          <w:lang w:eastAsia="zh-CN"/>
        </w:rPr>
        <w:t>，</w:t>
      </w:r>
      <w:r>
        <w:rPr>
          <w:rFonts w:hint="eastAsia" w:ascii="仿宋_GB2312" w:hAnsi="仿宋_GB2312" w:eastAsia="仿宋_GB2312" w:cs="仿宋_GB2312"/>
          <w:b w:val="0"/>
          <w:bCs w:val="0"/>
          <w:color w:val="000000"/>
          <w:sz w:val="32"/>
          <w:szCs w:val="32"/>
          <w:u w:val="none"/>
          <w:lang w:eastAsia="zh-CN"/>
        </w:rPr>
        <w:t>综合本案案情，</w:t>
      </w:r>
      <w:r>
        <w:rPr>
          <w:rFonts w:hint="eastAsia" w:ascii="仿宋_GB2312" w:hAnsi="仿宋_GB2312" w:eastAsia="仿宋_GB2312" w:cs="仿宋_GB2312"/>
          <w:b w:val="0"/>
          <w:bCs w:val="0"/>
          <w:color w:val="000000"/>
          <w:sz w:val="32"/>
          <w:szCs w:val="32"/>
          <w:u w:val="none"/>
          <w:lang w:val="en-US" w:eastAsia="zh-CN"/>
        </w:rPr>
        <w:t>本局决定</w:t>
      </w:r>
      <w:r>
        <w:rPr>
          <w:rFonts w:hint="eastAsia" w:ascii="仿宋_GB2312" w:hAnsi="仿宋_GB2312" w:eastAsia="仿宋_GB2312" w:cs="仿宋_GB2312"/>
          <w:b w:val="0"/>
          <w:bCs w:val="0"/>
          <w:color w:val="000000"/>
          <w:sz w:val="32"/>
          <w:szCs w:val="32"/>
          <w:u w:val="none"/>
          <w:lang w:eastAsia="zh-CN"/>
        </w:rPr>
        <w:t>责令当事人立即停止违法行为，同时</w:t>
      </w:r>
      <w:r>
        <w:rPr>
          <w:rFonts w:hint="eastAsia" w:ascii="仿宋_GB2312" w:hAnsi="仿宋_GB2312" w:eastAsia="仿宋_GB2312" w:cs="仿宋_GB2312"/>
          <w:b w:val="0"/>
          <w:bCs w:val="0"/>
          <w:color w:val="000000"/>
          <w:sz w:val="32"/>
          <w:szCs w:val="32"/>
          <w:u w:val="none"/>
          <w:lang w:val="en-US" w:eastAsia="zh-CN"/>
        </w:rPr>
        <w:t>进行合并处罚如下：</w:t>
      </w:r>
    </w:p>
    <w:p w14:paraId="6802057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80" w:afterAutospacing="0" w:line="560" w:lineRule="exact"/>
        <w:ind w:right="0" w:rightChars="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000000"/>
          <w:sz w:val="32"/>
          <w:szCs w:val="32"/>
          <w:u w:val="none"/>
          <w:lang w:val="en-US" w:eastAsia="zh-CN"/>
        </w:rPr>
        <w:t>1、对未履行进货查验义务的行为给予警告；</w:t>
      </w:r>
      <w:bookmarkStart w:id="18" w:name="CALCULATE—AJCF—tAjCfes_cXzcfnr"/>
    </w:p>
    <w:p w14:paraId="7867AD9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80" w:afterAutospacing="0" w:line="560" w:lineRule="exact"/>
        <w:ind w:right="0" w:rightChars="0"/>
        <w:jc w:val="left"/>
        <w:textAlignment w:val="auto"/>
        <w:rPr>
          <w:rFonts w:hint="eastAsia" w:ascii="仿宋_GB2312" w:hAnsi="Times New Roman" w:eastAsia="仿宋_GB2312" w:cs="仿宋_GB2312"/>
          <w:color w:val="000000"/>
          <w:sz w:val="32"/>
          <w:u w:val="none"/>
          <w:lang w:val="en-US" w:eastAsia="zh-CN"/>
        </w:rPr>
      </w:pPr>
      <w:r>
        <w:rPr>
          <w:rFonts w:hint="eastAsia" w:ascii="仿宋_GB2312" w:hAnsi="Times New Roman" w:eastAsia="仿宋_GB2312" w:cs="仿宋_GB2312"/>
          <w:color w:val="000000"/>
          <w:sz w:val="32"/>
          <w:u w:val="none"/>
          <w:lang w:val="en-US" w:eastAsia="zh-CN"/>
        </w:rPr>
        <w:t>2、对销售不符合食品安全标准的食用农产品的行为</w:t>
      </w:r>
      <w:r>
        <w:rPr>
          <w:rFonts w:hint="eastAsia" w:ascii="仿宋_GB2312" w:hAnsi="Times New Roman" w:eastAsia="仿宋_GB2312" w:cs="仿宋_GB2312"/>
          <w:color w:val="000000"/>
          <w:sz w:val="32"/>
          <w:u w:val="none"/>
        </w:rPr>
        <w:t>罚款</w:t>
      </w:r>
      <w:r>
        <w:rPr>
          <w:rFonts w:hint="eastAsia" w:ascii="仿宋_GB2312" w:hAnsi="Times New Roman" w:eastAsia="仿宋_GB2312" w:cs="仿宋_GB2312"/>
          <w:color w:val="000000"/>
          <w:sz w:val="32"/>
          <w:u w:val="none"/>
          <w:lang w:val="en-US" w:eastAsia="zh-CN"/>
        </w:rPr>
        <w:t>500元；</w:t>
      </w:r>
      <w:r>
        <w:rPr>
          <w:rFonts w:hint="eastAsia" w:ascii="仿宋_GB2312" w:hAnsi="Times New Roman" w:eastAsia="仿宋_GB2312" w:cs="仿宋_GB2312"/>
          <w:color w:val="000000"/>
          <w:sz w:val="32"/>
          <w:u w:val="none"/>
        </w:rPr>
        <w:br w:type="textWrapping"/>
      </w:r>
      <w:r>
        <w:rPr>
          <w:rFonts w:hint="eastAsia" w:ascii="仿宋_GB2312" w:hAnsi="Times New Roman" w:eastAsia="仿宋_GB2312" w:cs="仿宋_GB2312"/>
          <w:color w:val="000000"/>
          <w:sz w:val="32"/>
          <w:u w:val="none"/>
          <w:lang w:val="en-US" w:eastAsia="zh-CN"/>
        </w:rPr>
        <w:t>3、</w:t>
      </w:r>
      <w:r>
        <w:rPr>
          <w:rFonts w:hint="eastAsia" w:ascii="仿宋_GB2312" w:hAnsi="Times New Roman" w:eastAsia="仿宋_GB2312" w:cs="仿宋_GB2312"/>
          <w:color w:val="000000"/>
          <w:sz w:val="32"/>
          <w:u w:val="none"/>
        </w:rPr>
        <w:t>没收违法所得</w:t>
      </w:r>
      <w:r>
        <w:rPr>
          <w:rFonts w:hint="eastAsia" w:ascii="仿宋_GB2312" w:hAnsi="Times New Roman" w:eastAsia="仿宋_GB2312" w:cs="仿宋_GB2312"/>
          <w:color w:val="000000"/>
          <w:sz w:val="32"/>
          <w:u w:val="none"/>
          <w:lang w:val="en-US" w:eastAsia="zh-CN"/>
        </w:rPr>
        <w:t>30元。</w:t>
      </w:r>
    </w:p>
    <w:bookmarkEnd w:id="18"/>
    <w:p w14:paraId="598AB235">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u w:val="none"/>
          <w:lang w:val="en-US" w:eastAsia="zh-CN"/>
        </w:rPr>
        <w:t>当事人应当自收到本行政处罚决定之日起十五日内到融水苗族自治县市场监督管理局财务股开具《广西壮族自治区非税收入电子缴款通知书》，持此缴款通知书到相应银行缴纳罚没款。到期不缴纳罚款的，依据《中华人民共和国行政处罚法》第七十二条的规定，本局将每日按罚款数额的百分之三加处罚款，并依法申请人民法院强制执行。</w:t>
      </w:r>
    </w:p>
    <w:p w14:paraId="17D187A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u w:val="none"/>
          <w:lang w:val="en-US" w:eastAsia="zh-CN"/>
        </w:rPr>
        <w:t>当事人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21E487BA">
      <w:pPr>
        <w:keepNext w:val="0"/>
        <w:keepLines w:val="0"/>
        <w:pageBreakBefore w:val="0"/>
        <w:widowControl/>
        <w:kinsoku/>
        <w:overflowPunct/>
        <w:topLinePunct w:val="0"/>
        <w:bidi w:val="0"/>
        <w:snapToGrid w:val="0"/>
        <w:spacing w:line="560" w:lineRule="exact"/>
        <w:jc w:val="left"/>
        <w:rPr>
          <w:rFonts w:ascii="Times New Roman" w:hAnsi="Times New Roman" w:eastAsia="仿宋_GB2312" w:cs="仿宋_GB2312"/>
          <w:color w:val="auto"/>
          <w:sz w:val="32"/>
          <w:szCs w:val="32"/>
        </w:rPr>
      </w:pPr>
    </w:p>
    <w:p w14:paraId="5F6449E5">
      <w:pPr>
        <w:keepNext w:val="0"/>
        <w:keepLines w:val="0"/>
        <w:pageBreakBefore w:val="0"/>
        <w:widowControl/>
        <w:kinsoku/>
        <w:overflowPunct/>
        <w:topLinePunct w:val="0"/>
        <w:bidi w:val="0"/>
        <w:snapToGrid w:val="0"/>
        <w:spacing w:line="560" w:lineRule="exact"/>
        <w:ind w:firstLine="6240" w:firstLineChars="1950"/>
        <w:jc w:val="left"/>
        <w:rPr>
          <w:rFonts w:hint="eastAsia" w:ascii="Times New Roman" w:hAnsi="Times New Roman" w:eastAsia="仿宋_GB2312" w:cs="仿宋_GB2312"/>
          <w:color w:val="auto"/>
          <w:sz w:val="32"/>
          <w:szCs w:val="32"/>
          <w:lang w:val="en-US" w:eastAsia="zh-Hans"/>
        </w:rPr>
      </w:pPr>
    </w:p>
    <w:p w14:paraId="75FC24C2">
      <w:pPr>
        <w:keepNext w:val="0"/>
        <w:keepLines w:val="0"/>
        <w:pageBreakBefore w:val="0"/>
        <w:kinsoku/>
        <w:overflowPunct/>
        <w:topLinePunct w:val="0"/>
        <w:bidi w:val="0"/>
        <w:spacing w:line="560" w:lineRule="exact"/>
        <w:ind w:right="640" w:firstLine="2880" w:firstLineChars="900"/>
        <w:jc w:val="left"/>
        <w:rPr>
          <w:rFonts w:ascii="Times New Roman" w:hAnsi="Times New Roman" w:eastAsia="仿宋_GB2312" w:cs="仿宋"/>
          <w:color w:val="auto"/>
          <w:sz w:val="32"/>
          <w:szCs w:val="32"/>
        </w:rPr>
      </w:pPr>
      <w:bookmarkStart w:id="19" w:name="DYNAMIC—DWXX—tAj_dwmc—2"/>
      <w:r>
        <w:rPr>
          <w:rFonts w:hint="eastAsia" w:ascii="Times New Roman" w:hAnsi="Times New Roman" w:eastAsia="仿宋_GB2312" w:cs="仿宋"/>
          <w:color w:val="000000"/>
          <w:sz w:val="32"/>
          <w:u w:val="none"/>
        </w:rPr>
        <w:t>融水苗族自治县市场监督管理局</w:t>
      </w:r>
      <w:bookmarkEnd w:id="19"/>
      <w:r>
        <w:rPr>
          <w:rFonts w:hint="eastAsia" w:ascii="Times New Roman" w:hAnsi="Times New Roman" w:eastAsia="仿宋_GB2312" w:cs="仿宋"/>
          <w:color w:val="000000"/>
          <w:sz w:val="32"/>
          <w:szCs w:val="32"/>
          <w:u w:val="none"/>
        </w:rPr>
        <w:t xml:space="preserve">    </w:t>
      </w:r>
    </w:p>
    <w:p w14:paraId="02080326">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4748" w:firstLineChars="1484"/>
        <w:jc w:val="left"/>
        <w:textAlignment w:val="auto"/>
        <w:outlineLvl w:val="9"/>
        <w:rPr>
          <w:rFonts w:ascii="Times New Roman" w:hAnsi="Times New Roman" w:eastAsia="仿宋_GB2312" w:cs="仿宋_GB2312"/>
          <w:color w:val="auto"/>
          <w:sz w:val="32"/>
          <w:szCs w:val="32"/>
        </w:rPr>
      </w:pPr>
      <w:bookmarkStart w:id="20" w:name="CALCULATE—TIME—NOW"/>
      <w:bookmarkStart w:id="21" w:name="_GoBack"/>
      <w:bookmarkEnd w:id="21"/>
      <w:r>
        <w:rPr>
          <w:rFonts w:ascii="仿宋_GB2312" w:hAnsi="仿宋_GB2312" w:eastAsia="仿宋_GB2312" w:cs="仿宋_GB2312"/>
          <w:sz w:val="32"/>
        </w:rPr>
        <w:t>2026年09月18日</w:t>
      </w:r>
      <w:bookmarkEnd w:id="20"/>
      <w:r>
        <w:rPr>
          <w:rFonts w:hint="eastAsia" w:ascii="Times New Roman" w:hAnsi="Times New Roman" w:eastAsia="仿宋_GB2312" w:cs="仿宋_GB2312"/>
          <w:color w:val="000000"/>
          <w:sz w:val="32"/>
          <w:szCs w:val="32"/>
          <w:u w:val="none"/>
        </w:rPr>
        <w:t xml:space="preserve">  </w:t>
      </w:r>
    </w:p>
    <w:p w14:paraId="291CF728">
      <w:pPr>
        <w:keepNext w:val="0"/>
        <w:keepLines w:val="0"/>
        <w:pageBreakBefore w:val="0"/>
        <w:widowControl/>
        <w:kinsoku/>
        <w:overflowPunct/>
        <w:topLinePunct w:val="0"/>
        <w:bidi w:val="0"/>
        <w:snapToGrid w:val="0"/>
        <w:spacing w:line="560" w:lineRule="exact"/>
        <w:jc w:val="left"/>
        <w:rPr>
          <w:rFonts w:ascii="Times New Roman" w:hAnsi="Times New Roman" w:eastAsia="仿宋_GB2312" w:cs="Mongolian Baiti"/>
          <w:color w:val="auto"/>
          <w:sz w:val="32"/>
          <w:szCs w:val="32"/>
        </w:rPr>
      </w:pPr>
    </w:p>
    <w:p w14:paraId="7A471FF0">
      <w:pPr>
        <w:pStyle w:val="2"/>
        <w:rPr>
          <w:rFonts w:ascii="Times New Roman" w:hAnsi="Times New Roman" w:eastAsia="仿宋_GB2312" w:cs="Mongolian Baiti"/>
          <w:color w:val="auto"/>
          <w:sz w:val="32"/>
          <w:szCs w:val="32"/>
        </w:rPr>
      </w:pPr>
    </w:p>
    <w:p w14:paraId="0231B00B">
      <w:pPr>
        <w:pStyle w:val="2"/>
        <w:rPr>
          <w:rFonts w:ascii="Times New Roman" w:hAnsi="Times New Roman" w:eastAsia="仿宋_GB2312" w:cs="Mongolian Baiti"/>
          <w:color w:val="auto"/>
          <w:sz w:val="32"/>
          <w:szCs w:val="32"/>
        </w:rPr>
      </w:pPr>
    </w:p>
    <w:p w14:paraId="3FE53897">
      <w:pPr>
        <w:pStyle w:val="2"/>
        <w:rPr>
          <w:rFonts w:ascii="Times New Roman" w:hAnsi="Times New Roman" w:eastAsia="仿宋_GB2312" w:cs="Mongolian Baiti"/>
          <w:color w:val="auto"/>
          <w:sz w:val="32"/>
          <w:szCs w:val="32"/>
        </w:rPr>
      </w:pPr>
    </w:p>
    <w:p w14:paraId="72A7763F">
      <w:pPr>
        <w:pStyle w:val="2"/>
        <w:rPr>
          <w:rFonts w:ascii="Times New Roman" w:hAnsi="Times New Roman" w:eastAsia="仿宋_GB2312" w:cs="Mongolian Baiti"/>
          <w:color w:val="auto"/>
          <w:sz w:val="32"/>
          <w:szCs w:val="32"/>
        </w:rPr>
      </w:pPr>
    </w:p>
    <w:p w14:paraId="060952AF">
      <w:pPr>
        <w:pStyle w:val="2"/>
        <w:rPr>
          <w:rFonts w:ascii="Times New Roman" w:hAnsi="Times New Roman" w:eastAsia="仿宋_GB2312" w:cs="Mongolian Baiti"/>
          <w:color w:val="auto"/>
          <w:sz w:val="32"/>
          <w:szCs w:val="32"/>
        </w:rPr>
      </w:pPr>
    </w:p>
    <w:p w14:paraId="6AF5EBAD">
      <w:pPr>
        <w:pStyle w:val="2"/>
        <w:rPr>
          <w:rFonts w:ascii="Times New Roman" w:hAnsi="Times New Roman" w:eastAsia="仿宋_GB2312" w:cs="Mongolian Baiti"/>
          <w:color w:val="auto"/>
          <w:sz w:val="32"/>
          <w:szCs w:val="32"/>
        </w:rPr>
      </w:pPr>
    </w:p>
    <w:p w14:paraId="756762E5">
      <w:pPr>
        <w:pStyle w:val="2"/>
        <w:rPr>
          <w:rFonts w:ascii="Times New Roman" w:hAnsi="Times New Roman" w:eastAsia="仿宋_GB2312" w:cs="Mongolian Baiti"/>
          <w:color w:val="auto"/>
          <w:sz w:val="32"/>
          <w:szCs w:val="32"/>
        </w:rPr>
      </w:pPr>
    </w:p>
    <w:p w14:paraId="29631B6B">
      <w:pPr>
        <w:pStyle w:val="2"/>
        <w:rPr>
          <w:rFonts w:ascii="Times New Roman" w:hAnsi="Times New Roman" w:eastAsia="仿宋_GB2312" w:cs="Mongolian Baiti"/>
          <w:color w:val="auto"/>
          <w:sz w:val="32"/>
          <w:szCs w:val="32"/>
        </w:rPr>
      </w:pPr>
    </w:p>
    <w:p w14:paraId="287AE9E3">
      <w:pPr>
        <w:pStyle w:val="2"/>
        <w:rPr>
          <w:rFonts w:ascii="Times New Roman" w:hAnsi="Times New Roman" w:eastAsia="仿宋_GB2312" w:cs="Mongolian Baiti"/>
          <w:color w:val="auto"/>
          <w:sz w:val="32"/>
          <w:szCs w:val="32"/>
        </w:rPr>
      </w:pPr>
    </w:p>
    <w:p w14:paraId="6FDDB65D">
      <w:pPr>
        <w:pStyle w:val="2"/>
        <w:rPr>
          <w:rFonts w:ascii="Times New Roman" w:hAnsi="Times New Roman" w:eastAsia="仿宋_GB2312" w:cs="Mongolian Baiti"/>
          <w:color w:val="auto"/>
          <w:sz w:val="32"/>
          <w:szCs w:val="32"/>
        </w:rPr>
      </w:pPr>
    </w:p>
    <w:p w14:paraId="46AB731E">
      <w:pPr>
        <w:pStyle w:val="2"/>
        <w:rPr>
          <w:rFonts w:ascii="Times New Roman" w:hAnsi="Times New Roman" w:eastAsia="仿宋_GB2312" w:cs="Mongolian Baiti"/>
          <w:color w:val="auto"/>
          <w:sz w:val="32"/>
          <w:szCs w:val="32"/>
        </w:rPr>
      </w:pPr>
    </w:p>
    <w:p w14:paraId="356F700E">
      <w:pPr>
        <w:pStyle w:val="2"/>
        <w:rPr>
          <w:rFonts w:ascii="Times New Roman" w:hAnsi="Times New Roman" w:eastAsia="仿宋_GB2312" w:cs="Mongolian Baiti"/>
          <w:color w:val="auto"/>
          <w:sz w:val="32"/>
          <w:szCs w:val="32"/>
        </w:rPr>
      </w:pPr>
    </w:p>
    <w:p w14:paraId="368F733E">
      <w:pPr>
        <w:pStyle w:val="2"/>
        <w:rPr>
          <w:rFonts w:ascii="Times New Roman" w:hAnsi="Times New Roman" w:eastAsia="仿宋_GB2312" w:cs="Mongolian Baiti"/>
          <w:color w:val="auto"/>
          <w:sz w:val="32"/>
          <w:szCs w:val="32"/>
        </w:rPr>
      </w:pPr>
    </w:p>
    <w:p w14:paraId="22FE5A1C">
      <w:pPr>
        <w:pStyle w:val="4"/>
        <w:keepNext w:val="0"/>
        <w:keepLines w:val="0"/>
        <w:pageBreakBefore w:val="0"/>
        <w:kinsoku/>
        <w:overflowPunct/>
        <w:topLinePunct w:val="0"/>
        <w:bidi w:val="0"/>
        <w:spacing w:before="1" w:line="560" w:lineRule="exact"/>
        <w:ind w:left="163"/>
        <w:jc w:val="left"/>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49EAF124">
      <w:pPr>
        <w:keepNext w:val="0"/>
        <w:keepLines w:val="0"/>
        <w:pageBreakBefore w:val="0"/>
        <w:kinsoku/>
        <w:overflowPunct/>
        <w:topLinePunct w:val="0"/>
        <w:bidi w:val="0"/>
        <w:spacing w:line="560" w:lineRule="exact"/>
        <w:ind w:firstLine="960" w:firstLineChars="300"/>
        <w:jc w:val="left"/>
        <w:rPr>
          <w:rFonts w:hint="eastAsia" w:eastAsia="仿宋_GB2312"/>
          <w:color w:val="auto"/>
          <w:lang w:eastAsia="zh-CN"/>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 xml:space="preserve">本文书一式 </w:t>
      </w:r>
      <w:r>
        <w:rPr>
          <w:rFonts w:hint="eastAsia" w:ascii="Times New Roman" w:hAnsi="Times New Roman" w:eastAsia="仿宋_GB2312" w:cs="仿宋"/>
          <w:color w:val="000000"/>
          <w:sz w:val="32"/>
          <w:szCs w:val="32"/>
          <w:u w:val="none"/>
          <w:lang w:val="en-US" w:eastAsia="zh-CN"/>
        </w:rPr>
        <w:t>二</w:t>
      </w:r>
      <w:r>
        <w:rPr>
          <w:rFonts w:hint="eastAsia" w:ascii="Times New Roman" w:hAnsi="Times New Roman" w:eastAsia="仿宋_GB2312" w:cs="仿宋"/>
          <w:color w:val="000000"/>
          <w:sz w:val="32"/>
          <w:szCs w:val="32"/>
          <w:u w:val="none"/>
        </w:rPr>
        <w:t xml:space="preserve"> 份， </w:t>
      </w:r>
      <w:r>
        <w:rPr>
          <w:rFonts w:hint="eastAsia" w:ascii="Times New Roman" w:hAnsi="Times New Roman" w:eastAsia="仿宋_GB2312" w:cs="仿宋"/>
          <w:color w:val="000000"/>
          <w:sz w:val="32"/>
          <w:szCs w:val="32"/>
          <w:u w:val="none"/>
          <w:lang w:val="en-US" w:eastAsia="zh-CN"/>
        </w:rPr>
        <w:t>一</w:t>
      </w:r>
      <w:r>
        <w:rPr>
          <w:rFonts w:hint="eastAsia" w:ascii="Times New Roman" w:hAnsi="Times New Roman" w:eastAsia="仿宋_GB2312" w:cs="仿宋"/>
          <w:color w:val="000000"/>
          <w:sz w:val="32"/>
          <w:szCs w:val="32"/>
          <w:u w:val="none"/>
        </w:rPr>
        <w:t xml:space="preserve"> 份送达，一份归档</w:t>
      </w:r>
      <w:r>
        <w:rPr>
          <w:rFonts w:hint="eastAsia" w:ascii="Times New Roman" w:hAnsi="Times New Roman" w:eastAsia="仿宋_GB2312" w:cs="仿宋"/>
          <w:color w:val="000000"/>
          <w:sz w:val="32"/>
          <w:szCs w:val="32"/>
          <w:u w:val="none"/>
          <w:lang w:eastAsia="zh-CN"/>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C784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22735">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222735">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FE4517"/>
    <w:rsid w:val="1AE345F4"/>
    <w:rsid w:val="1B37398D"/>
    <w:rsid w:val="1C7339BB"/>
    <w:rsid w:val="1C7A5BA8"/>
    <w:rsid w:val="1D0F1D32"/>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F16547"/>
    <w:rsid w:val="38B63DA7"/>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F5D20A0"/>
    <w:rsid w:val="4F722566"/>
    <w:rsid w:val="4F93378A"/>
    <w:rsid w:val="503F09B5"/>
    <w:rsid w:val="516D5500"/>
    <w:rsid w:val="52802336"/>
    <w:rsid w:val="52D57568"/>
    <w:rsid w:val="53A0483E"/>
    <w:rsid w:val="547C0750"/>
    <w:rsid w:val="55FE5622"/>
    <w:rsid w:val="57503162"/>
    <w:rsid w:val="58A4140A"/>
    <w:rsid w:val="5917499D"/>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2704</Words>
  <Characters>2899</Characters>
  <Lines>0</Lines>
  <Paragraphs>0</Paragraphs>
  <TotalTime>10</TotalTime>
  <ScaleCrop>false</ScaleCrop>
  <LinksUpToDate>false</LinksUpToDate>
  <CharactersWithSpaces>3794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2026-09-21T03:56:56Z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