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3A90F">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u w:val="none" w:color="auto"/>
        </w:rPr>
      </w:pPr>
      <w:bookmarkStart w:id="0" w:name="DYNAMIC—DWXX—tAj_dwmc"/>
      <w:r>
        <w:rPr>
          <w:rFonts w:hint="default" w:ascii="方正小标宋简体" w:hAnsi="方正小标宋简体" w:eastAsia="方正小标宋简体" w:cs="方正小标宋简体"/>
          <w:color w:val="000000"/>
          <w:sz w:val="44"/>
          <w:u w:val="none" w:color="auto"/>
        </w:rPr>
        <w:t>融水苗族自治县市场监督管理局</w:t>
      </w:r>
      <w:bookmarkEnd w:id="0"/>
    </w:p>
    <w:p w14:paraId="7D4EA089">
      <w:pPr>
        <w:pStyle w:val="2"/>
        <w:keepNext w:val="0"/>
        <w:numPr>
          <w:ilvl w:val="0"/>
          <w:numId w:val="2"/>
        </w:numPr>
        <w:spacing w:before="0" w:after="0" w:line="640" w:lineRule="exact"/>
        <w:jc w:val="center"/>
        <w:rPr>
          <w:rFonts w:hint="eastAsia" w:eastAsia="方正小标宋简体" w:cs="方正小标宋简体"/>
          <w:color w:val="auto"/>
          <w:sz w:val="44"/>
          <w:szCs w:val="44"/>
          <w:u w:val="none" w:color="auto"/>
        </w:rPr>
      </w:pPr>
      <w:bookmarkStart w:id="1" w:name="_Toc76683344"/>
      <w:r>
        <w:rPr>
          <w:rFonts w:hint="eastAsia" w:hAnsi="方正小标宋简体" w:eastAsia="方正小标宋简体" w:cs="方正小标宋简体"/>
          <w:color w:val="000000"/>
          <w:sz w:val="44"/>
          <w:szCs w:val="44"/>
          <w:u w:val="none" w:color="auto"/>
          <w:lang w:val="en-US"/>
        </w:rPr>
        <w:t>行政处罚</w:t>
      </w:r>
      <w:r>
        <w:rPr>
          <w:rFonts w:hint="eastAsia" w:hAnsi="方正小标宋简体" w:eastAsia="方正小标宋简体" w:cs="方正小标宋简体"/>
          <w:color w:val="000000"/>
          <w:sz w:val="44"/>
          <w:szCs w:val="44"/>
          <w:u w:val="none" w:color="auto"/>
          <w:lang w:val="en-US" w:eastAsia="zh-Hans"/>
        </w:rPr>
        <w:t>决定</w:t>
      </w:r>
      <w:r>
        <w:rPr>
          <w:rFonts w:hint="eastAsia" w:hAnsi="方正小标宋简体" w:eastAsia="方正小标宋简体" w:cs="方正小标宋简体"/>
          <w:color w:val="000000"/>
          <w:sz w:val="44"/>
          <w:szCs w:val="44"/>
          <w:u w:val="none" w:color="auto"/>
          <w:lang w:val="en-US"/>
        </w:rPr>
        <w:t>书</w:t>
      </w:r>
      <w:bookmarkEnd w:id="1"/>
    </w:p>
    <w:p w14:paraId="14E71A0A">
      <w:pPr>
        <w:widowControl/>
        <w:snapToGrid w:val="0"/>
        <w:spacing w:line="560" w:lineRule="exact"/>
        <w:ind w:right="55"/>
        <w:jc w:val="center"/>
        <w:outlineLvl w:val="1"/>
        <w:rPr>
          <w:rFonts w:hint="eastAsia" w:ascii="Times New Roman" w:hAnsi="仿宋_GB2312" w:eastAsia="仿宋_GB2312" w:cs="仿宋_GB2312"/>
          <w:bCs/>
          <w:color w:val="auto"/>
          <w:sz w:val="32"/>
          <w:szCs w:val="32"/>
          <w:u w:val="none" w:color="auto"/>
        </w:rPr>
      </w:pPr>
      <w:bookmarkStart w:id="2" w:name="tAj_wh"/>
      <w:r>
        <w:rPr>
          <w:rFonts w:hint="eastAsia" w:ascii="Times New Roman" w:hAnsi="Times New Roman" w:eastAsia="仿宋_GB2312" w:cs="Mongolian Baiti"/>
          <w:color w:val="000000"/>
          <w:sz w:val="32"/>
          <w:u w:val="none" w:color="auto"/>
        </w:rPr>
        <w:t>融水市监处罚〔2026〕152号</w:t>
      </w:r>
      <w:bookmarkEnd w:id="2"/>
    </w:p>
    <w:p w14:paraId="260776FB">
      <w:pPr>
        <w:spacing w:before="315" w:beforeLines="100" w:line="540" w:lineRule="exact"/>
        <w:ind w:left="142" w:hanging="142"/>
        <w:rPr>
          <w:rFonts w:hint="eastAsia" w:ascii="仿宋_GB2312" w:hAnsi="仿宋_GB2312" w:eastAsia="仿宋_GB2312" w:cs="仿宋_GB2312"/>
          <w:b w:val="0"/>
          <w:bCs/>
          <w:color w:val="auto"/>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当事人：</w:t>
      </w:r>
      <w:bookmarkStart w:id="3" w:name="CALCULATE—DSR—tAjDsrs_cMc"/>
      <w:r>
        <w:rPr>
          <w:rFonts w:hint="eastAsia" w:ascii="仿宋_GB2312" w:hAnsi="仿宋_GB2312" w:eastAsia="仿宋_GB2312" w:cs="仿宋_GB2312"/>
          <w:b w:val="0"/>
          <w:color w:val="000000"/>
          <w:sz w:val="32"/>
          <w:u w:val="none" w:color="auto"/>
        </w:rPr>
        <w:t>融水县和睦镇利民榨油厂</w:t>
      </w:r>
      <w:bookmarkEnd w:id="3"/>
      <w:r>
        <w:rPr>
          <w:rFonts w:hint="eastAsia" w:ascii="仿宋_GB2312" w:hAnsi="仿宋_GB2312" w:eastAsia="仿宋_GB2312" w:cs="仿宋_GB2312"/>
          <w:b w:val="0"/>
          <w:bCs/>
          <w:color w:val="000000"/>
          <w:kern w:val="1"/>
          <w:sz w:val="32"/>
          <w:szCs w:val="32"/>
          <w:u w:val="none" w:color="auto"/>
        </w:rPr>
        <w:t xml:space="preserve">                                            </w:t>
      </w:r>
    </w:p>
    <w:p w14:paraId="659DB3F0">
      <w:pPr>
        <w:spacing w:line="540" w:lineRule="exact"/>
        <w:ind w:left="140" w:hanging="140"/>
        <w:rPr>
          <w:rFonts w:hint="eastAsia" w:ascii="仿宋_GB2312" w:hAnsi="仿宋_GB2312" w:eastAsia="仿宋_GB2312" w:cs="仿宋_GB2312"/>
          <w:b w:val="0"/>
          <w:bCs/>
          <w:color w:val="auto"/>
          <w:kern w:val="1"/>
          <w:sz w:val="32"/>
          <w:szCs w:val="32"/>
          <w:u w:val="none" w:color="auto"/>
        </w:rPr>
      </w:pPr>
      <w:r>
        <w:rPr>
          <w:rFonts w:hint="eastAsia" w:ascii="仿宋_GB2312" w:hAnsi="仿宋_GB2312" w:eastAsia="仿宋_GB2312" w:cs="仿宋_GB2312"/>
          <w:b w:val="0"/>
          <w:bCs/>
          <w:color w:val="000000"/>
          <w:kern w:val="1"/>
          <w:sz w:val="32"/>
          <w:szCs w:val="32"/>
          <w:u w:val="none" w:color="auto"/>
        </w:rPr>
        <w:t>主体资格证照名称：</w:t>
      </w:r>
      <w:bookmarkStart w:id="4" w:name="CALCULATE—DSR—tAjDsrs_cZtzgzzmc"/>
      <w:r>
        <w:rPr>
          <w:rFonts w:hint="eastAsia" w:ascii="仿宋_GB2312" w:hAnsi="仿宋_GB2312" w:eastAsia="仿宋_GB2312" w:cs="仿宋_GB2312"/>
          <w:b w:val="0"/>
          <w:color w:val="000000"/>
          <w:sz w:val="32"/>
          <w:u w:val="none" w:color="auto"/>
        </w:rPr>
        <w:t>营业执照</w:t>
      </w:r>
      <w:bookmarkEnd w:id="4"/>
      <w:r>
        <w:rPr>
          <w:rFonts w:hint="eastAsia" w:ascii="仿宋_GB2312" w:hAnsi="仿宋_GB2312" w:eastAsia="仿宋_GB2312" w:cs="仿宋_GB2312"/>
          <w:b w:val="0"/>
          <w:bCs/>
          <w:color w:val="000000"/>
          <w:kern w:val="1"/>
          <w:sz w:val="32"/>
          <w:szCs w:val="32"/>
          <w:u w:val="none" w:color="auto"/>
        </w:rPr>
        <w:t xml:space="preserve">                                  </w:t>
      </w:r>
    </w:p>
    <w:p w14:paraId="39B54520">
      <w:pPr>
        <w:spacing w:line="540" w:lineRule="exact"/>
        <w:ind w:left="140" w:hanging="140"/>
        <w:rPr>
          <w:rFonts w:hint="eastAsia" w:ascii="仿宋_GB2312" w:hAnsi="仿宋_GB2312" w:eastAsia="仿宋_GB2312" w:cs="仿宋_GB2312"/>
          <w:b w:val="0"/>
          <w:bCs/>
          <w:color w:val="auto"/>
          <w:kern w:val="1"/>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统一社会信用代码：</w:t>
      </w:r>
      <w:bookmarkStart w:id="5" w:name="CALCULATE—DSR—tAjDsrs_cTzshxydm"/>
      <w:r>
        <w:rPr>
          <w:rFonts w:hint="eastAsia" w:ascii="仿宋_GB2312" w:hAnsi="仿宋_GB2312" w:eastAsia="仿宋_GB2312" w:cs="仿宋_GB2312"/>
          <w:b w:val="0"/>
          <w:color w:val="000000"/>
          <w:sz w:val="32"/>
          <w:u w:val="none" w:color="auto"/>
        </w:rPr>
        <w:t>92450225MA5MJG046F</w:t>
      </w:r>
      <w:bookmarkEnd w:id="5"/>
      <w:r>
        <w:rPr>
          <w:rFonts w:hint="eastAsia" w:ascii="仿宋_GB2312" w:hAnsi="仿宋_GB2312" w:eastAsia="仿宋_GB2312" w:cs="仿宋_GB2312"/>
          <w:b w:val="0"/>
          <w:bCs/>
          <w:color w:val="000000"/>
          <w:kern w:val="1"/>
          <w:sz w:val="32"/>
          <w:szCs w:val="32"/>
          <w:u w:val="none" w:color="auto"/>
        </w:rPr>
        <w:t xml:space="preserve">                                  </w:t>
      </w:r>
    </w:p>
    <w:p w14:paraId="6B7DFD34">
      <w:pPr>
        <w:spacing w:line="540" w:lineRule="exact"/>
        <w:ind w:left="140" w:hanging="140"/>
        <w:rPr>
          <w:rFonts w:hint="eastAsia" w:ascii="仿宋_GB2312" w:hAnsi="仿宋_GB2312" w:eastAsia="仿宋_GB2312" w:cs="仿宋_GB2312"/>
          <w:b w:val="0"/>
          <w:bCs/>
          <w:color w:val="auto"/>
          <w:kern w:val="1"/>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住所（住址）：</w:t>
      </w:r>
      <w:bookmarkStart w:id="6" w:name="CALCULATE—DSR—tAjDsrs_cLxdzSheng"/>
      <w:r>
        <w:rPr>
          <w:rFonts w:hint="eastAsia" w:ascii="仿宋_GB2312" w:hAnsi="仿宋_GB2312" w:eastAsia="仿宋_GB2312" w:cs="仿宋_GB2312"/>
          <w:b w:val="0"/>
          <w:color w:val="000000"/>
          <w:sz w:val="32"/>
          <w:u w:val="none" w:color="auto"/>
        </w:rPr>
        <w:t>广西壮族自治区柳州市融水苗族自治县和睦镇政和路</w:t>
      </w:r>
      <w:bookmarkEnd w:id="6"/>
      <w:r>
        <w:rPr>
          <w:rFonts w:hint="eastAsia" w:ascii="仿宋_GB2312" w:hAnsi="仿宋_GB2312" w:eastAsia="仿宋_GB2312" w:cs="仿宋_GB2312"/>
          <w:b w:val="0"/>
          <w:color w:val="000000"/>
          <w:sz w:val="32"/>
          <w:u w:val="none" w:color="auto"/>
          <w:lang w:val="en-US" w:eastAsia="zh-CN"/>
        </w:rPr>
        <w:t>******</w:t>
      </w:r>
      <w:r>
        <w:rPr>
          <w:rFonts w:hint="eastAsia" w:ascii="仿宋_GB2312" w:hAnsi="仿宋_GB2312" w:eastAsia="仿宋_GB2312" w:cs="仿宋_GB2312"/>
          <w:b w:val="0"/>
          <w:bCs/>
          <w:color w:val="000000"/>
          <w:kern w:val="1"/>
          <w:sz w:val="32"/>
          <w:szCs w:val="32"/>
          <w:u w:val="none" w:color="auto"/>
        </w:rPr>
        <w:t xml:space="preserve">                                    </w:t>
      </w:r>
      <w:r>
        <w:rPr>
          <w:rFonts w:hint="eastAsia" w:ascii="仿宋_GB2312" w:hAnsi="仿宋_GB2312" w:eastAsia="仿宋_GB2312" w:cs="仿宋_GB2312"/>
          <w:b w:val="0"/>
          <w:bCs/>
          <w:color w:val="000000"/>
          <w:kern w:val="1"/>
          <w:sz w:val="32"/>
          <w:szCs w:val="32"/>
          <w:u w:val="none" w:color="auto"/>
          <w:lang w:val="en-US" w:eastAsia="zh-CN"/>
        </w:rPr>
        <w:t xml:space="preserve"> </w:t>
      </w:r>
    </w:p>
    <w:p w14:paraId="689CFA50">
      <w:pPr>
        <w:spacing w:line="540" w:lineRule="exact"/>
        <w:rPr>
          <w:rFonts w:hint="eastAsia" w:ascii="仿宋_GB2312" w:hAnsi="仿宋_GB2312" w:eastAsia="仿宋_GB2312" w:cs="仿宋_GB2312"/>
          <w:b w:val="0"/>
          <w:bCs/>
          <w:color w:val="auto"/>
          <w:kern w:val="1"/>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法定代表人（负责人</w:t>
      </w:r>
      <w:r>
        <w:rPr>
          <w:rFonts w:hint="eastAsia" w:ascii="仿宋_GB2312" w:hAnsi="仿宋_GB2312" w:eastAsia="仿宋_GB2312" w:cs="仿宋_GB2312"/>
          <w:b w:val="0"/>
          <w:bCs/>
          <w:color w:val="000000"/>
          <w:kern w:val="1"/>
          <w:sz w:val="32"/>
          <w:szCs w:val="32"/>
          <w:u w:val="none" w:color="auto"/>
          <w:lang w:eastAsia="zh-CN"/>
        </w:rPr>
        <w:t>、经营者</w:t>
      </w:r>
      <w:r>
        <w:rPr>
          <w:rFonts w:hint="eastAsia" w:ascii="仿宋_GB2312" w:hAnsi="仿宋_GB2312" w:eastAsia="仿宋_GB2312" w:cs="仿宋_GB2312"/>
          <w:b w:val="0"/>
          <w:bCs/>
          <w:color w:val="000000"/>
          <w:kern w:val="1"/>
          <w:sz w:val="32"/>
          <w:szCs w:val="32"/>
          <w:u w:val="none" w:color="auto"/>
        </w:rPr>
        <w:t>）：</w:t>
      </w:r>
      <w:bookmarkStart w:id="7" w:name="CALCULATE—DSR—tAjDsrs_cFddbr"/>
      <w:r>
        <w:rPr>
          <w:rFonts w:hint="eastAsia" w:ascii="仿宋_GB2312" w:hAnsi="仿宋_GB2312" w:eastAsia="仿宋_GB2312" w:cs="仿宋_GB2312"/>
          <w:b w:val="0"/>
          <w:color w:val="000000"/>
          <w:sz w:val="32"/>
          <w:u w:val="none" w:color="auto"/>
        </w:rPr>
        <w:t>李延胜</w:t>
      </w:r>
      <w:bookmarkEnd w:id="7"/>
      <w:r>
        <w:rPr>
          <w:rFonts w:hint="eastAsia" w:ascii="仿宋_GB2312" w:hAnsi="仿宋_GB2312" w:eastAsia="仿宋_GB2312" w:cs="仿宋_GB2312"/>
          <w:b w:val="0"/>
          <w:bCs/>
          <w:color w:val="000000"/>
          <w:kern w:val="1"/>
          <w:sz w:val="32"/>
          <w:szCs w:val="32"/>
          <w:u w:val="none" w:color="auto"/>
        </w:rPr>
        <w:t xml:space="preserve">                       </w:t>
      </w:r>
    </w:p>
    <w:p w14:paraId="5FFC2B7F">
      <w:pPr>
        <w:spacing w:line="540" w:lineRule="exact"/>
        <w:ind w:left="140" w:hanging="140"/>
        <w:rPr>
          <w:rFonts w:hint="eastAsia" w:ascii="仿宋_GB2312" w:hAnsi="仿宋_GB2312" w:eastAsia="仿宋_GB2312" w:cs="仿宋_GB2312"/>
          <w:b w:val="0"/>
          <w:bCs/>
          <w:color w:val="auto"/>
          <w:sz w:val="32"/>
          <w:szCs w:val="32"/>
          <w:u w:val="none" w:color="auto"/>
        </w:rPr>
      </w:pPr>
      <w:r>
        <w:rPr>
          <w:rFonts w:hint="eastAsia" w:ascii="仿宋_GB2312" w:hAnsi="仿宋_GB2312" w:eastAsia="仿宋_GB2312" w:cs="仿宋_GB2312"/>
          <w:b w:val="0"/>
          <w:bCs/>
          <w:color w:val="000000"/>
          <w:kern w:val="1"/>
          <w:sz w:val="32"/>
          <w:szCs w:val="32"/>
          <w:u w:val="none" w:color="auto"/>
        </w:rPr>
        <w:t>身份证件号码：</w:t>
      </w:r>
      <w:bookmarkStart w:id="8" w:name="CALCULATE—DSR—tAjDsrs_cZjhm"/>
      <w:r>
        <w:rPr>
          <w:rFonts w:hint="eastAsia" w:ascii="仿宋_GB2312" w:hAnsi="仿宋_GB2312" w:eastAsia="仿宋_GB2312" w:cs="仿宋_GB2312"/>
          <w:b w:val="0"/>
          <w:color w:val="000000"/>
          <w:sz w:val="32"/>
          <w:u w:val="none" w:color="auto"/>
        </w:rPr>
        <w:t>452229197101</w:t>
      </w:r>
      <w:bookmarkEnd w:id="8"/>
      <w:r>
        <w:rPr>
          <w:rFonts w:hint="eastAsia" w:ascii="仿宋_GB2312" w:hAnsi="仿宋_GB2312" w:eastAsia="仿宋_GB2312" w:cs="仿宋_GB2312"/>
          <w:b w:val="0"/>
          <w:color w:val="000000"/>
          <w:sz w:val="32"/>
          <w:u w:val="none" w:color="auto"/>
          <w:lang w:val="en-US" w:eastAsia="zh-CN"/>
        </w:rPr>
        <w:t>******</w:t>
      </w:r>
      <w:r>
        <w:rPr>
          <w:rFonts w:hint="eastAsia" w:ascii="仿宋_GB2312" w:hAnsi="仿宋_GB2312" w:eastAsia="仿宋_GB2312" w:cs="仿宋_GB2312"/>
          <w:b w:val="0"/>
          <w:bCs/>
          <w:color w:val="000000"/>
          <w:kern w:val="1"/>
          <w:sz w:val="32"/>
          <w:szCs w:val="32"/>
          <w:u w:val="none" w:color="auto"/>
        </w:rPr>
        <w:t xml:space="preserve">                                     </w:t>
      </w:r>
    </w:p>
    <w:p w14:paraId="11C228AC">
      <w:pPr>
        <w:pStyle w:val="3"/>
        <w:keepNext w:val="0"/>
        <w:keepLines w:val="0"/>
        <w:pageBreakBefore w:val="0"/>
        <w:widowControl w:val="0"/>
        <w:tabs>
          <w:tab w:val="left" w:pos="9060"/>
        </w:tabs>
        <w:kinsoku/>
        <w:overflowPunct/>
        <w:topLinePunct w:val="0"/>
        <w:autoSpaceDE w:val="0"/>
        <w:autoSpaceDN w:val="0"/>
        <w:bidi w:val="0"/>
        <w:adjustRightInd w:val="0"/>
        <w:snapToGrid/>
        <w:spacing w:line="240" w:lineRule="auto"/>
        <w:ind w:firstLine="640" w:firstLineChars="200"/>
        <w:textAlignment w:val="auto"/>
        <w:rPr>
          <w:rFonts w:hint="eastAsia" w:ascii="仿宋_GB2312" w:hAnsi="仿宋_GB2312" w:eastAsia="仿宋_GB2312" w:cs="仿宋_GB2312"/>
          <w:b w:val="0"/>
          <w:color w:val="auto"/>
          <w:sz w:val="32"/>
          <w:u w:val="none" w:color="auto"/>
        </w:rPr>
      </w:pPr>
      <w:bookmarkStart w:id="9" w:name="CALCULATE—AYHC—tAjHc_cHcqkjlaay"/>
      <w:r>
        <w:rPr>
          <w:rFonts w:hint="eastAsia" w:ascii="仿宋_GB2312" w:hAnsi="仿宋_GB2312" w:eastAsia="仿宋_GB2312" w:cs="仿宋_GB2312"/>
          <w:b w:val="0"/>
          <w:color w:val="000000"/>
          <w:sz w:val="32"/>
          <w:u w:val="none" w:color="auto"/>
        </w:rPr>
        <w:t>2026 年 06 月 12 日广西民生中检联检测有限公司工作人员到融水县和睦镇利民榨油厂进行食品安全监督抽检，在该店经营者李延胜的陪同下随机抽取了食用油菜籽油1个批次的样品，并在其见证下现场封样。经广西民生中检联检测有限公司检验，该公司于2026年07 月 01 日签发的 1 份检验报告（No:BFSQG060278022C），样品名称“菜籽油”，检验项目苯并[a]芘，过氧化值，铅（以 Pb 计）等 7 项。检验结论：经抽样检验，过氧化值项目不符合 GB 2716-2018《食品安全国家标准 植物油》要求，检验结论为不合格。2026 年07 月09 日，我局执法人员收到检验报告后于当日将该《检验报告》及《食品安全抽样检验结果通知书》送达融水县和睦镇利民榨油厂，并告知当事人检验不合格的事项。同时告知当事人享有的权利以及应履行的义务，并开展不合格产品后处置排查工作。相关文书由该店经营者李延胜确认签收。</w:t>
      </w:r>
    </w:p>
    <w:p w14:paraId="66080482">
      <w:pPr>
        <w:pStyle w:val="3"/>
        <w:keepNext w:val="0"/>
        <w:keepLines w:val="0"/>
        <w:pageBreakBefore w:val="0"/>
        <w:widowControl w:val="0"/>
        <w:tabs>
          <w:tab w:val="left" w:pos="9060"/>
        </w:tabs>
        <w:kinsoku/>
        <w:overflowPunct/>
        <w:topLinePunct w:val="0"/>
        <w:autoSpaceDE w:val="0"/>
        <w:autoSpaceDN w:val="0"/>
        <w:bidi w:val="0"/>
        <w:adjustRightInd w:val="0"/>
        <w:snapToGrid/>
        <w:spacing w:line="240" w:lineRule="auto"/>
        <w:ind w:firstLine="640" w:firstLineChars="200"/>
        <w:textAlignment w:val="auto"/>
        <w:rPr>
          <w:rFonts w:hint="eastAsia" w:ascii="仿宋_GB2312" w:hAnsi="仿宋_GB2312" w:eastAsia="仿宋_GB2312" w:cs="仿宋_GB2312"/>
          <w:b w:val="0"/>
          <w:bCs/>
          <w:color w:val="auto"/>
          <w:sz w:val="32"/>
          <w:szCs w:val="32"/>
          <w:u w:val="none" w:color="auto"/>
          <w:lang w:val="en-US" w:eastAsia="zh-CN"/>
        </w:rPr>
      </w:pPr>
      <w:r>
        <w:rPr>
          <w:rFonts w:hint="eastAsia" w:ascii="仿宋_GB2312" w:hAnsi="仿宋_GB2312" w:eastAsia="仿宋_GB2312" w:cs="仿宋_GB2312"/>
          <w:b w:val="0"/>
          <w:color w:val="000000"/>
          <w:sz w:val="32"/>
          <w:u w:val="none" w:color="auto"/>
        </w:rPr>
        <w:t>当事人生产经营不符合食品安全标准食用菜籽油的行为涉嫌违反了《广西壮族自治区食品小作坊小餐饮和食品摊贩管理条例》第十五条第二项</w:t>
      </w:r>
      <w:r>
        <w:rPr>
          <w:rFonts w:hint="eastAsia" w:ascii="仿宋_GB2312" w:hAnsi="仿宋_GB2312" w:eastAsia="仿宋_GB2312" w:cs="仿宋_GB2312"/>
          <w:b w:val="0"/>
          <w:color w:val="000000"/>
          <w:sz w:val="32"/>
          <w:u w:val="none" w:color="auto"/>
          <w:lang w:eastAsia="zh-CN"/>
        </w:rPr>
        <w:t>：“食品小作坊不得有下列行为：（二）生产经营致病性微生物、农药残留、兽药残留、生物毒素、重金属等污染物质以及其他危害人体健康的物质含量超过食品安全标准限量的食品；”</w:t>
      </w:r>
      <w:r>
        <w:rPr>
          <w:rFonts w:hint="eastAsia" w:ascii="仿宋_GB2312" w:hAnsi="仿宋_GB2312" w:eastAsia="仿宋_GB2312" w:cs="仿宋_GB2312"/>
          <w:b w:val="0"/>
          <w:color w:val="000000"/>
          <w:sz w:val="32"/>
          <w:u w:val="none" w:color="auto"/>
        </w:rPr>
        <w:t>的规定，</w:t>
      </w:r>
      <w:r>
        <w:rPr>
          <w:rFonts w:hint="eastAsia" w:ascii="仿宋_GB2312" w:hAnsi="仿宋_GB2312" w:eastAsia="仿宋_GB2312" w:cs="仿宋_GB2312"/>
          <w:b w:val="0"/>
          <w:color w:val="000000"/>
          <w:sz w:val="32"/>
          <w:u w:val="none" w:color="auto"/>
          <w:lang w:eastAsia="zh-CN"/>
        </w:rPr>
        <w:t>我局于</w:t>
      </w:r>
      <w:r>
        <w:rPr>
          <w:rFonts w:hint="eastAsia" w:ascii="仿宋_GB2312" w:hAnsi="仿宋_GB2312" w:eastAsia="仿宋_GB2312" w:cs="仿宋_GB2312"/>
          <w:b w:val="0"/>
          <w:color w:val="000000"/>
          <w:sz w:val="32"/>
          <w:u w:val="none" w:color="auto"/>
          <w:lang w:val="en-US" w:eastAsia="zh-CN"/>
        </w:rPr>
        <w:t>2026年07月10日对当事人进行立案调查</w:t>
      </w:r>
      <w:r>
        <w:rPr>
          <w:rFonts w:hint="eastAsia" w:ascii="仿宋_GB2312" w:hAnsi="仿宋_GB2312" w:eastAsia="仿宋_GB2312" w:cs="仿宋_GB2312"/>
          <w:b w:val="0"/>
          <w:color w:val="000000"/>
          <w:sz w:val="32"/>
          <w:u w:val="none" w:color="auto"/>
        </w:rPr>
        <w:t>。</w:t>
      </w:r>
      <w:bookmarkEnd w:id="9"/>
      <w:r>
        <w:rPr>
          <w:rFonts w:hint="eastAsia" w:ascii="仿宋_GB2312" w:hAnsi="仿宋_GB2312" w:eastAsia="仿宋_GB2312" w:cs="仿宋_GB2312"/>
          <w:b w:val="0"/>
          <w:bCs/>
          <w:color w:val="000000"/>
          <w:sz w:val="32"/>
          <w:szCs w:val="32"/>
          <w:u w:val="none" w:color="auto"/>
          <w:lang w:val="en-US" w:eastAsia="zh-CN"/>
        </w:rPr>
        <w:t xml:space="preserve"> 2026年8月10日当事人的经营者李延胜到我局和睦市场监督管理所接受调查询问，并提供相关材料。</w:t>
      </w:r>
    </w:p>
    <w:p w14:paraId="75C37273">
      <w:pPr>
        <w:pStyle w:val="3"/>
        <w:keepNext w:val="0"/>
        <w:keepLines w:val="0"/>
        <w:pageBreakBefore w:val="0"/>
        <w:widowControl w:val="0"/>
        <w:tabs>
          <w:tab w:val="left" w:pos="8240"/>
        </w:tabs>
        <w:kinsoku/>
        <w:overflowPunct/>
        <w:topLinePunct w:val="0"/>
        <w:autoSpaceDE w:val="0"/>
        <w:autoSpaceDN w:val="0"/>
        <w:bidi w:val="0"/>
        <w:adjustRightInd w:val="0"/>
        <w:snapToGrid/>
        <w:spacing w:line="240" w:lineRule="auto"/>
        <w:ind w:firstLine="640" w:firstLineChars="200"/>
        <w:textAlignment w:val="auto"/>
        <w:rPr>
          <w:rFonts w:hint="eastAsia" w:ascii="仿宋_GB2312" w:hAnsi="仿宋_GB2312" w:eastAsia="仿宋_GB2312" w:cs="仿宋_GB2312"/>
          <w:b w:val="0"/>
          <w:bCs/>
          <w:color w:val="auto"/>
          <w:kern w:val="1"/>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经查，</w:t>
      </w:r>
      <w:bookmarkStart w:id="10" w:name="CALCULATE—AJCF—tAjCfes_cAjss"/>
      <w:r>
        <w:rPr>
          <w:rFonts w:hint="eastAsia" w:ascii="仿宋_GB2312" w:hAnsi="仿宋_GB2312" w:eastAsia="仿宋_GB2312" w:cs="仿宋_GB2312"/>
          <w:b w:val="0"/>
          <w:color w:val="000000"/>
          <w:sz w:val="32"/>
          <w:u w:val="none" w:color="auto"/>
        </w:rPr>
        <w:t>融水县和睦镇利民榨油厂于2013年03月11日注册经营至今，现经营场所在广西柳州市融水县和睦镇政和路</w:t>
      </w:r>
      <w:r>
        <w:rPr>
          <w:rFonts w:hint="eastAsia" w:ascii="仿宋_GB2312" w:hAnsi="仿宋_GB2312" w:eastAsia="仿宋_GB2312" w:cs="仿宋_GB2312"/>
          <w:b w:val="0"/>
          <w:color w:val="000000"/>
          <w:sz w:val="32"/>
          <w:u w:val="none" w:color="auto"/>
          <w:lang w:val="en-US" w:eastAsia="zh-CN"/>
        </w:rPr>
        <w:t>******</w:t>
      </w:r>
      <w:bookmarkStart w:id="18" w:name="_GoBack"/>
      <w:bookmarkEnd w:id="18"/>
      <w:r>
        <w:rPr>
          <w:rFonts w:hint="eastAsia" w:ascii="仿宋_GB2312" w:hAnsi="仿宋_GB2312" w:eastAsia="仿宋_GB2312" w:cs="仿宋_GB2312"/>
          <w:b w:val="0"/>
          <w:color w:val="000000"/>
          <w:sz w:val="32"/>
          <w:u w:val="none" w:color="auto"/>
        </w:rPr>
        <w:t>，经营范围有许可项目：食品生产；食品销售（依法须经批准的项目，经相关部门批准后方可开展经营活动，具体经营项目以相关部门批准文件或许可证件为准）。</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lang w:val="en-US" w:eastAsia="zh-CN"/>
        </w:rPr>
        <w:t xml:space="preserve">    </w:t>
      </w:r>
      <w:r>
        <w:rPr>
          <w:rFonts w:hint="eastAsia" w:ascii="仿宋_GB2312" w:hAnsi="仿宋_GB2312" w:eastAsia="仿宋_GB2312" w:cs="仿宋_GB2312"/>
          <w:b w:val="0"/>
          <w:color w:val="000000"/>
          <w:sz w:val="32"/>
          <w:u w:val="none" w:color="auto"/>
        </w:rPr>
        <w:t>经核实，2026年03月12日，该油坊当天加工了70斤菜籽，加工后得的菜籽油一共20斤，即该抽检不合格批次的食用菜籽油一共20斤。根据常温菜籽油密度0.92KG/L，可以计算出1L菜籽油等于1*0.92=0.92KG=1.84斤，抽检工作人员于2026年06月12日到该店开展监督抽检工作抽检了该批菜籽油3L。因此，上述抽检批次的菜籽油，抽检人员抽样的数量是3L，也就是3*1.84=5.52斤。2026 年07 月09 日，我局执法人员到</w:t>
      </w:r>
      <w:r>
        <w:rPr>
          <w:rFonts w:hint="eastAsia" w:ascii="仿宋_GB2312" w:hAnsi="仿宋_GB2312" w:eastAsia="仿宋_GB2312" w:cs="仿宋_GB2312"/>
          <w:b w:val="0"/>
          <w:color w:val="000000"/>
          <w:sz w:val="32"/>
          <w:u w:val="none" w:color="auto"/>
          <w:lang w:eastAsia="zh-CN"/>
        </w:rPr>
        <w:t>现场</w:t>
      </w:r>
      <w:r>
        <w:rPr>
          <w:rFonts w:hint="eastAsia" w:ascii="仿宋_GB2312" w:hAnsi="仿宋_GB2312" w:eastAsia="仿宋_GB2312" w:cs="仿宋_GB2312"/>
          <w:b w:val="0"/>
          <w:color w:val="000000"/>
          <w:sz w:val="32"/>
          <w:u w:val="none" w:color="auto"/>
        </w:rPr>
        <w:t>送达检验报告等文书并开展现场后处置工作，并未发现存有该批次的菜籽油。当事人告知剩余的20斤-5.52斤=14.48斤，均是由群众拿来的菜籽换油换完了。当事人对换来的菜籽也没有记录，无法计算剩余的菜籽油的违法所得。</w:t>
      </w:r>
      <w:r>
        <w:rPr>
          <w:rFonts w:hint="eastAsia" w:ascii="仿宋_GB2312" w:hAnsi="仿宋_GB2312" w:eastAsia="仿宋_GB2312" w:cs="仿宋_GB2312"/>
          <w:b w:val="0"/>
          <w:color w:val="000000"/>
          <w:sz w:val="32"/>
          <w:u w:val="none" w:color="auto"/>
          <w:lang w:eastAsia="zh-CN"/>
        </w:rPr>
        <w:t>截至</w:t>
      </w:r>
      <w:r>
        <w:rPr>
          <w:rFonts w:hint="eastAsia" w:ascii="仿宋_GB2312" w:hAnsi="仿宋_GB2312" w:eastAsia="仿宋_GB2312" w:cs="仿宋_GB2312"/>
          <w:b w:val="0"/>
          <w:color w:val="000000"/>
          <w:sz w:val="32"/>
          <w:u w:val="none" w:color="auto"/>
        </w:rPr>
        <w:t>收到《检验报告》之日，包含抽样3L(含备样1.5L)，当事人已销售该抽检批次的菜籽油5.52斤，销售金额是60元，剩余14.48斤已由群众拿来的菜籽换取完毕。由于菜籽没有进货单价也没有换取记录，无法核算14.48斤菜籽油的违法所得。当事人自收到《检验报告》之日起及时自査自纠，已完成《整改报告》交给本局，并且已通过公告方式开展召回公告，目前为止没有成功召回相关产品。</w:t>
      </w:r>
      <w:bookmarkEnd w:id="10"/>
      <w:r>
        <w:rPr>
          <w:rFonts w:hint="eastAsia" w:ascii="仿宋_GB2312" w:hAnsi="仿宋_GB2312" w:eastAsia="仿宋_GB2312" w:cs="仿宋_GB2312"/>
          <w:color w:val="000000"/>
          <w:sz w:val="32"/>
          <w:szCs w:val="32"/>
          <w:u w:val="none"/>
          <w:lang w:val="en-US" w:eastAsia="zh-CN"/>
        </w:rPr>
        <w:t>当事人对上述事实均予以承认。</w:t>
      </w:r>
      <w:r>
        <w:rPr>
          <w:rFonts w:hint="eastAsia" w:ascii="仿宋_GB2312" w:hAnsi="仿宋_GB2312" w:eastAsia="仿宋_GB2312" w:cs="仿宋_GB2312"/>
          <w:b w:val="0"/>
          <w:bCs/>
          <w:color w:val="000000"/>
          <w:kern w:val="1"/>
          <w:sz w:val="32"/>
          <w:szCs w:val="32"/>
          <w:u w:val="none" w:color="auto"/>
          <w:lang w:val="en-US" w:eastAsia="zh-CN"/>
        </w:rPr>
        <w:t xml:space="preserve"> </w:t>
      </w:r>
    </w:p>
    <w:p w14:paraId="27A3B063">
      <w:pPr>
        <w:pStyle w:val="3"/>
        <w:keepNext w:val="0"/>
        <w:keepLines w:val="0"/>
        <w:pageBreakBefore w:val="0"/>
        <w:widowControl w:val="0"/>
        <w:tabs>
          <w:tab w:val="left" w:pos="8285"/>
        </w:tabs>
        <w:kinsoku/>
        <w:overflowPunct/>
        <w:topLinePunct w:val="0"/>
        <w:autoSpaceDE w:val="0"/>
        <w:autoSpaceDN w:val="0"/>
        <w:bidi w:val="0"/>
        <w:adjustRightInd w:val="0"/>
        <w:snapToGrid/>
        <w:spacing w:line="520" w:lineRule="exact"/>
        <w:ind w:firstLine="640" w:firstLineChars="200"/>
        <w:textAlignment w:val="auto"/>
        <w:rPr>
          <w:rFonts w:hint="eastAsia" w:ascii="仿宋_GB2312" w:hAnsi="仿宋_GB2312" w:eastAsia="仿宋_GB2312" w:cs="仿宋_GB2312"/>
          <w:b w:val="0"/>
          <w:bCs/>
          <w:color w:val="auto"/>
          <w:sz w:val="32"/>
          <w:szCs w:val="32"/>
          <w:u w:val="none" w:color="auto"/>
          <w:lang w:val="en-US"/>
        </w:rPr>
      </w:pPr>
      <w:r>
        <w:rPr>
          <w:rFonts w:hint="eastAsia" w:ascii="仿宋_GB2312" w:hAnsi="仿宋_GB2312" w:eastAsia="仿宋_GB2312" w:cs="仿宋_GB2312"/>
          <w:b w:val="0"/>
          <w:bCs/>
          <w:color w:val="000000"/>
          <w:kern w:val="1"/>
          <w:sz w:val="32"/>
          <w:szCs w:val="32"/>
          <w:u w:val="none" w:color="auto"/>
        </w:rPr>
        <w:t>上述事实，主要有以下证据证明：</w:t>
      </w:r>
    </w:p>
    <w:p w14:paraId="0D2C037F">
      <w:pPr>
        <w:pStyle w:val="3"/>
        <w:keepNext w:val="0"/>
        <w:keepLines w:val="0"/>
        <w:pageBreakBefore w:val="0"/>
        <w:widowControl w:val="0"/>
        <w:tabs>
          <w:tab w:val="left" w:pos="9060"/>
        </w:tabs>
        <w:kinsoku/>
        <w:overflowPunct/>
        <w:topLinePunct w:val="0"/>
        <w:autoSpaceDE w:val="0"/>
        <w:autoSpaceDN w:val="0"/>
        <w:bidi w:val="0"/>
        <w:adjustRightInd w:val="0"/>
        <w:snapToGrid/>
        <w:spacing w:line="240" w:lineRule="auto"/>
        <w:ind w:firstLine="640" w:firstLineChars="200"/>
        <w:textAlignment w:val="auto"/>
        <w:rPr>
          <w:rFonts w:hint="eastAsia" w:ascii="仿宋_GB2312" w:hAnsi="仿宋_GB2312" w:eastAsia="仿宋_GB2312" w:cs="仿宋_GB2312"/>
          <w:b w:val="0"/>
          <w:bCs/>
          <w:color w:val="auto"/>
          <w:sz w:val="32"/>
          <w:szCs w:val="32"/>
          <w:u w:val="none" w:color="auto"/>
          <w:lang w:val="en-US" w:eastAsia="zh-CN"/>
        </w:rPr>
      </w:pPr>
      <w:bookmarkStart w:id="11" w:name="CALCULATE—ZJCL—tajCltjes_zjclxx"/>
      <w:r>
        <w:rPr>
          <w:rFonts w:hint="eastAsia" w:ascii="仿宋_GB2312" w:hAnsi="仿宋_GB2312" w:eastAsia="仿宋_GB2312" w:cs="仿宋_GB2312"/>
          <w:b w:val="0"/>
          <w:color w:val="000000"/>
          <w:sz w:val="32"/>
          <w:u w:val="none" w:color="auto"/>
        </w:rPr>
        <w:t>1.后处置现场检查笔录，证明证明执法人员依法到当事人经营场所开展抽检不合格产品后处置的事实。</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2.经营者《营业执照》复印件，证明证明当事人的经营主体资质、经营范围等主体资格情况。</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3.检验报告、食品安全抽样检验结果通知书，证明证明抽样食品“菜籽油”经检验结果不合格，执法人员将《检验报告》和《食品安全抽样检验结果通知书》送达当事人，由当事人签收相关文书，同时告知当事人对检验结果享有申请复检的权利、途径和期限的事实。</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4.询问笔录，证明证明当事人的违法事实且当事人对违法事实确认。</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5.《召回公告》公示图片，证明证明当事人主动对抽检不合格的“菜籽油”开展召回行动的事实。</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6.行政检查审批表，证明证明执法人员的检查事项已通过审批。</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7.送达地址确认书，证明证明当事人的送达地址。</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8.行政检查通知书，证明证明执法人员检查前已告知当事人行政检查的相关情况。</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9.经营者《居民身份证》复印件，证明证明经营者符合承担法律责任的个人合法主体身份。</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10.经营者食品小作坊登记证，证明证明经营者办有有效的生产加工资质，符合法定资格。</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11.抽检购买凭证，证明证明广西民生中检联检测有限公司对样品抽检付款购买合法合规的事实。</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12.关于放弃抽样检验不合格结果复检权利的声明，证明证明执法人员依法告知当事人对检验结果享有申请复检的权利、途径和期限的事实，且当事人已知晓并对该权利的放弃声明。</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13.整改报告，证明证明当事人在收到检验报告后及时进行自查自纠，采取整改措施。</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14.证据提取单（后处置现场检图片），证明证明当事人正在开门正常对外营业，执法人员依法到当事人经营场所开展抽检不合格食品后处置工作的事实。</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15.抽样单，证明证明被抽样食品“菜籽油”详细信息。</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16.行政处罚案件有关事项审批表（违法所得认定），证明证明本案无法计算当事人违法所得</w:t>
      </w:r>
      <w:bookmarkEnd w:id="11"/>
      <w:r>
        <w:rPr>
          <w:rFonts w:hint="eastAsia" w:ascii="仿宋_GB2312" w:hAnsi="仿宋_GB2312" w:eastAsia="仿宋_GB2312" w:cs="仿宋_GB2312"/>
          <w:b w:val="0"/>
          <w:bCs/>
          <w:color w:val="000000"/>
          <w:sz w:val="32"/>
          <w:szCs w:val="32"/>
          <w:u w:val="none" w:color="auto"/>
          <w:lang w:val="en-US" w:eastAsia="zh-CN"/>
        </w:rPr>
        <w:t xml:space="preserve"> </w:t>
      </w:r>
    </w:p>
    <w:p w14:paraId="7C2D4848">
      <w:pPr>
        <w:pStyle w:val="3"/>
        <w:keepNext w:val="0"/>
        <w:keepLines w:val="0"/>
        <w:pageBreakBefore w:val="0"/>
        <w:widowControl w:val="0"/>
        <w:tabs>
          <w:tab w:val="left" w:pos="9060"/>
        </w:tabs>
        <w:kinsoku/>
        <w:overflowPunct/>
        <w:topLinePunct w:val="0"/>
        <w:autoSpaceDE w:val="0"/>
        <w:autoSpaceDN w:val="0"/>
        <w:bidi w:val="0"/>
        <w:adjustRightInd w:val="0"/>
        <w:snapToGrid/>
        <w:spacing w:line="240" w:lineRule="auto"/>
        <w:ind w:firstLine="640" w:firstLineChars="200"/>
        <w:textAlignment w:val="auto"/>
        <w:rPr>
          <w:rFonts w:hint="eastAsia" w:ascii="仿宋_GB2312" w:hAnsi="仿宋_GB2312" w:eastAsia="仿宋_GB2312" w:cs="仿宋_GB2312"/>
          <w:b w:val="0"/>
          <w:bCs/>
          <w:color w:val="auto"/>
          <w:sz w:val="32"/>
          <w:szCs w:val="32"/>
          <w:u w:val="none" w:color="auto"/>
          <w:lang w:val="en-US" w:eastAsia="zh-CN"/>
        </w:rPr>
      </w:pPr>
      <w:r>
        <w:rPr>
          <w:rFonts w:hint="eastAsia" w:ascii="仿宋_GB2312" w:hAnsi="仿宋_GB2312" w:eastAsia="仿宋_GB2312" w:cs="仿宋_GB2312"/>
          <w:b w:val="0"/>
          <w:bCs/>
          <w:color w:val="000000"/>
          <w:sz w:val="32"/>
          <w:szCs w:val="32"/>
          <w:u w:val="none" w:color="auto"/>
          <w:lang w:val="en-US" w:eastAsia="zh-CN"/>
        </w:rPr>
        <w:t xml:space="preserve">    </w:t>
      </w:r>
      <w:bookmarkStart w:id="12" w:name="CALCULATE—XZCFJDS—cCfgzwsSdrq"/>
      <w:r>
        <w:rPr>
          <w:rFonts w:hint="eastAsia" w:ascii="仿宋_GB2312" w:hAnsi="仿宋_GB2312" w:eastAsia="仿宋_GB2312" w:cs="仿宋_GB2312"/>
          <w:b w:val="0"/>
          <w:color w:val="000000"/>
          <w:sz w:val="32"/>
          <w:u w:val="none" w:color="auto"/>
        </w:rPr>
        <w:t>2026年8月27日</w:t>
      </w:r>
      <w:bookmarkEnd w:id="12"/>
      <w:r>
        <w:rPr>
          <w:rFonts w:hint="eastAsia" w:ascii="仿宋_GB2312" w:hAnsi="仿宋_GB2312" w:eastAsia="仿宋_GB2312" w:cs="仿宋_GB2312"/>
          <w:b w:val="0"/>
          <w:bCs/>
          <w:color w:val="000000"/>
          <w:sz w:val="32"/>
          <w:szCs w:val="32"/>
          <w:u w:val="none" w:color="auto"/>
        </w:rPr>
        <w:t>，本局向当事人送达了本案《行政处罚告知书》(</w:t>
      </w:r>
      <w:bookmarkStart w:id="13" w:name="CALCULATE—XZCFJDS—cCfgzSdwswh"/>
      <w:r>
        <w:rPr>
          <w:rFonts w:hint="eastAsia" w:ascii="仿宋_GB2312" w:hAnsi="仿宋_GB2312" w:eastAsia="仿宋_GB2312" w:cs="仿宋_GB2312"/>
          <w:b w:val="0"/>
          <w:color w:val="000000"/>
          <w:sz w:val="32"/>
          <w:u w:val="none" w:color="auto"/>
        </w:rPr>
        <w:t>融水市监罚告〔2026〕148号</w:t>
      </w:r>
      <w:bookmarkEnd w:id="13"/>
      <w:r>
        <w:rPr>
          <w:rFonts w:hint="eastAsia" w:ascii="仿宋_GB2312" w:hAnsi="仿宋_GB2312" w:eastAsia="仿宋_GB2312" w:cs="仿宋_GB2312"/>
          <w:b w:val="0"/>
          <w:bCs/>
          <w:color w:val="000000"/>
          <w:sz w:val="32"/>
          <w:szCs w:val="32"/>
          <w:u w:val="none" w:color="auto"/>
        </w:rPr>
        <w:t>)，</w:t>
      </w:r>
      <w:bookmarkStart w:id="14" w:name="CALCULATE—XZCFJDS—nTccssb"/>
      <w:r>
        <w:rPr>
          <w:rFonts w:hint="eastAsia" w:ascii="仿宋_GB2312" w:hAnsi="仿宋_GB2312" w:eastAsia="仿宋_GB2312" w:cs="仿宋_GB2312"/>
          <w:b w:val="0"/>
          <w:color w:val="000000"/>
          <w:sz w:val="32"/>
          <w:u w:val="none" w:color="auto"/>
        </w:rPr>
        <w:t>当事人在法定期限内未提出任何陈述或申辩</w:t>
      </w:r>
      <w:bookmarkEnd w:id="14"/>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color w:val="000000"/>
          <w:sz w:val="32"/>
          <w:szCs w:val="32"/>
          <w:u w:val="none"/>
          <w:lang w:eastAsia="zh-CN"/>
        </w:rPr>
        <w:t>视为放弃陈述、申辩权利</w:t>
      </w:r>
      <w:r>
        <w:rPr>
          <w:rFonts w:hint="eastAsia" w:ascii="仿宋_GB2312" w:hAnsi="宋体" w:eastAsia="仿宋_GB2312" w:cs="仿宋_GB2312"/>
          <w:color w:val="000000"/>
          <w:sz w:val="32"/>
          <w:szCs w:val="32"/>
          <w:u w:val="none"/>
        </w:rPr>
        <w:t>。</w:t>
      </w:r>
      <w:r>
        <w:rPr>
          <w:rFonts w:hint="eastAsia" w:ascii="仿宋_GB2312" w:hAnsi="仿宋_GB2312" w:eastAsia="仿宋_GB2312" w:cs="仿宋_GB2312"/>
          <w:b w:val="0"/>
          <w:bCs/>
          <w:color w:val="000000"/>
          <w:sz w:val="32"/>
          <w:szCs w:val="32"/>
          <w:u w:val="none" w:color="auto"/>
        </w:rPr>
        <w:t xml:space="preserve">                                         </w:t>
      </w:r>
      <w:r>
        <w:rPr>
          <w:rFonts w:hint="eastAsia" w:ascii="仿宋_GB2312" w:hAnsi="仿宋_GB2312" w:eastAsia="仿宋_GB2312" w:cs="仿宋_GB2312"/>
          <w:b w:val="0"/>
          <w:bCs/>
          <w:color w:val="000000"/>
          <w:sz w:val="32"/>
          <w:szCs w:val="32"/>
          <w:u w:val="none" w:color="auto"/>
          <w:lang w:val="en-US" w:eastAsia="zh-CN"/>
        </w:rPr>
        <w:t xml:space="preserve">          </w:t>
      </w:r>
      <w:r>
        <w:rPr>
          <w:rFonts w:hint="eastAsia" w:ascii="仿宋_GB2312" w:hAnsi="仿宋_GB2312" w:eastAsia="仿宋_GB2312" w:cs="仿宋_GB2312"/>
          <w:b w:val="0"/>
          <w:bCs/>
          <w:color w:val="000000"/>
          <w:sz w:val="32"/>
          <w:szCs w:val="32"/>
          <w:u w:val="none" w:color="auto"/>
        </w:rPr>
        <w:t xml:space="preserve">                            </w:t>
      </w:r>
      <w:r>
        <w:rPr>
          <w:rFonts w:hint="eastAsia" w:ascii="仿宋_GB2312" w:hAnsi="仿宋_GB2312" w:eastAsia="仿宋_GB2312" w:cs="仿宋_GB2312"/>
          <w:b w:val="0"/>
          <w:bCs/>
          <w:color w:val="000000"/>
          <w:sz w:val="32"/>
          <w:szCs w:val="32"/>
          <w:u w:val="none" w:color="auto"/>
          <w:lang w:val="en-US" w:eastAsia="zh-CN"/>
        </w:rPr>
        <w:t xml:space="preserve">                                         </w:t>
      </w:r>
    </w:p>
    <w:p w14:paraId="77FE9278">
      <w:pPr>
        <w:pStyle w:val="3"/>
        <w:keepNext w:val="0"/>
        <w:keepLines w:val="0"/>
        <w:pageBreakBefore w:val="0"/>
        <w:widowControl w:val="0"/>
        <w:tabs>
          <w:tab w:val="left" w:pos="9060"/>
        </w:tabs>
        <w:kinsoku/>
        <w:overflowPunct/>
        <w:topLinePunct w:val="0"/>
        <w:autoSpaceDE w:val="0"/>
        <w:autoSpaceDN w:val="0"/>
        <w:bidi w:val="0"/>
        <w:adjustRightInd w:val="0"/>
        <w:snapToGrid/>
        <w:spacing w:line="520" w:lineRule="exact"/>
        <w:ind w:firstLine="640" w:firstLineChars="200"/>
        <w:textAlignment w:val="auto"/>
        <w:rPr>
          <w:rFonts w:hint="eastAsia" w:ascii="仿宋_GB2312" w:hAnsi="仿宋_GB2312" w:eastAsia="仿宋_GB2312" w:cs="仿宋_GB2312"/>
          <w:kern w:val="1"/>
          <w:sz w:val="32"/>
          <w:szCs w:val="32"/>
          <w:u w:val="none" w:color="auto"/>
        </w:rPr>
      </w:pPr>
      <w:r>
        <w:rPr>
          <w:rFonts w:hint="eastAsia" w:ascii="仿宋_GB2312" w:hAnsi="仿宋_GB2312" w:eastAsia="仿宋_GB2312" w:cs="仿宋_GB2312"/>
          <w:color w:val="000000"/>
          <w:kern w:val="1"/>
          <w:sz w:val="32"/>
          <w:szCs w:val="32"/>
          <w:u w:val="none" w:color="auto"/>
          <w:lang w:eastAsia="zh-CN"/>
        </w:rPr>
        <w:t>综上所述</w:t>
      </w:r>
      <w:r>
        <w:rPr>
          <w:rFonts w:hint="eastAsia" w:ascii="仿宋_GB2312" w:hAnsi="仿宋_GB2312" w:eastAsia="仿宋_GB2312" w:cs="仿宋_GB2312"/>
          <w:color w:val="000000"/>
          <w:kern w:val="1"/>
          <w:sz w:val="32"/>
          <w:szCs w:val="32"/>
          <w:u w:val="none" w:color="auto"/>
        </w:rPr>
        <w:t>，</w:t>
      </w:r>
      <w:r>
        <w:rPr>
          <w:rFonts w:hint="eastAsia" w:ascii="仿宋_GB2312" w:hAnsi="仿宋_GB2312" w:eastAsia="仿宋_GB2312" w:cs="仿宋_GB2312"/>
          <w:color w:val="000000"/>
          <w:kern w:val="1"/>
          <w:sz w:val="32"/>
          <w:szCs w:val="32"/>
          <w:u w:val="none" w:color="auto"/>
          <w:lang w:eastAsia="zh-CN"/>
        </w:rPr>
        <w:t>当事人</w:t>
      </w:r>
      <w:r>
        <w:rPr>
          <w:rFonts w:hint="eastAsia" w:ascii="仿宋_GB2312" w:hAnsi="仿宋_GB2312" w:eastAsia="仿宋_GB2312" w:cs="仿宋_GB2312"/>
          <w:color w:val="000000"/>
          <w:kern w:val="1"/>
          <w:sz w:val="32"/>
          <w:szCs w:val="32"/>
          <w:u w:val="none" w:color="auto"/>
        </w:rPr>
        <w:t>生产经营不符合食品安全标准食</w:t>
      </w:r>
      <w:r>
        <w:rPr>
          <w:rFonts w:hint="eastAsia" w:ascii="仿宋_GB2312" w:hAnsi="仿宋_GB2312" w:eastAsia="仿宋_GB2312" w:cs="仿宋_GB2312"/>
          <w:color w:val="000000"/>
          <w:kern w:val="1"/>
          <w:sz w:val="32"/>
          <w:szCs w:val="32"/>
          <w:u w:val="none" w:color="auto"/>
          <w:lang w:eastAsia="zh-CN"/>
        </w:rPr>
        <w:t>品</w:t>
      </w:r>
      <w:r>
        <w:rPr>
          <w:rFonts w:hint="eastAsia" w:ascii="仿宋_GB2312" w:hAnsi="仿宋_GB2312" w:eastAsia="仿宋_GB2312" w:cs="仿宋_GB2312"/>
          <w:color w:val="000000"/>
          <w:kern w:val="1"/>
          <w:sz w:val="32"/>
          <w:szCs w:val="32"/>
          <w:u w:val="none" w:color="auto"/>
        </w:rPr>
        <w:t>的行为涉嫌违反了《广西壮族自治区食品小作坊小餐饮和食品摊贩管理条例》第十五条第二项“食品小作坊不得有下列行为：（二）生产经营致病性微生物、农药残留、兽药残留、生物毒素、重金属等污染物质以及其他危害人体健康的物质含量超过食品安全标准限量的食品；”的规定，构成了生产经营不合格食品的违法行为。应当依据《广西壮族自治区食品小作坊小餐饮和食品摊贩管理条例（2020修正）》第三十八条：“违反本条例第十一条第三款、第十四条第一款规定，生产经营食品小作坊登记证载明的品种范围以外的食品或者禁止生产加工的食品的，或者有第十五条规定的禁止行为之一的，由市场监督管理部门处二千元以上二万元以下罚款；情节严重的，吊销食品小作坊登记证；造成食品安全事故的，还应当没收违法所得和违法生产经营的食品以及用于违法生产经营的工具、设备、原料等物品。”的规定予以处罚。</w:t>
      </w:r>
    </w:p>
    <w:p w14:paraId="0EC39768">
      <w:pPr>
        <w:pStyle w:val="3"/>
        <w:keepNext w:val="0"/>
        <w:keepLines w:val="0"/>
        <w:pageBreakBefore w:val="0"/>
        <w:widowControl w:val="0"/>
        <w:tabs>
          <w:tab w:val="left" w:pos="9060"/>
        </w:tabs>
        <w:kinsoku/>
        <w:overflowPunct/>
        <w:topLinePunct w:val="0"/>
        <w:autoSpaceDE w:val="0"/>
        <w:autoSpaceDN w:val="0"/>
        <w:bidi w:val="0"/>
        <w:adjustRightInd w:val="0"/>
        <w:snapToGrid/>
        <w:spacing w:line="520" w:lineRule="exact"/>
        <w:ind w:firstLine="640" w:firstLineChars="200"/>
        <w:textAlignment w:val="auto"/>
        <w:rPr>
          <w:rFonts w:hint="eastAsia" w:ascii="仿宋_GB2312" w:hAnsi="仿宋_GB2312" w:eastAsia="仿宋_GB2312" w:cs="仿宋_GB2312"/>
          <w:kern w:val="1"/>
          <w:sz w:val="32"/>
          <w:szCs w:val="32"/>
          <w:u w:val="none" w:color="auto"/>
        </w:rPr>
      </w:pPr>
      <w:r>
        <w:rPr>
          <w:rFonts w:hint="eastAsia" w:ascii="仿宋_GB2312" w:hAnsi="仿宋_GB2312" w:eastAsia="仿宋_GB2312" w:cs="仿宋_GB2312"/>
          <w:color w:val="000000"/>
          <w:kern w:val="1"/>
          <w:sz w:val="32"/>
          <w:szCs w:val="32"/>
          <w:u w:val="none" w:color="auto"/>
        </w:rPr>
        <w:t>自立案调查以来我局未收到因</w:t>
      </w:r>
      <w:r>
        <w:rPr>
          <w:rFonts w:hint="eastAsia" w:ascii="仿宋_GB2312" w:hAnsi="仿宋_GB2312" w:eastAsia="仿宋_GB2312" w:cs="仿宋_GB2312"/>
          <w:color w:val="000000"/>
          <w:kern w:val="1"/>
          <w:sz w:val="32"/>
          <w:szCs w:val="32"/>
          <w:u w:val="none" w:color="auto"/>
          <w:lang w:eastAsia="zh-CN"/>
        </w:rPr>
        <w:t>当事人</w:t>
      </w:r>
      <w:r>
        <w:rPr>
          <w:rFonts w:hint="eastAsia" w:ascii="仿宋_GB2312" w:hAnsi="仿宋_GB2312" w:eastAsia="仿宋_GB2312" w:cs="仿宋_GB2312"/>
          <w:color w:val="000000"/>
          <w:kern w:val="1"/>
          <w:sz w:val="32"/>
          <w:szCs w:val="32"/>
          <w:u w:val="none" w:color="auto"/>
        </w:rPr>
        <w:t>违法行为导致发生的食品安全事故报告，鉴于</w:t>
      </w:r>
      <w:r>
        <w:rPr>
          <w:rFonts w:hint="eastAsia" w:ascii="仿宋_GB2312" w:hAnsi="仿宋_GB2312" w:eastAsia="仿宋_GB2312" w:cs="仿宋_GB2312"/>
          <w:color w:val="000000"/>
          <w:kern w:val="1"/>
          <w:sz w:val="32"/>
          <w:szCs w:val="32"/>
          <w:u w:val="none" w:color="auto"/>
          <w:lang w:eastAsia="zh-CN"/>
        </w:rPr>
        <w:t>当事人</w:t>
      </w:r>
      <w:r>
        <w:rPr>
          <w:rFonts w:hint="eastAsia" w:ascii="仿宋_GB2312" w:hAnsi="仿宋_GB2312" w:eastAsia="仿宋_GB2312" w:cs="仿宋_GB2312"/>
          <w:color w:val="000000"/>
          <w:kern w:val="1"/>
          <w:sz w:val="32"/>
          <w:szCs w:val="32"/>
          <w:u w:val="none" w:color="auto"/>
        </w:rPr>
        <w:t>属于初次违法，且积极配合案件调查工作，主动履行召回义务，积极消除违法行为危害后果的，违法货值金额较小违法行为轻微，社会危害性较小符合《中华人民共和国行政处罚法》第五条第二款“设定和实施行政处罚必须以事实为依据，与违法行为的笑事实、性质、情节以及社会危害程度相当。”、第六条“实施行政处罚，纠正违法行为，应当坚持处罚与教育相结合，教育公民、法人或者其他组织自觉守法”、第三十二条第(五)项“</w:t>
      </w:r>
      <w:r>
        <w:rPr>
          <w:rFonts w:hint="eastAsia" w:ascii="仿宋_GB2312" w:hAnsi="仿宋_GB2312" w:eastAsia="仿宋_GB2312" w:cs="仿宋_GB2312"/>
          <w:color w:val="000000"/>
          <w:kern w:val="1"/>
          <w:sz w:val="32"/>
          <w:szCs w:val="32"/>
          <w:u w:val="none" w:color="auto"/>
          <w:lang w:eastAsia="zh-CN"/>
        </w:rPr>
        <w:t>当事人</w:t>
      </w:r>
      <w:r>
        <w:rPr>
          <w:rFonts w:hint="eastAsia" w:ascii="仿宋_GB2312" w:hAnsi="仿宋_GB2312" w:eastAsia="仿宋_GB2312" w:cs="仿宋_GB2312"/>
          <w:color w:val="000000"/>
          <w:kern w:val="1"/>
          <w:sz w:val="32"/>
          <w:szCs w:val="32"/>
          <w:u w:val="none" w:color="auto"/>
        </w:rPr>
        <w:t>有下列情形之一，应当从轻或者减轻行政处罚:(五)法律、法规、规章规定其他应当从轻或者减轻行政处罚的。”的规定；亦符合《市场监管总局关于规范市场监督管理行政处罚裁量权的指导意见》第十四条第(二)项“有下列情形之一的，可以依法从轻或者减轻行政处罚:…(二)积极配合市场监管部门调查并主动提供证据材料的;…”所列情形，参照《广西壮族自治区市场监督管理行政处罚裁量权适用规定》第十二条第(二)、(三)项“有下列情形之一的，可以依法从轻或者减轻行政处罚：（二）积极配合市场监管部门调查并主动提供证据材料的；（三）违法行为轻微，社会危害性较小的；”之规定我局</w:t>
      </w:r>
      <w:r>
        <w:rPr>
          <w:rFonts w:hint="eastAsia" w:ascii="仿宋_GB2312" w:hAnsi="仿宋_GB2312" w:eastAsia="仿宋_GB2312" w:cs="仿宋_GB2312"/>
          <w:color w:val="000000"/>
          <w:kern w:val="1"/>
          <w:sz w:val="32"/>
          <w:szCs w:val="32"/>
          <w:u w:val="none" w:color="auto"/>
          <w:lang w:eastAsia="zh-CN"/>
        </w:rPr>
        <w:t>决定</w:t>
      </w:r>
      <w:r>
        <w:rPr>
          <w:rFonts w:hint="eastAsia" w:ascii="仿宋_GB2312" w:hAnsi="仿宋_GB2312" w:eastAsia="仿宋_GB2312" w:cs="仿宋_GB2312"/>
          <w:color w:val="000000"/>
          <w:kern w:val="1"/>
          <w:sz w:val="32"/>
          <w:szCs w:val="32"/>
          <w:u w:val="none" w:color="auto"/>
        </w:rPr>
        <w:t>对</w:t>
      </w:r>
      <w:r>
        <w:rPr>
          <w:rFonts w:hint="eastAsia" w:ascii="仿宋_GB2312" w:hAnsi="仿宋_GB2312" w:eastAsia="仿宋_GB2312" w:cs="仿宋_GB2312"/>
          <w:color w:val="000000"/>
          <w:kern w:val="1"/>
          <w:sz w:val="32"/>
          <w:szCs w:val="32"/>
          <w:u w:val="none" w:color="auto"/>
          <w:lang w:eastAsia="zh-CN"/>
        </w:rPr>
        <w:t>当事人</w:t>
      </w:r>
      <w:r>
        <w:rPr>
          <w:rFonts w:hint="eastAsia" w:ascii="仿宋_GB2312" w:hAnsi="仿宋_GB2312" w:eastAsia="仿宋_GB2312" w:cs="仿宋_GB2312"/>
          <w:color w:val="000000"/>
          <w:kern w:val="1"/>
          <w:sz w:val="32"/>
          <w:szCs w:val="32"/>
          <w:u w:val="none" w:color="auto"/>
        </w:rPr>
        <w:t xml:space="preserve">做出如下处罚：                                   </w:t>
      </w:r>
    </w:p>
    <w:p w14:paraId="5052EB59">
      <w:pPr>
        <w:pStyle w:val="3"/>
        <w:keepNext w:val="0"/>
        <w:keepLines w:val="0"/>
        <w:pageBreakBefore w:val="0"/>
        <w:widowControl w:val="0"/>
        <w:tabs>
          <w:tab w:val="left" w:pos="9060"/>
        </w:tabs>
        <w:kinsoku/>
        <w:overflowPunct/>
        <w:topLinePunct w:val="0"/>
        <w:autoSpaceDE w:val="0"/>
        <w:autoSpaceDN w:val="0"/>
        <w:bidi w:val="0"/>
        <w:adjustRightInd w:val="0"/>
        <w:snapToGrid/>
        <w:spacing w:line="520" w:lineRule="exact"/>
        <w:ind w:firstLine="640" w:firstLineChars="200"/>
        <w:textAlignment w:val="auto"/>
        <w:rPr>
          <w:rFonts w:hint="eastAsia" w:ascii="仿宋_GB2312" w:hAnsi="仿宋_GB2312" w:eastAsia="仿宋_GB2312" w:cs="仿宋_GB2312"/>
          <w:b w:val="0"/>
          <w:bCs/>
          <w:color w:val="auto"/>
          <w:sz w:val="32"/>
          <w:szCs w:val="32"/>
          <w:u w:val="none" w:color="auto"/>
          <w:lang w:val="en-US" w:eastAsia="zh-CN"/>
        </w:rPr>
      </w:pPr>
      <w:r>
        <w:rPr>
          <w:rFonts w:hint="eastAsia" w:ascii="仿宋_GB2312" w:hAnsi="仿宋_GB2312" w:eastAsia="仿宋_GB2312" w:cs="仿宋_GB2312"/>
          <w:b w:val="0"/>
          <w:bCs/>
          <w:color w:val="000000"/>
          <w:sz w:val="32"/>
          <w:szCs w:val="32"/>
          <w:u w:val="none" w:color="auto"/>
        </w:rPr>
        <w:t>1．</w:t>
      </w:r>
      <w:bookmarkStart w:id="15" w:name="CALCULATE—XZCFJDS—cfjycxzcfnr"/>
      <w:r>
        <w:rPr>
          <w:rFonts w:hint="eastAsia" w:ascii="仿宋_GB2312" w:hAnsi="仿宋_GB2312" w:eastAsia="仿宋_GB2312" w:cs="仿宋_GB2312"/>
          <w:b w:val="0"/>
          <w:color w:val="000000"/>
          <w:sz w:val="32"/>
          <w:u w:val="none" w:color="auto"/>
        </w:rPr>
        <w:t>罚款壹仟元(¥:1000.00元)</w:t>
      </w:r>
      <w:bookmarkEnd w:id="15"/>
      <w:r>
        <w:rPr>
          <w:rFonts w:hint="eastAsia" w:ascii="仿宋_GB2312" w:hAnsi="仿宋_GB2312" w:eastAsia="仿宋_GB2312" w:cs="仿宋_GB2312"/>
          <w:b w:val="0"/>
          <w:bCs/>
          <w:color w:val="000000"/>
          <w:sz w:val="32"/>
          <w:szCs w:val="32"/>
          <w:u w:val="none" w:color="auto"/>
          <w:lang w:val="en-US" w:eastAsia="zh-CN"/>
        </w:rPr>
        <w:t xml:space="preserve">  </w:t>
      </w:r>
    </w:p>
    <w:p w14:paraId="2DCD904D">
      <w:pPr>
        <w:pStyle w:val="3"/>
        <w:keepNext w:val="0"/>
        <w:keepLines w:val="0"/>
        <w:pageBreakBefore w:val="0"/>
        <w:widowControl w:val="0"/>
        <w:tabs>
          <w:tab w:val="left" w:pos="9060"/>
        </w:tabs>
        <w:kinsoku/>
        <w:overflowPunct/>
        <w:topLinePunct w:val="0"/>
        <w:autoSpaceDE w:val="0"/>
        <w:autoSpaceDN w:val="0"/>
        <w:bidi w:val="0"/>
        <w:adjustRightInd w:val="0"/>
        <w:snapToGrid/>
        <w:spacing w:line="520" w:lineRule="exact"/>
        <w:ind w:firstLine="640" w:firstLineChars="200"/>
        <w:textAlignment w:val="auto"/>
        <w:rPr>
          <w:rFonts w:hint="eastAsia" w:ascii="仿宋_GB2312" w:hAnsi="仿宋_GB2312" w:eastAsia="仿宋_GB2312" w:cs="仿宋_GB2312"/>
          <w:b w:val="0"/>
          <w:bCs/>
          <w:color w:val="auto"/>
          <w:sz w:val="32"/>
          <w:szCs w:val="32"/>
          <w:u w:val="none" w:color="auto"/>
        </w:rPr>
      </w:pPr>
      <w:r>
        <w:rPr>
          <w:rFonts w:hint="eastAsia" w:ascii="仿宋_GB2312" w:hAnsi="仿宋_GB2312" w:eastAsia="仿宋_GB2312" w:cs="仿宋_GB2312"/>
          <w:b w:val="0"/>
          <w:bCs/>
          <w:color w:val="000000"/>
          <w:kern w:val="2"/>
          <w:sz w:val="32"/>
          <w:szCs w:val="32"/>
          <w:u w:val="none" w:color="auto"/>
          <w:lang w:val="en-US" w:eastAsia="zh-CN" w:bidi="ar-SA"/>
        </w:rPr>
        <w:t>当事人应当自收到本行政处罚决定之日起十五日内，缴纳罚款，到期不缴纳罚款的，依据《中华人民共和国行政处罚法》第</w:t>
      </w:r>
      <w:r>
        <w:rPr>
          <w:rFonts w:hint="eastAsia" w:ascii="仿宋_GB2312" w:hAnsi="仿宋_GB2312" w:eastAsia="仿宋_GB2312" w:cs="仿宋_GB2312"/>
          <w:b w:val="0"/>
          <w:bCs/>
          <w:color w:val="000000"/>
          <w:kern w:val="2"/>
          <w:sz w:val="32"/>
          <w:szCs w:val="32"/>
          <w:u w:val="none" w:color="auto"/>
          <w:lang w:val="en-US" w:eastAsia="zh-Hans" w:bidi="ar-SA"/>
        </w:rPr>
        <w:t>七十二</w:t>
      </w:r>
      <w:r>
        <w:rPr>
          <w:rFonts w:hint="eastAsia" w:ascii="仿宋_GB2312" w:hAnsi="仿宋_GB2312" w:eastAsia="仿宋_GB2312" w:cs="仿宋_GB2312"/>
          <w:b w:val="0"/>
          <w:bCs/>
          <w:color w:val="000000"/>
          <w:kern w:val="2"/>
          <w:sz w:val="32"/>
          <w:szCs w:val="32"/>
          <w:u w:val="none" w:color="auto"/>
          <w:lang w:val="en-US" w:eastAsia="zh-CN" w:bidi="ar-SA"/>
        </w:rPr>
        <w:t xml:space="preserve">条的规定，本局将每日按罚款数额的百分之三加处罚款，并依法申请人民法院强制执行 </w:t>
      </w:r>
      <w:r>
        <w:rPr>
          <w:rFonts w:hint="eastAsia" w:ascii="仿宋_GB2312" w:hAnsi="仿宋_GB2312" w:eastAsia="仿宋_GB2312" w:cs="仿宋_GB2312"/>
          <w:b w:val="0"/>
          <w:bCs/>
          <w:color w:val="000000"/>
          <w:sz w:val="32"/>
          <w:szCs w:val="32"/>
          <w:u w:val="none" w:color="auto"/>
        </w:rPr>
        <w:t xml:space="preserve">                                                </w:t>
      </w:r>
    </w:p>
    <w:p w14:paraId="61F041CA">
      <w:pPr>
        <w:pStyle w:val="3"/>
        <w:keepNext w:val="0"/>
        <w:keepLines w:val="0"/>
        <w:pageBreakBefore w:val="0"/>
        <w:widowControl w:val="0"/>
        <w:tabs>
          <w:tab w:val="left" w:pos="8395"/>
        </w:tabs>
        <w:kinsoku/>
        <w:wordWrap w:val="0"/>
        <w:overflowPunct/>
        <w:topLinePunct w:val="0"/>
        <w:autoSpaceDE w:val="0"/>
        <w:autoSpaceDN w:val="0"/>
        <w:bidi w:val="0"/>
        <w:adjustRightInd w:val="0"/>
        <w:snapToGrid/>
        <w:spacing w:line="520" w:lineRule="exact"/>
        <w:ind w:firstLine="640" w:firstLineChars="200"/>
        <w:textAlignment w:val="auto"/>
        <w:rPr>
          <w:rFonts w:hint="eastAsia" w:ascii="仿宋_GB2312" w:hAnsi="仿宋_GB2312" w:eastAsia="仿宋_GB2312" w:cs="仿宋_GB2312"/>
          <w:b w:val="0"/>
          <w:bCs/>
          <w:color w:val="auto"/>
          <w:kern w:val="2"/>
          <w:sz w:val="32"/>
          <w:szCs w:val="32"/>
          <w:u w:val="none" w:color="auto"/>
          <w:lang w:val="en-US" w:eastAsia="zh-CN" w:bidi="ar-SA"/>
        </w:rPr>
      </w:pPr>
      <w:r>
        <w:rPr>
          <w:rFonts w:hint="eastAsia" w:ascii="仿宋_GB2312" w:hAnsi="仿宋_GB2312" w:eastAsia="仿宋_GB2312" w:cs="仿宋_GB2312"/>
          <w:b w:val="0"/>
          <w:bCs/>
          <w:color w:val="000000"/>
          <w:kern w:val="2"/>
          <w:sz w:val="32"/>
          <w:szCs w:val="32"/>
          <w:u w:val="none" w:color="auto"/>
          <w:lang w:val="en-US" w:eastAsia="zh-CN" w:bidi="ar-SA"/>
        </w:rPr>
        <w:t>当事人如不服本行政处罚决定，可以在收到本行政处罚决定书之日起六十日内向融水苗族自治县人民政府申请行政复议；也可以在六个月内依法向柳州市柳北区人民法院提起行政诉讼。申请行政复议或者提起行政诉讼期间，行政处罚不停止执行。</w:t>
      </w:r>
    </w:p>
    <w:p w14:paraId="73DF8199">
      <w:pPr>
        <w:pStyle w:val="3"/>
        <w:keepNext w:val="0"/>
        <w:keepLines w:val="0"/>
        <w:pageBreakBefore w:val="0"/>
        <w:widowControl w:val="0"/>
        <w:tabs>
          <w:tab w:val="left" w:pos="8395"/>
        </w:tabs>
        <w:kinsoku/>
        <w:wordWrap w:val="0"/>
        <w:overflowPunct/>
        <w:topLinePunct w:val="0"/>
        <w:autoSpaceDE w:val="0"/>
        <w:autoSpaceDN w:val="0"/>
        <w:bidi w:val="0"/>
        <w:adjustRightInd w:val="0"/>
        <w:snapToGrid/>
        <w:spacing w:line="520" w:lineRule="exact"/>
        <w:ind w:firstLine="640" w:firstLineChars="200"/>
        <w:textAlignment w:val="auto"/>
        <w:rPr>
          <w:rFonts w:hint="default" w:ascii="Times New Roman" w:eastAsia="仿宋_GB2312" w:cs="仿宋_GB2312"/>
          <w:b w:val="0"/>
          <w:bCs/>
          <w:color w:val="auto"/>
          <w:u w:val="none" w:color="auto"/>
          <w:lang w:val="en-US" w:eastAsia="zh-CN"/>
        </w:rPr>
      </w:pPr>
    </w:p>
    <w:p w14:paraId="7771CB54">
      <w:pPr>
        <w:widowControl/>
        <w:snapToGrid w:val="0"/>
        <w:spacing w:line="520" w:lineRule="exact"/>
        <w:jc w:val="left"/>
        <w:rPr>
          <w:rFonts w:ascii="Times New Roman" w:hAnsi="Times New Roman" w:eastAsia="仿宋_GB2312" w:cs="仿宋_GB2312"/>
          <w:color w:val="auto"/>
          <w:sz w:val="32"/>
          <w:szCs w:val="32"/>
          <w:u w:val="none" w:color="auto"/>
        </w:rPr>
      </w:pPr>
    </w:p>
    <w:p w14:paraId="6A61BFA5">
      <w:pPr>
        <w:widowControl/>
        <w:snapToGrid w:val="0"/>
        <w:spacing w:line="520" w:lineRule="exact"/>
        <w:ind w:firstLine="6240" w:firstLineChars="1950"/>
        <w:jc w:val="left"/>
        <w:rPr>
          <w:rFonts w:hint="eastAsia" w:ascii="Times New Roman" w:hAnsi="Times New Roman" w:eastAsia="仿宋_GB2312" w:cs="仿宋_GB2312"/>
          <w:color w:val="auto"/>
          <w:sz w:val="32"/>
          <w:szCs w:val="32"/>
          <w:u w:val="none" w:color="auto"/>
          <w:lang w:val="en-US" w:eastAsia="zh-Hans"/>
        </w:rPr>
      </w:pPr>
    </w:p>
    <w:p w14:paraId="6BE6E6B1">
      <w:pPr>
        <w:spacing w:line="560" w:lineRule="exact"/>
        <w:ind w:right="640" w:firstLine="601"/>
        <w:jc w:val="right"/>
        <w:rPr>
          <w:rFonts w:ascii="Times New Roman" w:hAnsi="Times New Roman" w:eastAsia="仿宋_GB2312" w:cs="仿宋"/>
          <w:color w:val="auto"/>
          <w:sz w:val="32"/>
          <w:szCs w:val="32"/>
          <w:u w:val="none" w:color="auto"/>
        </w:rPr>
      </w:pPr>
      <w:bookmarkStart w:id="16" w:name="DYNAMIC—DWXX—tAj_dwmc—2"/>
      <w:r>
        <w:rPr>
          <w:rFonts w:hint="eastAsia" w:ascii="Times New Roman" w:hAnsi="Times New Roman" w:eastAsia="仿宋_GB2312" w:cs="仿宋"/>
          <w:color w:val="000000"/>
          <w:sz w:val="32"/>
          <w:u w:val="none" w:color="auto"/>
        </w:rPr>
        <w:t>融水苗族自治县市场监督管理局</w:t>
      </w:r>
      <w:bookmarkEnd w:id="16"/>
      <w:r>
        <w:rPr>
          <w:rFonts w:hint="eastAsia" w:ascii="Times New Roman" w:hAnsi="Times New Roman" w:eastAsia="仿宋_GB2312" w:cs="仿宋"/>
          <w:color w:val="000000"/>
          <w:sz w:val="32"/>
          <w:szCs w:val="32"/>
          <w:u w:val="none" w:color="auto"/>
        </w:rPr>
        <w:t xml:space="preserve">    </w:t>
      </w:r>
    </w:p>
    <w:p w14:paraId="4D115B2C">
      <w:pPr>
        <w:spacing w:line="560" w:lineRule="exact"/>
        <w:ind w:right="640" w:firstLine="601"/>
        <w:jc w:val="right"/>
        <w:outlineLvl w:val="1"/>
        <w:rPr>
          <w:rFonts w:ascii="Times New Roman" w:hAnsi="Times New Roman" w:eastAsia="仿宋_GB2312" w:cs="仿宋"/>
          <w:color w:val="auto"/>
          <w:sz w:val="32"/>
          <w:szCs w:val="32"/>
          <w:u w:val="none" w:color="auto"/>
        </w:rPr>
      </w:pPr>
      <w:r>
        <w:rPr>
          <w:rFonts w:hint="eastAsia" w:ascii="Times New Roman" w:hAnsi="Times New Roman" w:eastAsia="仿宋_GB2312" w:cs="仿宋"/>
          <w:color w:val="000000"/>
          <w:sz w:val="32"/>
          <w:szCs w:val="32"/>
          <w:u w:val="none" w:color="auto"/>
        </w:rPr>
        <w:t>（印 章）</w:t>
      </w:r>
    </w:p>
    <w:p w14:paraId="372B05E8">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ascii="Times New Roman" w:hAnsi="Times New Roman" w:eastAsia="仿宋_GB2312" w:cs="仿宋_GB2312"/>
          <w:color w:val="auto"/>
          <w:sz w:val="32"/>
          <w:szCs w:val="32"/>
          <w:u w:val="none" w:color="auto"/>
        </w:rPr>
      </w:pPr>
      <w:bookmarkStart w:id="17" w:name="CALCULATE—TIME—NOW"/>
      <w:r>
        <w:rPr>
          <w:rFonts w:ascii="仿宋_GB2312" w:hAnsi="仿宋_GB2312" w:eastAsia="仿宋_GB2312" w:cs="仿宋_GB2312"/>
          <w:sz w:val="32"/>
        </w:rPr>
        <w:t>2026年09月13日</w:t>
      </w:r>
      <w:bookmarkEnd w:id="17"/>
      <w:r>
        <w:rPr>
          <w:rFonts w:hint="eastAsia" w:ascii="Times New Roman" w:hAnsi="Times New Roman" w:eastAsia="仿宋_GB2312" w:cs="仿宋_GB2312"/>
          <w:color w:val="000000"/>
          <w:sz w:val="32"/>
          <w:szCs w:val="32"/>
          <w:u w:val="none" w:color="auto"/>
        </w:rPr>
        <w:t xml:space="preserve">  </w:t>
      </w:r>
    </w:p>
    <w:p w14:paraId="2160725C">
      <w:pPr>
        <w:widowControl/>
        <w:snapToGrid w:val="0"/>
        <w:spacing w:line="520" w:lineRule="exact"/>
        <w:jc w:val="right"/>
        <w:rPr>
          <w:rFonts w:ascii="Times New Roman" w:hAnsi="Times New Roman" w:eastAsia="仿宋_GB2312" w:cs="Mongolian Baiti"/>
          <w:color w:val="auto"/>
          <w:sz w:val="32"/>
          <w:szCs w:val="32"/>
          <w:u w:val="none" w:color="auto"/>
        </w:rPr>
      </w:pPr>
    </w:p>
    <w:p w14:paraId="33A2C4EB">
      <w:pPr>
        <w:pStyle w:val="3"/>
        <w:spacing w:before="1"/>
        <w:ind w:left="163"/>
        <w:rPr>
          <w:rFonts w:ascii="Times New Roman" w:hAnsi="Times New Roman" w:eastAsia="仿宋_GB2312" w:cs="仿宋"/>
          <w:bCs/>
          <w:color w:val="auto"/>
          <w:sz w:val="44"/>
          <w:szCs w:val="44"/>
          <w:u w:val="none" w:color="auto"/>
        </w:rPr>
      </w:pPr>
      <w:r>
        <w:rPr>
          <w:rFonts w:ascii="Times New Roman" w:hAnsi="Times New Roman" w:eastAsia="仿宋_GB2312"/>
          <w:color w:val="000000"/>
          <w:sz w:val="32"/>
          <w:u w:val="none" w:color="auto"/>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000000"/>
          <w:spacing w:val="-16"/>
          <w:u w:val="none" w:color="auto"/>
        </w:rPr>
        <w:t>（市场监督管理部门将依法向社会公开行政处罚决定信息）</w:t>
      </w:r>
    </w:p>
    <w:p w14:paraId="5BCA3F38">
      <w:pPr>
        <w:spacing w:line="500" w:lineRule="exact"/>
        <w:jc w:val="center"/>
        <w:rPr>
          <w:color w:val="auto"/>
          <w:u w:val="none" w:color="auto"/>
        </w:rPr>
      </w:pPr>
      <w:r>
        <w:rPr>
          <w:rFonts w:ascii="Times New Roman" w:hAnsi="Times New Roman" w:eastAsia="仿宋_GB2312" w:cs="仿宋"/>
          <w:bCs/>
          <w:color w:val="000000"/>
          <w:sz w:val="32"/>
          <w:szCs w:val="32"/>
          <w:u w:val="none" w:color="auto"/>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color="auto"/>
        </w:rPr>
        <w:t>本文书一式</w:t>
      </w:r>
      <w:r>
        <w:rPr>
          <w:rFonts w:hint="eastAsia" w:ascii="Times New Roman" w:hAnsi="Times New Roman" w:eastAsia="仿宋_GB2312" w:cs="仿宋"/>
          <w:color w:val="000000"/>
          <w:sz w:val="32"/>
          <w:szCs w:val="32"/>
          <w:u w:val="none" w:color="auto"/>
          <w:lang w:eastAsia="zh-CN"/>
        </w:rPr>
        <w:t>二</w:t>
      </w:r>
      <w:r>
        <w:rPr>
          <w:rFonts w:hint="eastAsia" w:ascii="Times New Roman" w:hAnsi="Times New Roman" w:eastAsia="仿宋_GB2312" w:cs="仿宋"/>
          <w:color w:val="000000"/>
          <w:sz w:val="32"/>
          <w:szCs w:val="32"/>
          <w:u w:val="none" w:color="auto"/>
        </w:rPr>
        <w:t>份，</w:t>
      </w:r>
      <w:r>
        <w:rPr>
          <w:rFonts w:hint="eastAsia" w:ascii="Times New Roman" w:hAnsi="Times New Roman" w:eastAsia="仿宋_GB2312" w:cs="仿宋"/>
          <w:color w:val="000000"/>
          <w:sz w:val="32"/>
          <w:szCs w:val="32"/>
          <w:u w:val="none" w:color="auto"/>
          <w:lang w:eastAsia="zh-CN"/>
        </w:rPr>
        <w:t>一</w:t>
      </w:r>
      <w:r>
        <w:rPr>
          <w:rFonts w:hint="eastAsia" w:ascii="Times New Roman" w:hAnsi="Times New Roman" w:eastAsia="仿宋_GB2312" w:cs="仿宋"/>
          <w:color w:val="000000"/>
          <w:sz w:val="32"/>
          <w:szCs w:val="32"/>
          <w:u w:val="none" w:color="auto"/>
        </w:rPr>
        <w:t>份送达，一份归档。</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DejaVu Math TeX Gyre"/>
    <w:panose1 w:val="02040503050203030202"/>
    <w:charset w:val="00"/>
    <w:family w:val="roman"/>
    <w:pitch w:val="default"/>
    <w:sig w:usb0="00000000"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2000000000000000000"/>
    <w:charset w:val="86"/>
    <w:family w:val="script"/>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25A9E">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F748C8">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1F748C8">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3a570657-d4b9-4633-8bde-b1be1a221b99"/>
  </w:docVars>
  <w:rsids>
    <w:rsidRoot w:val="5BA419F7"/>
    <w:rsid w:val="00193C35"/>
    <w:rsid w:val="0032134F"/>
    <w:rsid w:val="010A478A"/>
    <w:rsid w:val="01E6152D"/>
    <w:rsid w:val="02B83402"/>
    <w:rsid w:val="03C31947"/>
    <w:rsid w:val="042774DD"/>
    <w:rsid w:val="048D2705"/>
    <w:rsid w:val="04CD463F"/>
    <w:rsid w:val="04FA4431"/>
    <w:rsid w:val="05C51508"/>
    <w:rsid w:val="06476E0A"/>
    <w:rsid w:val="06BAE61F"/>
    <w:rsid w:val="071C7669"/>
    <w:rsid w:val="07580619"/>
    <w:rsid w:val="0776795A"/>
    <w:rsid w:val="07DA78EE"/>
    <w:rsid w:val="08365B64"/>
    <w:rsid w:val="087864F3"/>
    <w:rsid w:val="090B4D3A"/>
    <w:rsid w:val="09290BEC"/>
    <w:rsid w:val="09AA7B69"/>
    <w:rsid w:val="0A2F38BD"/>
    <w:rsid w:val="0A3665F0"/>
    <w:rsid w:val="0B22091D"/>
    <w:rsid w:val="0CF71776"/>
    <w:rsid w:val="0D242541"/>
    <w:rsid w:val="0EB16245"/>
    <w:rsid w:val="0F0F388A"/>
    <w:rsid w:val="0FB748D6"/>
    <w:rsid w:val="103E22C5"/>
    <w:rsid w:val="11524677"/>
    <w:rsid w:val="115320F9"/>
    <w:rsid w:val="119E3BCA"/>
    <w:rsid w:val="1350279A"/>
    <w:rsid w:val="14203063"/>
    <w:rsid w:val="143E1E38"/>
    <w:rsid w:val="1490670C"/>
    <w:rsid w:val="14EE4B23"/>
    <w:rsid w:val="152E563E"/>
    <w:rsid w:val="159D25E0"/>
    <w:rsid w:val="15B93156"/>
    <w:rsid w:val="16032D77"/>
    <w:rsid w:val="16D23D7F"/>
    <w:rsid w:val="18325353"/>
    <w:rsid w:val="188449CB"/>
    <w:rsid w:val="18B229B2"/>
    <w:rsid w:val="19FE4517"/>
    <w:rsid w:val="1AE345F4"/>
    <w:rsid w:val="1B37398D"/>
    <w:rsid w:val="1C7339BB"/>
    <w:rsid w:val="1C7A5BA8"/>
    <w:rsid w:val="1E664711"/>
    <w:rsid w:val="1EC222D9"/>
    <w:rsid w:val="1F2B5D07"/>
    <w:rsid w:val="1FC004DE"/>
    <w:rsid w:val="1FD31F15"/>
    <w:rsid w:val="211B27C6"/>
    <w:rsid w:val="212E3259"/>
    <w:rsid w:val="22287087"/>
    <w:rsid w:val="237778B4"/>
    <w:rsid w:val="23F5677C"/>
    <w:rsid w:val="24626694"/>
    <w:rsid w:val="258D6CE0"/>
    <w:rsid w:val="27A45517"/>
    <w:rsid w:val="2B1B3EFC"/>
    <w:rsid w:val="2CEA3815"/>
    <w:rsid w:val="2DE10173"/>
    <w:rsid w:val="2F327E79"/>
    <w:rsid w:val="2F7CE1EF"/>
    <w:rsid w:val="2F8A6913"/>
    <w:rsid w:val="30DB5683"/>
    <w:rsid w:val="30FA2F6D"/>
    <w:rsid w:val="31562B39"/>
    <w:rsid w:val="31BE0AF5"/>
    <w:rsid w:val="32CE76E8"/>
    <w:rsid w:val="3334290F"/>
    <w:rsid w:val="33740640"/>
    <w:rsid w:val="3585615B"/>
    <w:rsid w:val="363C12E3"/>
    <w:rsid w:val="368E5656"/>
    <w:rsid w:val="377FBB27"/>
    <w:rsid w:val="37F16547"/>
    <w:rsid w:val="38B63DA7"/>
    <w:rsid w:val="38FD240B"/>
    <w:rsid w:val="3930619F"/>
    <w:rsid w:val="3A4E178D"/>
    <w:rsid w:val="3BF97ECA"/>
    <w:rsid w:val="3C2965F0"/>
    <w:rsid w:val="3D6B1177"/>
    <w:rsid w:val="3E5F4AE1"/>
    <w:rsid w:val="3E853745"/>
    <w:rsid w:val="3F2604DF"/>
    <w:rsid w:val="3F6783E4"/>
    <w:rsid w:val="3F842066"/>
    <w:rsid w:val="3FFF82D4"/>
    <w:rsid w:val="402E7C06"/>
    <w:rsid w:val="40FE5F8F"/>
    <w:rsid w:val="425049CE"/>
    <w:rsid w:val="442B16EC"/>
    <w:rsid w:val="458F64B9"/>
    <w:rsid w:val="45C51FFB"/>
    <w:rsid w:val="46157ACD"/>
    <w:rsid w:val="47243FC5"/>
    <w:rsid w:val="48C10000"/>
    <w:rsid w:val="4A555101"/>
    <w:rsid w:val="4ADF49AE"/>
    <w:rsid w:val="4B8F0B22"/>
    <w:rsid w:val="4C02380F"/>
    <w:rsid w:val="4C7C04B3"/>
    <w:rsid w:val="4CC8271B"/>
    <w:rsid w:val="4D9306AE"/>
    <w:rsid w:val="4E8950D9"/>
    <w:rsid w:val="4F722566"/>
    <w:rsid w:val="4F93378A"/>
    <w:rsid w:val="503F09B5"/>
    <w:rsid w:val="516D5500"/>
    <w:rsid w:val="52802336"/>
    <w:rsid w:val="53A0483E"/>
    <w:rsid w:val="547C0750"/>
    <w:rsid w:val="55FE5622"/>
    <w:rsid w:val="57503162"/>
    <w:rsid w:val="58A4140A"/>
    <w:rsid w:val="591F0542"/>
    <w:rsid w:val="59A10938"/>
    <w:rsid w:val="5AB04BFC"/>
    <w:rsid w:val="5BA419F7"/>
    <w:rsid w:val="5BEF1DBF"/>
    <w:rsid w:val="5BF91583"/>
    <w:rsid w:val="5BFB2E57"/>
    <w:rsid w:val="5C5D2BD9"/>
    <w:rsid w:val="5D213664"/>
    <w:rsid w:val="5DD7483B"/>
    <w:rsid w:val="5E5FAB03"/>
    <w:rsid w:val="5E605C94"/>
    <w:rsid w:val="5EA00CBE"/>
    <w:rsid w:val="5F9FEDD5"/>
    <w:rsid w:val="5FBEF003"/>
    <w:rsid w:val="5FE33914"/>
    <w:rsid w:val="5FFA4D85"/>
    <w:rsid w:val="602422E6"/>
    <w:rsid w:val="60B635F2"/>
    <w:rsid w:val="60C16F3B"/>
    <w:rsid w:val="612E7E8C"/>
    <w:rsid w:val="617678F3"/>
    <w:rsid w:val="61DC2B1A"/>
    <w:rsid w:val="636955DE"/>
    <w:rsid w:val="646E5E05"/>
    <w:rsid w:val="64E43803"/>
    <w:rsid w:val="657F58CB"/>
    <w:rsid w:val="66934D57"/>
    <w:rsid w:val="695F52C0"/>
    <w:rsid w:val="6AD7030F"/>
    <w:rsid w:val="6BA277B7"/>
    <w:rsid w:val="6BCC1BB9"/>
    <w:rsid w:val="6C6723F1"/>
    <w:rsid w:val="6C95040D"/>
    <w:rsid w:val="6CA517CF"/>
    <w:rsid w:val="6D064CEC"/>
    <w:rsid w:val="6D6C7F13"/>
    <w:rsid w:val="6D923254"/>
    <w:rsid w:val="6DD2313B"/>
    <w:rsid w:val="6E04767D"/>
    <w:rsid w:val="6E355D52"/>
    <w:rsid w:val="6E6950E9"/>
    <w:rsid w:val="6ED952C0"/>
    <w:rsid w:val="6F013B3F"/>
    <w:rsid w:val="6F732ABB"/>
    <w:rsid w:val="6FF58B64"/>
    <w:rsid w:val="6FF8F863"/>
    <w:rsid w:val="70CF02CA"/>
    <w:rsid w:val="70F532B7"/>
    <w:rsid w:val="71013020"/>
    <w:rsid w:val="710D7C3E"/>
    <w:rsid w:val="71FC56E7"/>
    <w:rsid w:val="7376089F"/>
    <w:rsid w:val="73FE46FD"/>
    <w:rsid w:val="74E06ABE"/>
    <w:rsid w:val="75B2DA43"/>
    <w:rsid w:val="75BD90DB"/>
    <w:rsid w:val="75CC41D0"/>
    <w:rsid w:val="75F8119D"/>
    <w:rsid w:val="76222141"/>
    <w:rsid w:val="76704CDE"/>
    <w:rsid w:val="76C855E6"/>
    <w:rsid w:val="76D869B3"/>
    <w:rsid w:val="76FD0A98"/>
    <w:rsid w:val="77DF8BD4"/>
    <w:rsid w:val="77EFD5CC"/>
    <w:rsid w:val="77FFADAC"/>
    <w:rsid w:val="7835649C"/>
    <w:rsid w:val="789620E4"/>
    <w:rsid w:val="78FD530C"/>
    <w:rsid w:val="7AFB4DD2"/>
    <w:rsid w:val="7B0F6E9A"/>
    <w:rsid w:val="7BA46A39"/>
    <w:rsid w:val="7BFD6076"/>
    <w:rsid w:val="7C8E43D6"/>
    <w:rsid w:val="7DA813EB"/>
    <w:rsid w:val="7DFF108F"/>
    <w:rsid w:val="7E423935"/>
    <w:rsid w:val="7EED8AE6"/>
    <w:rsid w:val="7F5A6980"/>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2873</Words>
  <Characters>3116</Characters>
  <Lines>0</Lines>
  <Paragraphs>0</Paragraphs>
  <TotalTime>9</TotalTime>
  <ScaleCrop>false</ScaleCrop>
  <LinksUpToDate>false</LinksUpToDate>
  <CharactersWithSpaces>3615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Administrator</cp:lastModifiedBy>
  <dcterms:modified xsi:type="dcterms:W3CDTF">2026-09-21T03:04:20Z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526F4C53292B48849053E71A59849707</vt:lpwstr>
  </property>
  <property fmtid="{D5CDD505-2E9C-101B-9397-08002B2CF9AE}" pid="4" name="KSOTemplateDocerSaveRecord">
    <vt:lpwstr>eyJoZGlkIjoiZTY4OTVhZWZkODk3MDRjN2EyZWU0ZGY2MWJlMzliZDYiLCJ1c2VySWQiOiI1MzcwODExMDYifQ==</vt:lpwstr>
  </property>
</Properties>
</file>