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93899">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0C38B0C4">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69E6CEE4">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融水市监处罚〔2026〕138号</w:t>
      </w:r>
      <w:bookmarkEnd w:id="2"/>
    </w:p>
    <w:p w14:paraId="3A6F1D47">
      <w:pPr>
        <w:keepNext w:val="0"/>
        <w:keepLines w:val="0"/>
        <w:pageBreakBefore w:val="0"/>
        <w:widowControl w:val="0"/>
        <w:kinsoku/>
        <w:wordWrap w:val="0"/>
        <w:overflowPunct/>
        <w:topLinePunct/>
        <w:autoSpaceDE/>
        <w:autoSpaceDN/>
        <w:bidi w:val="0"/>
        <w:snapToGrid/>
        <w:spacing w:line="560" w:lineRule="exact"/>
        <w:ind w:left="0" w:hanging="142"/>
        <w:textAlignment w:val="auto"/>
        <w:rPr>
          <w:rFonts w:hint="eastAsia" w:ascii="仿宋_GB2312" w:hAnsi="仿宋_GB2312" w:eastAsia="仿宋_GB2312" w:cs="仿宋_GB2312"/>
          <w:b w:val="0"/>
          <w:bCs/>
          <w:color w:val="auto"/>
          <w:kern w:val="1"/>
          <w:sz w:val="32"/>
          <w:szCs w:val="32"/>
          <w:u w:val="none" w:color="auto"/>
        </w:rPr>
      </w:pPr>
    </w:p>
    <w:p w14:paraId="0B8373C7">
      <w:pPr>
        <w:keepNext w:val="0"/>
        <w:keepLines w:val="0"/>
        <w:pageBreakBefore w:val="0"/>
        <w:widowControl w:val="0"/>
        <w:kinsoku/>
        <w:wordWrap w:val="0"/>
        <w:overflowPunct/>
        <w:topLinePunct/>
        <w:autoSpaceDE/>
        <w:autoSpaceDN/>
        <w:bidi w:val="0"/>
        <w:snapToGrid/>
        <w:spacing w:line="560" w:lineRule="exact"/>
        <w:ind w:left="0" w:hanging="142"/>
        <w:textAlignment w:val="auto"/>
        <w:rPr>
          <w:rFonts w:hint="eastAsia"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当事人：</w:t>
      </w:r>
      <w:bookmarkStart w:id="3" w:name="CALCULATE—DSR—tAjDsrs_cMc"/>
      <w:r>
        <w:rPr>
          <w:rFonts w:hint="eastAsia" w:ascii="仿宋_GB2312" w:hAnsi="仿宋_GB2312" w:eastAsia="仿宋_GB2312" w:cs="仿宋_GB2312"/>
          <w:b w:val="0"/>
          <w:color w:val="000000"/>
          <w:sz w:val="32"/>
          <w:u w:val="none" w:color="auto"/>
        </w:rPr>
        <w:t>广西融水县辣爆爆餐饮有限公司</w:t>
      </w:r>
      <w:bookmarkEnd w:id="3"/>
    </w:p>
    <w:p w14:paraId="1A970146">
      <w:pPr>
        <w:keepNext w:val="0"/>
        <w:keepLines w:val="0"/>
        <w:pageBreakBefore w:val="0"/>
        <w:widowControl w:val="0"/>
        <w:kinsoku/>
        <w:wordWrap w:val="0"/>
        <w:overflowPunct/>
        <w:topLinePunct/>
        <w:autoSpaceDE/>
        <w:autoSpaceDN/>
        <w:bidi w:val="0"/>
        <w:snapToGrid/>
        <w:spacing w:line="560" w:lineRule="exact"/>
        <w:ind w:left="0" w:hanging="140"/>
        <w:textAlignment w:val="auto"/>
        <w:rPr>
          <w:rFonts w:hint="eastAsia" w:ascii="仿宋_GB2312" w:hAnsi="仿宋_GB2312" w:eastAsia="仿宋_GB2312" w:cs="仿宋_GB2312"/>
          <w:b w:val="0"/>
          <w:bCs/>
          <w:color w:val="auto"/>
          <w:kern w:val="1"/>
          <w:sz w:val="32"/>
          <w:szCs w:val="32"/>
          <w:u w:val="none" w:color="auto"/>
        </w:rPr>
      </w:pPr>
      <w:r>
        <w:rPr>
          <w:rFonts w:hint="eastAsia" w:ascii="仿宋_GB2312" w:hAnsi="仿宋_GB2312" w:eastAsia="仿宋_GB2312" w:cs="仿宋_GB2312"/>
          <w:b w:val="0"/>
          <w:bCs/>
          <w:color w:val="000000"/>
          <w:kern w:val="1"/>
          <w:sz w:val="32"/>
          <w:szCs w:val="32"/>
          <w:u w:val="none" w:color="auto"/>
        </w:rPr>
        <w:t>主体资格证照名称：</w:t>
      </w:r>
      <w:bookmarkStart w:id="4" w:name="CALCULATE—DSR—tAjDsrs_cZtzgzzmc"/>
      <w:r>
        <w:rPr>
          <w:rFonts w:hint="eastAsia" w:ascii="仿宋_GB2312" w:hAnsi="仿宋_GB2312" w:eastAsia="仿宋_GB2312" w:cs="仿宋_GB2312"/>
          <w:b w:val="0"/>
          <w:color w:val="000000"/>
          <w:sz w:val="32"/>
          <w:u w:val="none" w:color="auto"/>
        </w:rPr>
        <w:t>营业执照</w:t>
      </w:r>
      <w:bookmarkEnd w:id="4"/>
      <w:r>
        <w:rPr>
          <w:rFonts w:hint="eastAsia" w:ascii="仿宋_GB2312" w:hAnsi="仿宋_GB2312" w:eastAsia="仿宋_GB2312" w:cs="仿宋_GB2312"/>
          <w:b w:val="0"/>
          <w:bCs/>
          <w:color w:val="000000"/>
          <w:kern w:val="1"/>
          <w:sz w:val="32"/>
          <w:szCs w:val="32"/>
          <w:u w:val="none" w:color="auto"/>
        </w:rPr>
        <w:t xml:space="preserve"> </w:t>
      </w:r>
    </w:p>
    <w:p w14:paraId="795E283B">
      <w:pPr>
        <w:keepNext w:val="0"/>
        <w:keepLines w:val="0"/>
        <w:pageBreakBefore w:val="0"/>
        <w:widowControl w:val="0"/>
        <w:kinsoku/>
        <w:wordWrap w:val="0"/>
        <w:overflowPunct/>
        <w:topLinePunct/>
        <w:autoSpaceDE/>
        <w:autoSpaceDN/>
        <w:bidi w:val="0"/>
        <w:snapToGrid/>
        <w:spacing w:line="560" w:lineRule="exact"/>
        <w:ind w:left="0" w:hanging="140"/>
        <w:textAlignment w:val="auto"/>
        <w:rPr>
          <w:rFonts w:hint="eastAsia" w:ascii="仿宋_GB2312" w:hAnsi="仿宋_GB2312" w:eastAsia="仿宋_GB2312" w:cs="仿宋_GB2312"/>
          <w:b w:val="0"/>
          <w:bCs/>
          <w:color w:val="auto"/>
          <w:kern w:val="1"/>
          <w:sz w:val="32"/>
          <w:szCs w:val="32"/>
          <w:u w:val="none" w:color="auto"/>
        </w:rPr>
      </w:pPr>
      <w:r>
        <w:rPr>
          <w:rFonts w:hint="eastAsia" w:ascii="仿宋_GB2312" w:hAnsi="仿宋_GB2312" w:eastAsia="仿宋_GB2312" w:cs="仿宋_GB2312"/>
          <w:b w:val="0"/>
          <w:bCs/>
          <w:color w:val="000000"/>
          <w:kern w:val="1"/>
          <w:sz w:val="32"/>
          <w:szCs w:val="32"/>
          <w:u w:val="none" w:color="auto"/>
        </w:rPr>
        <w:t>统一社会信用代码：</w:t>
      </w:r>
      <w:bookmarkStart w:id="5" w:name="CALCULATE—DSR—tAjDsrs_cTzshxydm"/>
      <w:r>
        <w:rPr>
          <w:rFonts w:hint="eastAsia" w:ascii="仿宋_GB2312" w:hAnsi="仿宋_GB2312" w:eastAsia="仿宋_GB2312" w:cs="仿宋_GB2312"/>
          <w:b w:val="0"/>
          <w:color w:val="000000"/>
          <w:sz w:val="32"/>
          <w:u w:val="none" w:color="auto"/>
        </w:rPr>
        <w:t>91450225MAEFE1AQ1D</w:t>
      </w:r>
      <w:bookmarkEnd w:id="5"/>
      <w:r>
        <w:rPr>
          <w:rFonts w:hint="eastAsia" w:ascii="仿宋_GB2312" w:hAnsi="仿宋_GB2312" w:eastAsia="仿宋_GB2312" w:cs="仿宋_GB2312"/>
          <w:b w:val="0"/>
          <w:bCs/>
          <w:color w:val="000000"/>
          <w:kern w:val="1"/>
          <w:sz w:val="32"/>
          <w:szCs w:val="32"/>
          <w:u w:val="none" w:color="auto"/>
        </w:rPr>
        <w:t xml:space="preserve"> </w:t>
      </w:r>
    </w:p>
    <w:p w14:paraId="1CE08E23">
      <w:pPr>
        <w:keepNext w:val="0"/>
        <w:keepLines w:val="0"/>
        <w:pageBreakBefore w:val="0"/>
        <w:widowControl w:val="0"/>
        <w:kinsoku/>
        <w:wordWrap w:val="0"/>
        <w:overflowPunct/>
        <w:topLinePunct/>
        <w:autoSpaceDE/>
        <w:autoSpaceDN/>
        <w:bidi w:val="0"/>
        <w:snapToGrid/>
        <w:spacing w:line="560" w:lineRule="exact"/>
        <w:ind w:left="0" w:hanging="140"/>
        <w:textAlignment w:val="auto"/>
        <w:rPr>
          <w:rFonts w:hint="eastAsia" w:ascii="仿宋_GB2312" w:hAnsi="仿宋_GB2312" w:eastAsia="仿宋_GB2312" w:cs="仿宋_GB2312"/>
          <w:b w:val="0"/>
          <w:color w:val="000000"/>
          <w:sz w:val="32"/>
          <w:u w:val="none" w:color="auto"/>
          <w:lang w:val="en-US" w:eastAsia="zh-CN"/>
        </w:rPr>
      </w:pPr>
      <w:r>
        <w:rPr>
          <w:rFonts w:hint="eastAsia" w:ascii="仿宋_GB2312" w:hAnsi="仿宋_GB2312" w:eastAsia="仿宋_GB2312" w:cs="仿宋_GB2312"/>
          <w:b w:val="0"/>
          <w:bCs/>
          <w:color w:val="000000"/>
          <w:kern w:val="1"/>
          <w:sz w:val="32"/>
          <w:szCs w:val="32"/>
          <w:u w:val="none" w:color="auto"/>
        </w:rPr>
        <w:t>住所（住址）：</w:t>
      </w:r>
      <w:bookmarkStart w:id="6" w:name="CALCULATE—DSR—tAjDsrs_cLxdzSheng"/>
      <w:r>
        <w:rPr>
          <w:rFonts w:hint="eastAsia" w:ascii="仿宋_GB2312" w:hAnsi="仿宋_GB2312" w:eastAsia="仿宋_GB2312" w:cs="仿宋_GB2312"/>
          <w:b w:val="0"/>
          <w:color w:val="000000"/>
          <w:sz w:val="32"/>
          <w:u w:val="none" w:color="auto"/>
        </w:rPr>
        <w:t>广西壮族自治区柳州市融水苗族自治县融水镇民族商品街</w:t>
      </w:r>
      <w:bookmarkEnd w:id="6"/>
      <w:r>
        <w:rPr>
          <w:rFonts w:hint="eastAsia" w:ascii="仿宋_GB2312" w:hAnsi="仿宋_GB2312" w:eastAsia="仿宋_GB2312" w:cs="仿宋_GB2312"/>
          <w:b w:val="0"/>
          <w:color w:val="000000"/>
          <w:sz w:val="32"/>
          <w:u w:val="none" w:color="auto"/>
          <w:lang w:val="en-US" w:eastAsia="zh-CN"/>
        </w:rPr>
        <w:t>******</w:t>
      </w:r>
    </w:p>
    <w:p w14:paraId="6DEB4772">
      <w:pPr>
        <w:keepNext w:val="0"/>
        <w:keepLines w:val="0"/>
        <w:pageBreakBefore w:val="0"/>
        <w:widowControl w:val="0"/>
        <w:kinsoku/>
        <w:wordWrap w:val="0"/>
        <w:overflowPunct/>
        <w:topLinePunct/>
        <w:autoSpaceDE/>
        <w:autoSpaceDN/>
        <w:bidi w:val="0"/>
        <w:snapToGrid/>
        <w:spacing w:line="560" w:lineRule="exact"/>
        <w:ind w:left="0" w:hanging="140"/>
        <w:textAlignment w:val="auto"/>
        <w:rPr>
          <w:rFonts w:hint="eastAsia" w:ascii="仿宋_GB2312" w:hAnsi="仿宋_GB2312" w:eastAsia="仿宋_GB2312" w:cs="仿宋_GB2312"/>
          <w:b w:val="0"/>
          <w:bCs/>
          <w:color w:val="auto"/>
          <w:kern w:val="1"/>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法定代表人：</w:t>
      </w:r>
      <w:bookmarkStart w:id="7" w:name="CALCULATE—DSR—tAjDsrs_cFddbr"/>
      <w:r>
        <w:rPr>
          <w:rFonts w:hint="eastAsia" w:ascii="仿宋_GB2312" w:hAnsi="仿宋_GB2312" w:eastAsia="仿宋_GB2312" w:cs="仿宋_GB2312"/>
          <w:b w:val="0"/>
          <w:color w:val="000000"/>
          <w:sz w:val="32"/>
          <w:u w:val="none" w:color="auto"/>
        </w:rPr>
        <w:t>黄竹桂</w:t>
      </w:r>
      <w:bookmarkEnd w:id="7"/>
      <w:r>
        <w:rPr>
          <w:rFonts w:hint="eastAsia" w:ascii="仿宋_GB2312" w:hAnsi="仿宋_GB2312" w:eastAsia="仿宋_GB2312" w:cs="仿宋_GB2312"/>
          <w:b w:val="0"/>
          <w:bCs/>
          <w:color w:val="000000"/>
          <w:kern w:val="1"/>
          <w:sz w:val="32"/>
          <w:szCs w:val="32"/>
          <w:u w:val="none" w:color="auto"/>
        </w:rPr>
        <w:t xml:space="preserve">  </w:t>
      </w:r>
    </w:p>
    <w:p w14:paraId="1584715A">
      <w:pPr>
        <w:keepNext w:val="0"/>
        <w:keepLines w:val="0"/>
        <w:pageBreakBefore w:val="0"/>
        <w:widowControl w:val="0"/>
        <w:kinsoku/>
        <w:wordWrap w:val="0"/>
        <w:overflowPunct/>
        <w:topLinePunct/>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u w:val="none" w:color="auto"/>
        </w:rPr>
      </w:pPr>
      <w:bookmarkStart w:id="8" w:name="CALCULATE—AJCF—tAjCfes_cAjss"/>
      <w:r>
        <w:rPr>
          <w:rFonts w:hint="eastAsia" w:ascii="仿宋_GB2312" w:hAnsi="仿宋_GB2312" w:eastAsia="仿宋_GB2312" w:cs="仿宋_GB2312"/>
          <w:color w:val="000000"/>
          <w:sz w:val="32"/>
          <w:u w:val="none" w:color="auto"/>
        </w:rPr>
        <w:t>2026年5月7日，本局执法人员到位于融水县融水镇民族商品街</w:t>
      </w:r>
      <w:r>
        <w:rPr>
          <w:rFonts w:hint="eastAsia" w:ascii="仿宋_GB2312" w:hAnsi="仿宋_GB2312" w:eastAsia="仿宋_GB2312" w:cs="仿宋_GB2312"/>
          <w:color w:val="000000"/>
          <w:sz w:val="32"/>
          <w:u w:val="none" w:color="auto"/>
          <w:lang w:val="en-US" w:eastAsia="zh-CN"/>
        </w:rPr>
        <w:t>******</w:t>
      </w:r>
      <w:r>
        <w:rPr>
          <w:rFonts w:hint="eastAsia" w:ascii="仿宋_GB2312" w:hAnsi="仿宋_GB2312" w:eastAsia="仿宋_GB2312" w:cs="仿宋_GB2312"/>
          <w:color w:val="000000"/>
          <w:sz w:val="32"/>
          <w:u w:val="none" w:color="auto"/>
        </w:rPr>
        <w:t>的广西融水县辣爆爆餐饮有限公司开展执法检查，该店正开门对外营业，门头悬挂有“城外头 新鲜菜无预制 融水店”字样的招牌，</w:t>
      </w:r>
      <w:r>
        <w:rPr>
          <w:rFonts w:hint="eastAsia" w:ascii="仿宋_GB2312" w:hAnsi="仿宋_GB2312" w:eastAsia="仿宋_GB2312" w:cs="仿宋_GB2312"/>
          <w:color w:val="000000"/>
          <w:sz w:val="32"/>
          <w:u w:val="none" w:color="auto"/>
          <w:lang w:eastAsia="zh-CN"/>
        </w:rPr>
        <w:t>法定代表人</w:t>
      </w:r>
      <w:r>
        <w:rPr>
          <w:rFonts w:hint="eastAsia" w:ascii="仿宋_GB2312" w:hAnsi="仿宋_GB2312" w:eastAsia="仿宋_GB2312" w:cs="仿宋_GB2312"/>
          <w:color w:val="000000"/>
          <w:sz w:val="32"/>
          <w:u w:val="none" w:color="auto"/>
        </w:rPr>
        <w:t>黄竹桂不在现场，有当事人管理员王喻文陪同检查。在该店就餐区墙上贴有“灶台故事湖南山里菜”、“锅爆爆取餐点”、“泰耶耶冬阴功鸡汤饭”、“淘宝闪购取餐点”、“猪肚鸡取餐点”的标识牌，在该店厨房内的货架上摆放有接单打印机2台，检查现场有外卖出餐单，上有“#15美团外卖 锅爆爆•36道下饭菜”、“泰耶耶•冬阴功鸡汤饭”等信息。店内就餐区墙上公示有《营业执照》（名称：广西融水县辣爆爆餐饮有限公司，统一社会信用代码：91450225MAEFE1AQ1D,经营地址：广西壮族自治区柳州市融水县融水镇民族商品街98号，法定代表人：黄竹桂）和登记证号为GXCY0225002926的《小餐饮登记证》（字号名称、统一社会信用代码、经营地址、法定代表人与营业执照一致）各一本。执法人员要求王喻文用其手机打开美团外卖平台，发现在“灶台故事湖南山里菜”网店上传公示的《食品经营许可证》许可证编号为JY24502250135231，签发日期：2025年05月09日，在签发日期上加盖有“融水苗族自治县行政审批局”字样的</w:t>
      </w:r>
      <w:r>
        <w:rPr>
          <w:rFonts w:hint="eastAsia" w:ascii="仿宋_GB2312" w:hAnsi="仿宋_GB2312" w:eastAsia="仿宋_GB2312" w:cs="仿宋_GB2312"/>
          <w:color w:val="000000"/>
          <w:sz w:val="32"/>
          <w:u w:val="none" w:color="auto"/>
          <w:lang w:eastAsia="zh-CN"/>
        </w:rPr>
        <w:t>印</w:t>
      </w:r>
      <w:r>
        <w:rPr>
          <w:rFonts w:hint="eastAsia" w:ascii="仿宋_GB2312" w:hAnsi="仿宋_GB2312" w:eastAsia="仿宋_GB2312" w:cs="仿宋_GB2312"/>
          <w:color w:val="000000"/>
          <w:sz w:val="32"/>
          <w:u w:val="none" w:color="auto"/>
        </w:rPr>
        <w:t>章，在“泰耶耶•冬阴功鸡汤饭”网店上传公示的《小餐饮登记证》登记证号为GXCY0225022879，签发日期：2025年04月25日，在签发日期上加盖有“融水苗族自治县行政审批局”字样的</w:t>
      </w:r>
      <w:r>
        <w:rPr>
          <w:rFonts w:hint="eastAsia" w:ascii="仿宋_GB2312" w:hAnsi="仿宋_GB2312" w:eastAsia="仿宋_GB2312" w:cs="仿宋_GB2312"/>
          <w:color w:val="000000"/>
          <w:sz w:val="32"/>
          <w:u w:val="none" w:color="auto"/>
          <w:lang w:eastAsia="zh-CN"/>
        </w:rPr>
        <w:t>印</w:t>
      </w:r>
      <w:r>
        <w:rPr>
          <w:rFonts w:hint="eastAsia" w:ascii="仿宋_GB2312" w:hAnsi="仿宋_GB2312" w:eastAsia="仿宋_GB2312" w:cs="仿宋_GB2312"/>
          <w:color w:val="000000"/>
          <w:sz w:val="32"/>
          <w:u w:val="none" w:color="auto"/>
        </w:rPr>
        <w:t>章，在“锅爆爆•36道下饭菜”和“一生只做猪肚鸡汤饭”网店上传公示的《小餐饮登记证》登记证号均为GXCY0225002926。执法人员要求王喻文用其手机打开淘宝闪购</w:t>
      </w:r>
      <w:r>
        <w:rPr>
          <w:rFonts w:hint="eastAsia" w:ascii="仿宋_GB2312" w:hAnsi="仿宋_GB2312" w:eastAsia="仿宋_GB2312" w:cs="仿宋_GB2312"/>
          <w:color w:val="000000"/>
          <w:sz w:val="32"/>
          <w:u w:val="none" w:color="auto"/>
          <w:lang w:eastAsia="zh-CN"/>
        </w:rPr>
        <w:t>外卖</w:t>
      </w:r>
      <w:r>
        <w:rPr>
          <w:rFonts w:hint="eastAsia" w:ascii="仿宋_GB2312" w:hAnsi="仿宋_GB2312" w:eastAsia="仿宋_GB2312" w:cs="仿宋_GB2312"/>
          <w:color w:val="000000"/>
          <w:sz w:val="32"/>
          <w:u w:val="none" w:color="auto"/>
        </w:rPr>
        <w:t>平台，发现在“90后创新下饭菜•不做预制菜（融水店）”网店上传公示的《小餐饮登记证》登记证号为GXCY0225002926。上述5个网店上传的《营业执照》均为融水县辣爆爆餐饮有限公司。王喻文现场未能提供许可证编号为JY24502250135231的《食品经营许可证》和登记证号为GXCY0225022879的《小餐饮登记证》原件或者复印件。</w:t>
      </w:r>
    </w:p>
    <w:p w14:paraId="0A9BF87B">
      <w:pPr>
        <w:keepNext w:val="0"/>
        <w:keepLines w:val="0"/>
        <w:pageBreakBefore w:val="0"/>
        <w:widowControl w:val="0"/>
        <w:kinsoku/>
        <w:wordWrap w:val="0"/>
        <w:overflowPunct/>
        <w:topLinePunct/>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u w:val="none" w:color="auto"/>
        </w:rPr>
      </w:pPr>
      <w:r>
        <w:rPr>
          <w:rFonts w:hint="eastAsia" w:ascii="仿宋_GB2312" w:hAnsi="仿宋_GB2312" w:eastAsia="仿宋_GB2312" w:cs="仿宋_GB2312"/>
          <w:color w:val="000000"/>
          <w:sz w:val="32"/>
          <w:u w:val="none" w:color="auto"/>
        </w:rPr>
        <w:t>次日，本局执法人员到位于融水县融水镇七一路</w:t>
      </w:r>
      <w:r>
        <w:rPr>
          <w:rFonts w:hint="eastAsia" w:ascii="仿宋_GB2312" w:hAnsi="仿宋_GB2312" w:eastAsia="仿宋_GB2312" w:cs="仿宋_GB2312"/>
          <w:color w:val="000000"/>
          <w:sz w:val="32"/>
          <w:u w:val="none" w:color="auto"/>
          <w:lang w:val="en-US" w:eastAsia="zh-CN"/>
        </w:rPr>
        <w:t>******</w:t>
      </w:r>
      <w:r>
        <w:rPr>
          <w:rFonts w:hint="eastAsia" w:ascii="仿宋_GB2312" w:hAnsi="仿宋_GB2312" w:eastAsia="仿宋_GB2312" w:cs="仿宋_GB2312"/>
          <w:color w:val="000000"/>
          <w:sz w:val="32"/>
          <w:u w:val="none" w:color="auto"/>
        </w:rPr>
        <w:t>的广西伟强贸易有限公司开展核查。在该公司美团外卖运行平台调取上述4家网店上传的《营业执照》和《食品经营许可证》、《小餐饮登记证》，信息与王喻文用手机打开美团平台一致。</w:t>
      </w:r>
    </w:p>
    <w:p w14:paraId="2FB52D59">
      <w:pPr>
        <w:keepNext w:val="0"/>
        <w:keepLines w:val="0"/>
        <w:pageBreakBefore w:val="0"/>
        <w:widowControl w:val="0"/>
        <w:kinsoku/>
        <w:wordWrap w:val="0"/>
        <w:overflowPunct/>
        <w:topLinePunct/>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u w:val="none" w:color="auto"/>
          <w:lang w:eastAsia="zh-CN"/>
        </w:rPr>
      </w:pPr>
      <w:r>
        <w:rPr>
          <w:rFonts w:hint="eastAsia" w:ascii="仿宋_GB2312" w:hAnsi="仿宋_GB2312" w:eastAsia="仿宋_GB2312" w:cs="仿宋_GB2312"/>
          <w:color w:val="000000"/>
          <w:sz w:val="32"/>
          <w:u w:val="none" w:color="auto"/>
        </w:rPr>
        <w:t>经执法人员在广西市场监管准入一体化平台（审批端）及食品药品综合业务监管平台查询，</w:t>
      </w:r>
      <w:r>
        <w:rPr>
          <w:rFonts w:hint="eastAsia" w:ascii="仿宋_GB2312" w:hAnsi="仿宋_GB2312" w:eastAsia="仿宋_GB2312" w:cs="仿宋_GB2312"/>
          <w:color w:val="000000"/>
          <w:sz w:val="32"/>
          <w:u w:val="none" w:color="auto"/>
          <w:lang w:eastAsia="zh-CN"/>
        </w:rPr>
        <w:t>查询到</w:t>
      </w:r>
      <w:r>
        <w:rPr>
          <w:rFonts w:hint="eastAsia" w:ascii="仿宋_GB2312" w:hAnsi="仿宋_GB2312" w:eastAsia="仿宋_GB2312" w:cs="仿宋_GB2312"/>
          <w:color w:val="000000"/>
          <w:sz w:val="32"/>
          <w:u w:val="none" w:color="auto"/>
        </w:rPr>
        <w:t>登记证号为GXCY0225002926</w:t>
      </w:r>
      <w:r>
        <w:rPr>
          <w:rFonts w:hint="eastAsia" w:ascii="仿宋_GB2312" w:hAnsi="仿宋_GB2312" w:eastAsia="仿宋_GB2312" w:cs="仿宋_GB2312"/>
          <w:color w:val="000000"/>
          <w:sz w:val="32"/>
          <w:u w:val="none" w:color="auto"/>
          <w:lang w:eastAsia="zh-CN"/>
        </w:rPr>
        <w:t>的</w:t>
      </w:r>
      <w:r>
        <w:rPr>
          <w:rFonts w:hint="eastAsia" w:ascii="仿宋_GB2312" w:hAnsi="仿宋_GB2312" w:eastAsia="仿宋_GB2312" w:cs="仿宋_GB2312"/>
          <w:color w:val="000000"/>
          <w:sz w:val="32"/>
          <w:u w:val="none" w:color="auto"/>
        </w:rPr>
        <w:t>《小餐饮登记证》</w:t>
      </w:r>
      <w:r>
        <w:rPr>
          <w:rFonts w:hint="eastAsia" w:ascii="仿宋_GB2312" w:hAnsi="仿宋_GB2312" w:eastAsia="仿宋_GB2312" w:cs="仿宋_GB2312"/>
          <w:color w:val="000000"/>
          <w:sz w:val="32"/>
          <w:u w:val="none" w:color="auto"/>
          <w:lang w:eastAsia="zh-CN"/>
        </w:rPr>
        <w:t>许可信息，</w:t>
      </w:r>
      <w:r>
        <w:rPr>
          <w:rFonts w:hint="eastAsia" w:ascii="仿宋_GB2312" w:hAnsi="仿宋_GB2312" w:eastAsia="仿宋_GB2312" w:cs="仿宋_GB2312"/>
          <w:color w:val="000000"/>
          <w:sz w:val="32"/>
          <w:u w:val="none" w:color="auto"/>
        </w:rPr>
        <w:t>未查询到许可证编号为JY24502250135231的《食品经营许可证》和登记证号为GXCY0225022879的《小餐饮登记证》的相关许可信息。</w:t>
      </w:r>
      <w:r>
        <w:rPr>
          <w:rFonts w:hint="eastAsia" w:ascii="仿宋_GB2312" w:hAnsi="仿宋_GB2312" w:eastAsia="仿宋_GB2312" w:cs="仿宋_GB2312"/>
          <w:color w:val="000000"/>
          <w:sz w:val="32"/>
          <w:u w:val="none" w:color="auto"/>
          <w:lang w:val="en-US" w:eastAsia="zh-CN"/>
        </w:rPr>
        <w:t>2026年5月6日，</w:t>
      </w:r>
      <w:r>
        <w:rPr>
          <w:rFonts w:hint="eastAsia" w:ascii="仿宋_GB2312" w:hAnsi="仿宋_GB2312" w:eastAsia="仿宋_GB2312" w:cs="仿宋_GB2312"/>
          <w:color w:val="000000"/>
          <w:sz w:val="32"/>
          <w:u w:val="none" w:color="auto"/>
          <w:lang w:eastAsia="zh-CN"/>
        </w:rPr>
        <w:t>经本局领导审批同意对当事人涉嫌</w:t>
      </w:r>
      <w:r>
        <w:rPr>
          <w:rFonts w:hint="eastAsia" w:ascii="仿宋_GB2312" w:hAnsi="仿宋_GB2312" w:eastAsia="仿宋_GB2312" w:cs="仿宋_GB2312"/>
          <w:color w:val="000000"/>
          <w:sz w:val="32"/>
          <w:u w:val="none" w:color="auto"/>
        </w:rPr>
        <w:t>向网络食品交易第三方平台</w:t>
      </w:r>
      <w:r>
        <w:rPr>
          <w:rFonts w:hint="eastAsia" w:ascii="仿宋_GB2312" w:hAnsi="仿宋_GB2312" w:eastAsia="仿宋_GB2312" w:cs="仿宋_GB2312"/>
          <w:color w:val="000000"/>
          <w:sz w:val="32"/>
          <w:u w:val="none" w:color="auto"/>
          <w:lang w:eastAsia="zh-CN"/>
        </w:rPr>
        <w:t>（美团外卖平台）</w:t>
      </w:r>
      <w:r>
        <w:rPr>
          <w:rFonts w:hint="eastAsia" w:ascii="仿宋_GB2312" w:hAnsi="仿宋_GB2312" w:eastAsia="仿宋_GB2312" w:cs="仿宋_GB2312"/>
          <w:color w:val="000000"/>
          <w:sz w:val="32"/>
          <w:u w:val="none" w:color="auto"/>
        </w:rPr>
        <w:t>提供虚假食品经营许可证</w:t>
      </w:r>
      <w:r>
        <w:rPr>
          <w:rFonts w:hint="eastAsia" w:ascii="仿宋_GB2312" w:hAnsi="仿宋_GB2312" w:eastAsia="仿宋_GB2312" w:cs="仿宋_GB2312"/>
          <w:color w:val="000000"/>
          <w:sz w:val="32"/>
          <w:u w:val="none" w:color="auto"/>
          <w:lang w:eastAsia="zh-CN"/>
        </w:rPr>
        <w:t>从事网络食品经营的行为立案调查。</w:t>
      </w:r>
    </w:p>
    <w:p w14:paraId="1679B583">
      <w:pPr>
        <w:keepNext w:val="0"/>
        <w:keepLines w:val="0"/>
        <w:pageBreakBefore w:val="0"/>
        <w:widowControl w:val="0"/>
        <w:kinsoku/>
        <w:wordWrap w:val="0"/>
        <w:overflowPunct/>
        <w:topLinePunct/>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u w:val="none" w:color="auto"/>
          <w:lang w:val="en-US" w:eastAsia="zh-CN"/>
        </w:rPr>
      </w:pPr>
      <w:r>
        <w:rPr>
          <w:rFonts w:hint="eastAsia" w:ascii="仿宋_GB2312" w:hAnsi="仿宋_GB2312" w:eastAsia="仿宋_GB2312" w:cs="仿宋_GB2312"/>
          <w:color w:val="000000"/>
          <w:sz w:val="32"/>
          <w:u w:val="none" w:color="auto"/>
          <w:lang w:val="en-US" w:eastAsia="zh-CN"/>
        </w:rPr>
        <w:t>2026年5月9日，黄竹桂到本局接受询问调查，提供了相关证据材料。2026年6月5日，</w:t>
      </w:r>
      <w:r>
        <w:rPr>
          <w:rFonts w:hint="eastAsia" w:ascii="仿宋_GB2312" w:hAnsi="仿宋_GB2312" w:eastAsia="仿宋_GB2312" w:cs="仿宋_GB2312"/>
          <w:color w:val="000000"/>
          <w:sz w:val="32"/>
          <w:u w:val="none" w:color="auto"/>
        </w:rPr>
        <w:t>广西伟强贸易有限公司</w:t>
      </w:r>
      <w:r>
        <w:rPr>
          <w:rFonts w:hint="eastAsia" w:ascii="仿宋_GB2312" w:hAnsi="仿宋_GB2312" w:eastAsia="仿宋_GB2312" w:cs="仿宋_GB2312"/>
          <w:color w:val="000000"/>
          <w:sz w:val="32"/>
          <w:u w:val="none" w:color="auto"/>
          <w:lang w:eastAsia="zh-CN"/>
        </w:rPr>
        <w:t>负责人陈龙到本局接受询问调查，提供了相关证据材料。</w:t>
      </w:r>
      <w:r>
        <w:rPr>
          <w:rFonts w:hint="eastAsia" w:ascii="仿宋_GB2312" w:hAnsi="仿宋_GB2312" w:eastAsia="仿宋_GB2312" w:cs="仿宋_GB2312"/>
          <w:color w:val="000000"/>
          <w:sz w:val="32"/>
          <w:u w:val="none" w:color="auto"/>
          <w:lang w:val="en-US" w:eastAsia="zh-CN"/>
        </w:rPr>
        <w:t>2026年6月23日，黄竹桂再次到本局接受询问调查，认可</w:t>
      </w:r>
      <w:r>
        <w:rPr>
          <w:rFonts w:hint="eastAsia" w:ascii="仿宋_GB2312" w:hAnsi="仿宋_GB2312" w:eastAsia="仿宋_GB2312" w:cs="仿宋_GB2312"/>
          <w:color w:val="000000"/>
          <w:sz w:val="32"/>
          <w:u w:val="none" w:color="auto"/>
        </w:rPr>
        <w:t>广西</w:t>
      </w:r>
      <w:r>
        <w:rPr>
          <w:rFonts w:hint="eastAsia" w:ascii="仿宋_GB2312" w:hAnsi="仿宋_GB2312" w:eastAsia="仿宋_GB2312" w:cs="仿宋_GB2312"/>
          <w:color w:val="000000"/>
          <w:sz w:val="32"/>
          <w:u w:val="none" w:color="auto"/>
          <w:lang w:val="en-US" w:eastAsia="zh-CN"/>
        </w:rPr>
        <w:t>伟强贸易有限公司提供的关于“灶台故事湖南山里菜”和“泰耶耶冬阴功鸡汤饭”网店的订单数量和收入。</w:t>
      </w:r>
    </w:p>
    <w:p w14:paraId="355733FA">
      <w:pPr>
        <w:keepNext w:val="0"/>
        <w:keepLines w:val="0"/>
        <w:pageBreakBefore w:val="0"/>
        <w:widowControl w:val="0"/>
        <w:kinsoku/>
        <w:wordWrap w:val="0"/>
        <w:overflowPunct/>
        <w:topLinePunct/>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u w:val="none" w:color="auto"/>
          <w:lang w:val="en-US" w:eastAsia="zh-CN"/>
        </w:rPr>
      </w:pPr>
      <w:r>
        <w:rPr>
          <w:rFonts w:hint="eastAsia" w:ascii="仿宋_GB2312" w:hAnsi="仿宋_GB2312" w:eastAsia="仿宋_GB2312" w:cs="仿宋_GB2312"/>
          <w:color w:val="000000"/>
          <w:sz w:val="32"/>
          <w:u w:val="none" w:color="auto"/>
          <w:lang w:val="en-US" w:eastAsia="zh-CN"/>
        </w:rPr>
        <w:t>经查，当事人于2025年4月15日注册《营业执照》（统一社会信用代码：91450225MAEFE1AQ1D)，并于2025年6月30日取得《小餐饮登记证》（登记证号：GXCY0225002926）在融水县融水镇民族商品街******从事餐饮服务活动。当事人提供上述《营业执照》委托第三方运营代为办理了《食品经营许可证》（许可证编号：JY24502250135231）和《小餐饮登记证》（登记证号：GXCY0225022879）各一本，并在美团外卖平台建立有名称为“灶台故事湖南山里菜”的网店，该网店上传公示的《食品经营许可证》许可证编号为JY24502250135231，建立有名称为“泰耶耶•冬阴功鸡汤饭”的网店，上传公示的《小餐饮登记证》登记证号为GXCY0225022879。</w:t>
      </w:r>
    </w:p>
    <w:p w14:paraId="65D59D20">
      <w:pPr>
        <w:keepNext w:val="0"/>
        <w:keepLines w:val="0"/>
        <w:pageBreakBefore w:val="0"/>
        <w:widowControl w:val="0"/>
        <w:kinsoku/>
        <w:wordWrap w:val="0"/>
        <w:overflowPunct/>
        <w:topLinePunct/>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u w:val="none" w:color="auto"/>
          <w:lang w:val="en-US" w:eastAsia="zh-CN"/>
        </w:rPr>
      </w:pPr>
      <w:r>
        <w:rPr>
          <w:rFonts w:hint="eastAsia" w:ascii="仿宋_GB2312" w:hAnsi="仿宋_GB2312" w:eastAsia="仿宋_GB2312" w:cs="仿宋_GB2312"/>
          <w:color w:val="000000"/>
          <w:sz w:val="32"/>
          <w:u w:val="none" w:color="auto"/>
          <w:lang w:val="en-US" w:eastAsia="zh-CN"/>
        </w:rPr>
        <w:t>经本局执法人员在“食品药品综合业务监管平台”和“广西市场监管准入一体化平台（审批端）”查询，未查询到《食品经营许可证》（许可证编号：JY24502250135231）和《小餐饮登记证》（登记证号：GXCY0225022879）的相关许可信息，上述2本证件为伪造证件。</w:t>
      </w:r>
    </w:p>
    <w:p w14:paraId="062F6F7E">
      <w:pPr>
        <w:pStyle w:val="3"/>
        <w:keepNext w:val="0"/>
        <w:keepLines w:val="0"/>
        <w:pageBreakBefore w:val="0"/>
        <w:widowControl w:val="0"/>
        <w:tabs>
          <w:tab w:val="left" w:pos="8240"/>
        </w:tabs>
        <w:kinsoku/>
        <w:wordWrap w:val="0"/>
        <w:overflowPunct/>
        <w:topLinePunct/>
        <w:autoSpaceDE/>
        <w:autoSpaceDN/>
        <w:bidi w:val="0"/>
        <w:snapToGrid/>
        <w:spacing w:line="560" w:lineRule="exact"/>
        <w:ind w:left="0" w:firstLine="640" w:firstLineChars="200"/>
        <w:textAlignment w:val="auto"/>
        <w:rPr>
          <w:rFonts w:hint="eastAsia" w:ascii="仿宋_GB2312" w:hAnsi="仿宋_GB2312" w:eastAsia="仿宋_GB2312" w:cs="仿宋_GB2312"/>
          <w:kern w:val="2"/>
          <w:sz w:val="32"/>
          <w:szCs w:val="24"/>
          <w:u w:val="none" w:color="auto"/>
          <w:lang w:val="en-US" w:eastAsia="zh-CN" w:bidi="ar-SA"/>
        </w:rPr>
      </w:pPr>
      <w:r>
        <w:rPr>
          <w:rFonts w:hint="eastAsia" w:ascii="仿宋_GB2312" w:hAnsi="仿宋_GB2312" w:eastAsia="仿宋_GB2312" w:cs="仿宋_GB2312"/>
          <w:color w:val="000000"/>
          <w:kern w:val="2"/>
          <w:sz w:val="32"/>
          <w:szCs w:val="24"/>
          <w:u w:val="none" w:color="auto"/>
          <w:lang w:val="en-US" w:eastAsia="zh-CN" w:bidi="ar-SA"/>
        </w:rPr>
        <w:t>经核实，当事人网店“灶台故事湖南山里菜”于2026年5月9日下线美团外卖平台，无法查询建店以来的全部订单记录，查询到在平台从2026年4月14日至2026年5月31日的有效订单为332单，除去服务费、平台优惠等，商家实际收入6474.17元；“泰耶耶•冬阴功鸡汤饭”于2026年5月10日下线美团外卖平台，无法查询建店以来的全部订单记录，查询到在平台从2026年4月21日至2026年5月10日的有效订单为149单，除去服务费、平台优惠等，商家实际收入9795.12元。当事人未能供述入网上述外卖平台支付费用。该案涉案货值金额为6474.17元＋9795.12元＝16269.29元。</w:t>
      </w:r>
      <w:bookmarkEnd w:id="8"/>
      <w:r>
        <w:rPr>
          <w:rFonts w:hint="eastAsia" w:ascii="仿宋_GB2312" w:hAnsi="仿宋_GB2312" w:eastAsia="仿宋_GB2312" w:cs="仿宋_GB2312"/>
          <w:color w:val="000000"/>
          <w:kern w:val="2"/>
          <w:sz w:val="32"/>
          <w:szCs w:val="24"/>
          <w:u w:val="none" w:color="auto"/>
          <w:lang w:val="en-US" w:eastAsia="zh-CN" w:bidi="ar-SA"/>
        </w:rPr>
        <w:t xml:space="preserve"> </w:t>
      </w:r>
    </w:p>
    <w:p w14:paraId="00262AF0">
      <w:pPr>
        <w:pStyle w:val="3"/>
        <w:keepNext w:val="0"/>
        <w:keepLines w:val="0"/>
        <w:pageBreakBefore w:val="0"/>
        <w:widowControl w:val="0"/>
        <w:tabs>
          <w:tab w:val="left" w:pos="8285"/>
        </w:tabs>
        <w:kinsoku/>
        <w:wordWrap w:val="0"/>
        <w:overflowPunct/>
        <w:topLinePunct/>
        <w:autoSpaceDE/>
        <w:autoSpaceDN/>
        <w:bidi w:val="0"/>
        <w:snapToGrid/>
        <w:spacing w:line="560" w:lineRule="exact"/>
        <w:ind w:left="0" w:firstLine="640" w:firstLineChars="200"/>
        <w:textAlignment w:val="auto"/>
        <w:rPr>
          <w:rFonts w:hint="eastAsia" w:ascii="仿宋_GB2312" w:hAnsi="仿宋_GB2312" w:eastAsia="仿宋_GB2312" w:cs="仿宋_GB2312"/>
          <w:b w:val="0"/>
          <w:bCs/>
          <w:color w:val="auto"/>
          <w:sz w:val="32"/>
          <w:szCs w:val="32"/>
          <w:u w:val="none" w:color="auto"/>
          <w:lang w:val="en-US"/>
        </w:rPr>
      </w:pPr>
      <w:r>
        <w:rPr>
          <w:rFonts w:hint="eastAsia" w:ascii="仿宋_GB2312" w:hAnsi="仿宋_GB2312" w:eastAsia="仿宋_GB2312" w:cs="仿宋_GB2312"/>
          <w:b w:val="0"/>
          <w:bCs/>
          <w:color w:val="000000"/>
          <w:kern w:val="1"/>
          <w:sz w:val="32"/>
          <w:szCs w:val="32"/>
          <w:u w:val="none" w:color="auto"/>
        </w:rPr>
        <w:t>上述事实，主要有以下证据证明：</w:t>
      </w:r>
    </w:p>
    <w:p w14:paraId="4F4F2CA4">
      <w:pPr>
        <w:pStyle w:val="3"/>
        <w:keepNext w:val="0"/>
        <w:keepLines w:val="0"/>
        <w:pageBreakBefore w:val="0"/>
        <w:widowControl w:val="0"/>
        <w:tabs>
          <w:tab w:val="left" w:pos="9060"/>
        </w:tabs>
        <w:kinsoku/>
        <w:wordWrap w:val="0"/>
        <w:overflowPunct/>
        <w:topLinePunct/>
        <w:autoSpaceDE/>
        <w:autoSpaceDN/>
        <w:bidi w:val="0"/>
        <w:snapToGrid/>
        <w:spacing w:line="560" w:lineRule="exact"/>
        <w:ind w:left="0"/>
        <w:textAlignment w:val="auto"/>
        <w:rPr>
          <w:rFonts w:hint="eastAsia" w:ascii="仿宋_GB2312" w:hAnsi="仿宋_GB2312" w:eastAsia="仿宋_GB2312" w:cs="仿宋_GB2312"/>
          <w:b w:val="0"/>
          <w:bCs/>
          <w:color w:val="auto"/>
          <w:sz w:val="32"/>
          <w:szCs w:val="32"/>
          <w:u w:val="none" w:color="auto"/>
          <w:lang w:val="en-US" w:eastAsia="zh-CN"/>
        </w:rPr>
      </w:pPr>
      <w:bookmarkStart w:id="9" w:name="CALCULATE—ZJCL—tajCltjes_zjclxx"/>
      <w:r>
        <w:rPr>
          <w:rFonts w:hint="eastAsia" w:ascii="仿宋_GB2312" w:hAnsi="仿宋_GB2312" w:eastAsia="仿宋_GB2312" w:cs="仿宋_GB2312"/>
          <w:b w:val="0"/>
          <w:color w:val="000000"/>
          <w:sz w:val="32"/>
          <w:u w:val="none" w:color="auto"/>
        </w:rPr>
        <w:t>　　1.询问笔录（广西伟强贸易有限公司）。</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2.广西伟强贸易有限公司《营业执照》、《授权委托书》及委托人、被委托人居民身份证复印件。</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3.关于《食品经营许可证》（许可证编号：JY24502250135231）和《小餐饮登记证》（登记证号：GXCY0225022879）的情况说明）。</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4.询问笔录（黄竹桂2026.5.9）。</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5.询问笔录（黄竹桂2026.6.23）。</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6.泰耶耶冬阴功鸡汤饭账单及订单台账。</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7.灶台故事湖南山里菜的账单及订单详情。</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8.关于关停线上经营户从事网络餐饮活动的函及送达回证。</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9.广西伟强贸易有限公司《情况说明》。</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10.广西融水苗族自治县公安局《立案决定书》。</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11.当事人营业执照、小餐饮登记证及法定代表人居民身份证复印件</w:t>
      </w:r>
      <w:r>
        <w:rPr>
          <w:rFonts w:hint="eastAsia" w:ascii="仿宋_GB2312" w:hAnsi="仿宋_GB2312" w:eastAsia="仿宋_GB2312" w:cs="仿宋_GB2312"/>
          <w:b w:val="0"/>
          <w:color w:val="000000"/>
          <w:sz w:val="32"/>
          <w:u w:val="none" w:color="auto"/>
          <w:lang w:eastAsia="zh-CN"/>
        </w:rPr>
        <w:t>。</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12.现场笔录（广西融水县辣爆爆餐饮有限公司）及行政检查审批表、通知书</w:t>
      </w:r>
      <w:r>
        <w:rPr>
          <w:rFonts w:hint="eastAsia" w:ascii="仿宋_GB2312" w:hAnsi="仿宋_GB2312" w:eastAsia="仿宋_GB2312" w:cs="仿宋_GB2312"/>
          <w:b w:val="0"/>
          <w:color w:val="000000"/>
          <w:sz w:val="32"/>
          <w:u w:val="none" w:color="auto"/>
          <w:lang w:eastAsia="zh-CN"/>
        </w:rPr>
        <w:t>。</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13.现场笔录（广西伟强贸易有限公司）及行政检查审批表、通知书</w:t>
      </w:r>
      <w:r>
        <w:rPr>
          <w:rFonts w:hint="eastAsia" w:ascii="仿宋_GB2312" w:hAnsi="仿宋_GB2312" w:eastAsia="仿宋_GB2312" w:cs="仿宋_GB2312"/>
          <w:b w:val="0"/>
          <w:color w:val="000000"/>
          <w:sz w:val="32"/>
          <w:u w:val="none" w:color="auto"/>
          <w:lang w:eastAsia="zh-CN"/>
        </w:rPr>
        <w:t>。</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14.广西伟强贸易有限公司提供的美团外卖平台系统截图</w:t>
      </w:r>
      <w:bookmarkEnd w:id="9"/>
      <w:r>
        <w:rPr>
          <w:rFonts w:hint="eastAsia" w:ascii="仿宋_GB2312" w:hAnsi="仿宋_GB2312" w:eastAsia="仿宋_GB2312" w:cs="仿宋_GB2312"/>
          <w:b w:val="0"/>
          <w:color w:val="000000"/>
          <w:sz w:val="32"/>
          <w:u w:val="none" w:color="auto"/>
          <w:lang w:eastAsia="zh-CN"/>
        </w:rPr>
        <w:t>。</w:t>
      </w:r>
      <w:r>
        <w:rPr>
          <w:rFonts w:hint="eastAsia" w:ascii="仿宋_GB2312" w:hAnsi="仿宋_GB2312" w:eastAsia="仿宋_GB2312" w:cs="仿宋_GB2312"/>
          <w:b w:val="0"/>
          <w:bCs/>
          <w:color w:val="000000"/>
          <w:sz w:val="32"/>
          <w:szCs w:val="32"/>
          <w:u w:val="none" w:color="auto"/>
          <w:lang w:val="en-US" w:eastAsia="zh-CN"/>
        </w:rPr>
        <w:t xml:space="preserve"> </w:t>
      </w:r>
    </w:p>
    <w:p w14:paraId="4CDE2BD0">
      <w:pPr>
        <w:pStyle w:val="3"/>
        <w:keepNext w:val="0"/>
        <w:keepLines w:val="0"/>
        <w:pageBreakBefore w:val="0"/>
        <w:widowControl w:val="0"/>
        <w:tabs>
          <w:tab w:val="left" w:pos="9060"/>
        </w:tabs>
        <w:kinsoku/>
        <w:wordWrap w:val="0"/>
        <w:overflowPunct/>
        <w:topLinePunct/>
        <w:autoSpaceDE/>
        <w:autoSpaceDN/>
        <w:bidi w:val="0"/>
        <w:snapToGrid/>
        <w:spacing w:line="560" w:lineRule="exact"/>
        <w:ind w:left="0"/>
        <w:textAlignment w:val="auto"/>
        <w:rPr>
          <w:rFonts w:hint="eastAsia"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b w:val="0"/>
          <w:bCs/>
          <w:color w:val="000000"/>
          <w:sz w:val="32"/>
          <w:szCs w:val="32"/>
          <w:u w:val="none" w:color="auto"/>
          <w:lang w:val="en-US" w:eastAsia="zh-CN"/>
        </w:rPr>
        <w:t xml:space="preserve">    </w:t>
      </w:r>
      <w:bookmarkStart w:id="10" w:name="CALCULATE—XZCFJDS—cCfgzwsSdrq"/>
      <w:r>
        <w:rPr>
          <w:rFonts w:hint="eastAsia" w:ascii="仿宋_GB2312" w:hAnsi="仿宋_GB2312" w:eastAsia="仿宋_GB2312" w:cs="仿宋_GB2312"/>
          <w:b w:val="0"/>
          <w:color w:val="000000"/>
          <w:sz w:val="32"/>
          <w:u w:val="none" w:color="auto"/>
        </w:rPr>
        <w:t>2026年7月28日</w:t>
      </w:r>
      <w:bookmarkEnd w:id="10"/>
      <w:r>
        <w:rPr>
          <w:rFonts w:hint="eastAsia" w:ascii="仿宋_GB2312" w:hAnsi="仿宋_GB2312" w:eastAsia="仿宋_GB2312" w:cs="仿宋_GB2312"/>
          <w:b w:val="0"/>
          <w:bCs/>
          <w:color w:val="000000"/>
          <w:sz w:val="32"/>
          <w:szCs w:val="32"/>
          <w:u w:val="none" w:color="auto"/>
        </w:rPr>
        <w:t>，本局向当事人送达了本案《行政处罚告知书》(</w:t>
      </w:r>
      <w:bookmarkStart w:id="11" w:name="CALCULATE—XZCFJDS—cCfgzSdwswh"/>
      <w:r>
        <w:rPr>
          <w:rFonts w:hint="eastAsia" w:ascii="仿宋_GB2312" w:hAnsi="仿宋_GB2312" w:eastAsia="仿宋_GB2312" w:cs="仿宋_GB2312"/>
          <w:b w:val="0"/>
          <w:color w:val="000000"/>
          <w:sz w:val="32"/>
          <w:u w:val="none" w:color="auto"/>
        </w:rPr>
        <w:t>融水市监罚告〔2026〕134号</w:t>
      </w:r>
      <w:bookmarkEnd w:id="11"/>
      <w:r>
        <w:rPr>
          <w:rFonts w:hint="eastAsia" w:ascii="仿宋_GB2312" w:hAnsi="仿宋_GB2312" w:eastAsia="仿宋_GB2312" w:cs="仿宋_GB2312"/>
          <w:b w:val="0"/>
          <w:bCs/>
          <w:color w:val="000000"/>
          <w:sz w:val="32"/>
          <w:szCs w:val="32"/>
          <w:u w:val="none" w:color="auto"/>
        </w:rPr>
        <w:t>)，</w:t>
      </w:r>
      <w:bookmarkStart w:id="12" w:name="CALCULATE—XZCFJDS—nTccssb"/>
      <w:r>
        <w:rPr>
          <w:rFonts w:hint="eastAsia" w:ascii="仿宋_GB2312" w:hAnsi="仿宋_GB2312" w:eastAsia="仿宋_GB2312" w:cs="仿宋_GB2312"/>
          <w:b w:val="0"/>
          <w:color w:val="000000"/>
          <w:sz w:val="32"/>
          <w:u w:val="none" w:color="auto"/>
        </w:rPr>
        <w:t>当事人在法定期限内未提出任何陈述或申辩</w:t>
      </w:r>
      <w:bookmarkEnd w:id="12"/>
      <w:r>
        <w:rPr>
          <w:rFonts w:hint="eastAsia" w:ascii="仿宋_GB2312" w:hAnsi="仿宋_GB2312" w:eastAsia="仿宋_GB2312" w:cs="仿宋_GB2312"/>
          <w:b w:val="0"/>
          <w:color w:val="000000"/>
          <w:sz w:val="32"/>
          <w:u w:val="none" w:color="auto"/>
          <w:lang w:eastAsia="zh-CN"/>
        </w:rPr>
        <w:t>，视为放弃此权利。</w:t>
      </w:r>
      <w:r>
        <w:rPr>
          <w:rFonts w:hint="eastAsia" w:ascii="仿宋_GB2312" w:hAnsi="仿宋_GB2312" w:eastAsia="仿宋_GB2312" w:cs="仿宋_GB2312"/>
          <w:b w:val="0"/>
          <w:bCs/>
          <w:color w:val="000000"/>
          <w:sz w:val="32"/>
          <w:szCs w:val="32"/>
          <w:u w:val="none" w:color="auto"/>
          <w:lang w:val="en-US" w:eastAsia="zh-CN"/>
        </w:rPr>
        <w:t xml:space="preserve">  </w:t>
      </w:r>
    </w:p>
    <w:p w14:paraId="1EF6ADA1">
      <w:pPr>
        <w:pStyle w:val="3"/>
        <w:keepNext w:val="0"/>
        <w:keepLines w:val="0"/>
        <w:pageBreakBefore w:val="0"/>
        <w:widowControl w:val="0"/>
        <w:kinsoku/>
        <w:wordWrap w:val="0"/>
        <w:overflowPunct/>
        <w:topLinePunct/>
        <w:autoSpaceDE/>
        <w:autoSpaceDN/>
        <w:bidi w:val="0"/>
        <w:snapToGrid/>
        <w:spacing w:line="560" w:lineRule="exact"/>
        <w:ind w:left="0" w:firstLine="627" w:firstLineChars="196"/>
        <w:textAlignment w:val="auto"/>
        <w:rPr>
          <w:rFonts w:hint="eastAsia"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color w:val="000000"/>
          <w:kern w:val="1"/>
          <w:sz w:val="32"/>
          <w:szCs w:val="32"/>
          <w:u w:val="none" w:color="auto"/>
        </w:rPr>
        <w:t>本局认为，</w:t>
      </w:r>
      <w:r>
        <w:rPr>
          <w:rFonts w:hint="eastAsia" w:ascii="仿宋_GB2312" w:hAnsi="仿宋_GB2312" w:eastAsia="仿宋_GB2312" w:cs="仿宋_GB2312"/>
          <w:color w:val="000000"/>
          <w:sz w:val="32"/>
          <w:u w:val="none" w:color="auto"/>
        </w:rPr>
        <w:t>事人提供虚假食品经营许可证在网络食品交易第三方平台建店从事网络食品经营的行为，涉嫌违反了《网络食品安全违法行为查处办法》第四条第二款“网络食品交易第三方平台提供者和入网食品生产经营者应当对网络食品安全信息的真实性负责”的规定</w:t>
      </w:r>
      <w:r>
        <w:rPr>
          <w:rFonts w:hint="eastAsia" w:ascii="仿宋_GB2312" w:hAnsi="仿宋_GB2312" w:eastAsia="仿宋_GB2312" w:cs="仿宋_GB2312"/>
          <w:color w:val="000000"/>
          <w:sz w:val="32"/>
          <w:u w:val="none" w:color="auto"/>
          <w:lang w:eastAsia="zh-CN"/>
        </w:rPr>
        <w:t>，构成了向网络食品交易第三方平台提供虚假食品经营许可证从事网络食品经营的违法行为。</w:t>
      </w:r>
    </w:p>
    <w:p w14:paraId="3238CC2D">
      <w:pPr>
        <w:keepNext w:val="0"/>
        <w:keepLines w:val="0"/>
        <w:pageBreakBefore w:val="0"/>
        <w:widowControl w:val="0"/>
        <w:kinsoku/>
        <w:wordWrap w:val="0"/>
        <w:overflowPunct/>
        <w:topLinePunct/>
        <w:autoSpaceDE/>
        <w:autoSpaceDN/>
        <w:bidi w:val="0"/>
        <w:adjustRightInd/>
        <w:snapToGrid/>
        <w:spacing w:line="560" w:lineRule="exact"/>
        <w:ind w:left="0" w:firstLine="640" w:firstLineChars="200"/>
        <w:textAlignment w:val="auto"/>
        <w:rPr>
          <w:rFonts w:ascii="Times New Roman" w:hAnsi="Times New Roman" w:eastAsia="仿宋_GB2312" w:cs="仿宋_GB2312"/>
          <w:bCs/>
          <w:sz w:val="32"/>
          <w:szCs w:val="32"/>
          <w:u w:val="none" w:color="auto"/>
        </w:rPr>
      </w:pPr>
      <w:r>
        <w:rPr>
          <w:rFonts w:hint="eastAsia" w:ascii="Times New Roman" w:hAnsi="Times New Roman" w:eastAsia="仿宋_GB2312" w:cs="仿宋_GB2312"/>
          <w:color w:val="000000"/>
          <w:sz w:val="32"/>
          <w:u w:val="none" w:color="auto"/>
        </w:rPr>
        <w:t>鉴于当事人在案发后积极配合调查，主动供述并提供办理入网外卖平台的相关证据材料，立即停止网店经营外卖业务，外卖食品均出自取得许可的经营主体场所，且在网店经营期间未造成食品安全事故等人身危害后果，符合《广西壮族自治区市场监督管理行政处罚裁量权适用规定》第十二条“有下列情形之一的，可以依法从轻或者减轻行政处罚：（二）积极配合市场监管部门调查并主动提供证据材料的;（三）违法行为轻微，社会危害性较小的”的规定，当事人符合从轻处罚情形。</w:t>
      </w:r>
      <w:r>
        <w:rPr>
          <w:rFonts w:hint="eastAsia" w:ascii="Times New Roman" w:hAnsi="Times New Roman" w:eastAsia="仿宋_GB2312" w:cs="仿宋_GB2312"/>
          <w:bCs/>
          <w:color w:val="000000"/>
          <w:sz w:val="32"/>
          <w:szCs w:val="32"/>
          <w:u w:val="none" w:color="auto"/>
        </w:rPr>
        <w:t xml:space="preserve">                                          </w:t>
      </w:r>
    </w:p>
    <w:p w14:paraId="7015506C">
      <w:pPr>
        <w:keepNext w:val="0"/>
        <w:keepLines w:val="0"/>
        <w:pageBreakBefore w:val="0"/>
        <w:widowControl w:val="0"/>
        <w:kinsoku/>
        <w:wordWrap w:val="0"/>
        <w:overflowPunct/>
        <w:topLinePunct/>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color w:val="000000"/>
          <w:sz w:val="32"/>
          <w:u w:val="none" w:color="auto"/>
          <w:lang w:eastAsia="zh-CN"/>
        </w:rPr>
        <w:t>依据</w:t>
      </w:r>
      <w:r>
        <w:rPr>
          <w:rFonts w:hint="eastAsia" w:ascii="仿宋_GB2312" w:hAnsi="仿宋_GB2312" w:eastAsia="仿宋_GB2312" w:cs="仿宋_GB2312"/>
          <w:color w:val="000000"/>
          <w:sz w:val="32"/>
          <w:u w:val="none" w:color="auto"/>
        </w:rPr>
        <w:t>《网络食品安全违法行为查处办法》第四十三条</w:t>
      </w:r>
      <w:r>
        <w:rPr>
          <w:rFonts w:hint="eastAsia" w:ascii="仿宋_GB2312" w:hAnsi="仿宋_GB2312" w:eastAsia="仿宋_GB2312" w:cs="仿宋_GB2312"/>
          <w:color w:val="000000"/>
          <w:sz w:val="32"/>
          <w:u w:val="none" w:color="auto"/>
          <w:lang w:eastAsia="zh-CN"/>
        </w:rPr>
        <w:t>“</w:t>
      </w:r>
      <w:r>
        <w:rPr>
          <w:rFonts w:hint="eastAsia" w:ascii="仿宋_GB2312" w:hAnsi="仿宋_GB2312" w:eastAsia="仿宋_GB2312" w:cs="仿宋_GB2312"/>
          <w:color w:val="000000"/>
          <w:sz w:val="32"/>
          <w:u w:val="none" w:color="auto"/>
        </w:rPr>
        <w:t>违反本办法规定，网络食品交易第三方平台提供者、入网食品生产经营者提供虚假信息的，由县级以上地方市场监督管理部门责令改正，处1万元以上3万元以下罚款</w:t>
      </w:r>
      <w:r>
        <w:rPr>
          <w:rFonts w:hint="eastAsia" w:ascii="仿宋_GB2312" w:hAnsi="仿宋_GB2312" w:eastAsia="仿宋_GB2312" w:cs="仿宋_GB2312"/>
          <w:color w:val="000000"/>
          <w:sz w:val="32"/>
          <w:u w:val="none" w:color="auto"/>
          <w:lang w:eastAsia="zh-CN"/>
        </w:rPr>
        <w:t>”的规定，结合当事人符合从轻处罚的情形及当事人提供了</w:t>
      </w:r>
      <w:r>
        <w:rPr>
          <w:rFonts w:hint="eastAsia" w:ascii="仿宋_GB2312" w:hAnsi="仿宋_GB2312" w:eastAsia="仿宋_GB2312" w:cs="仿宋_GB2312"/>
          <w:color w:val="000000"/>
          <w:sz w:val="32"/>
          <w:u w:val="none" w:color="auto"/>
          <w:lang w:val="en-US" w:eastAsia="zh-CN"/>
        </w:rPr>
        <w:t>2本伪造许可证件在平台设立了2家网店的情形</w:t>
      </w:r>
      <w:r>
        <w:rPr>
          <w:rFonts w:hint="eastAsia" w:ascii="仿宋_GB2312" w:hAnsi="仿宋_GB2312" w:eastAsia="仿宋_GB2312" w:cs="仿宋_GB2312"/>
          <w:color w:val="000000"/>
          <w:sz w:val="32"/>
          <w:u w:val="none" w:color="auto"/>
          <w:lang w:eastAsia="zh-CN"/>
        </w:rPr>
        <w:t>，</w:t>
      </w:r>
      <w:r>
        <w:rPr>
          <w:rFonts w:hint="eastAsia" w:ascii="仿宋_GB2312" w:hAnsi="仿宋_GB2312" w:eastAsia="仿宋_GB2312" w:cs="仿宋_GB2312"/>
          <w:b w:val="0"/>
          <w:bCs w:val="0"/>
          <w:caps w:val="0"/>
          <w:smallCaps w:val="0"/>
          <w:color w:val="000000"/>
          <w:kern w:val="2"/>
          <w:sz w:val="32"/>
          <w:szCs w:val="32"/>
          <w:u w:val="none" w:color="auto"/>
          <w:vertAlign w:val="baseline"/>
          <w:lang w:val="en-US" w:eastAsia="zh-CN"/>
        </w:rPr>
        <w:t>参照《市场监管总局关于规范市场监督管理行政处罚裁量权的指导意见（2022）》第十条第（三）项“从轻行政处罚是指在依法可以选择的处罚种类和处罚幅度内，适用较轻、轻少的处罚种类或者较低的处罚幅度。其中，罚款的数额应当在最低限到最高限这一幅度中较低的30%部分”的裁量意见</w:t>
      </w:r>
      <w:r>
        <w:rPr>
          <w:rFonts w:hint="eastAsia" w:ascii="仿宋_GB2312" w:hAnsi="仿宋_GB2312" w:eastAsia="仿宋_GB2312" w:cs="仿宋_GB2312"/>
          <w:color w:val="000000"/>
          <w:sz w:val="32"/>
          <w:u w:val="none" w:color="auto"/>
          <w:lang w:eastAsia="zh-CN"/>
        </w:rPr>
        <w:t>，本局决定责令当事人改正违法行为，并</w:t>
      </w:r>
      <w:bookmarkStart w:id="13" w:name="CALCULATE—AJCF—tAjCfes_cXzcfnr"/>
      <w:r>
        <w:rPr>
          <w:rFonts w:hint="eastAsia" w:ascii="仿宋_GB2312" w:hAnsi="仿宋_GB2312" w:eastAsia="仿宋_GB2312" w:cs="仿宋_GB2312"/>
          <w:color w:val="000000"/>
          <w:sz w:val="32"/>
          <w:u w:val="none" w:color="auto"/>
        </w:rPr>
        <w:t>处罚款1</w:t>
      </w:r>
      <w:r>
        <w:rPr>
          <w:rFonts w:hint="eastAsia" w:ascii="仿宋_GB2312" w:hAnsi="仿宋_GB2312" w:eastAsia="仿宋_GB2312" w:cs="仿宋_GB2312"/>
          <w:color w:val="000000"/>
          <w:sz w:val="32"/>
          <w:u w:val="none" w:color="auto"/>
          <w:lang w:val="en-US" w:eastAsia="zh-CN"/>
        </w:rPr>
        <w:t>5</w:t>
      </w:r>
      <w:r>
        <w:rPr>
          <w:rFonts w:hint="eastAsia" w:ascii="仿宋_GB2312" w:hAnsi="仿宋_GB2312" w:eastAsia="仿宋_GB2312" w:cs="仿宋_GB2312"/>
          <w:color w:val="000000"/>
          <w:sz w:val="32"/>
          <w:u w:val="none" w:color="auto"/>
        </w:rPr>
        <w:t>000元</w:t>
      </w:r>
      <w:bookmarkEnd w:id="13"/>
      <w:r>
        <w:rPr>
          <w:rFonts w:hint="eastAsia" w:ascii="仿宋_GB2312" w:hAnsi="仿宋_GB2312" w:eastAsia="仿宋_GB2312" w:cs="仿宋_GB2312"/>
          <w:color w:val="000000"/>
          <w:sz w:val="32"/>
          <w:u w:val="none" w:color="auto"/>
        </w:rPr>
        <w:t>。</w:t>
      </w:r>
    </w:p>
    <w:p w14:paraId="3BBDBED7">
      <w:pPr>
        <w:pStyle w:val="3"/>
        <w:keepNext w:val="0"/>
        <w:keepLines w:val="0"/>
        <w:pageBreakBefore w:val="0"/>
        <w:widowControl w:val="0"/>
        <w:tabs>
          <w:tab w:val="left" w:pos="9060"/>
        </w:tabs>
        <w:kinsoku/>
        <w:wordWrap w:val="0"/>
        <w:overflowPunct/>
        <w:topLinePunct/>
        <w:autoSpaceDE/>
        <w:autoSpaceDN/>
        <w:bidi w:val="0"/>
        <w:adjustRightInd w:val="0"/>
        <w:snapToGrid/>
        <w:spacing w:line="560" w:lineRule="exact"/>
        <w:ind w:left="0" w:leftChars="0" w:firstLine="640" w:firstLineChars="200"/>
        <w:textAlignment w:val="auto"/>
        <w:rPr>
          <w:rFonts w:hint="eastAsia" w:ascii="仿宋_GB2312" w:hAnsi="仿宋_GB2312" w:eastAsia="仿宋_GB2312" w:cs="仿宋_GB2312"/>
          <w:color w:val="000000"/>
          <w:kern w:val="0"/>
          <w:sz w:val="32"/>
          <w:szCs w:val="32"/>
          <w:u w:val="none" w:color="auto"/>
          <w:lang w:val="en-US" w:eastAsia="zh-Hans" w:bidi="ar-SA"/>
        </w:rPr>
      </w:pPr>
      <w:r>
        <w:rPr>
          <w:rFonts w:hint="eastAsia" w:ascii="仿宋_GB2312" w:hAnsi="仿宋_GB2312" w:eastAsia="仿宋_GB2312" w:cs="仿宋_GB2312"/>
          <w:color w:val="000000"/>
          <w:sz w:val="32"/>
          <w:szCs w:val="32"/>
          <w:u w:val="none" w:color="auto"/>
          <w:lang w:eastAsia="zh-CN"/>
        </w:rPr>
        <w:t>当事人</w:t>
      </w:r>
      <w:r>
        <w:rPr>
          <w:rFonts w:hint="eastAsia" w:ascii="仿宋_GB2312" w:hAnsi="仿宋_GB2312" w:eastAsia="仿宋_GB2312" w:cs="仿宋_GB2312"/>
          <w:color w:val="000000"/>
          <w:kern w:val="0"/>
          <w:sz w:val="32"/>
          <w:szCs w:val="32"/>
          <w:u w:val="none" w:color="auto"/>
          <w:lang w:val="en-US" w:eastAsia="zh-Hans" w:bidi="ar-SA"/>
        </w:rPr>
        <w:t>应当自收到本行政处罚决定之日起十五日内到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23A05490">
      <w:pPr>
        <w:pStyle w:val="3"/>
        <w:keepNext w:val="0"/>
        <w:keepLines w:val="0"/>
        <w:pageBreakBefore w:val="0"/>
        <w:widowControl w:val="0"/>
        <w:tabs>
          <w:tab w:val="left" w:pos="8395"/>
        </w:tabs>
        <w:kinsoku/>
        <w:wordWrap w:val="0"/>
        <w:overflowPunct/>
        <w:topLinePunct/>
        <w:autoSpaceDE/>
        <w:autoSpaceDN/>
        <w:bidi w:val="0"/>
        <w:adjustRightInd w:val="0"/>
        <w:snapToGrid/>
        <w:spacing w:line="560" w:lineRule="exact"/>
        <w:ind w:left="0" w:firstLine="640" w:firstLineChars="200"/>
        <w:textAlignment w:val="auto"/>
        <w:rPr>
          <w:rFonts w:hint="eastAsia" w:ascii="仿宋_GB2312" w:hAnsi="仿宋_GB2312" w:eastAsia="仿宋_GB2312" w:cs="仿宋_GB2312"/>
          <w:b w:val="0"/>
          <w:bCs/>
          <w:color w:val="auto"/>
          <w:kern w:val="2"/>
          <w:sz w:val="32"/>
          <w:szCs w:val="32"/>
          <w:u w:val="none" w:color="auto"/>
          <w:lang w:val="en-US" w:eastAsia="zh-CN" w:bidi="ar-SA"/>
        </w:rPr>
      </w:pPr>
      <w:r>
        <w:rPr>
          <w:rFonts w:hint="eastAsia" w:ascii="仿宋_GB2312" w:hAnsi="仿宋_GB2312" w:eastAsia="仿宋_GB2312" w:cs="仿宋_GB2312"/>
          <w:color w:val="000000"/>
          <w:sz w:val="32"/>
          <w:szCs w:val="32"/>
          <w:u w:val="none" w:color="auto"/>
          <w:lang w:eastAsia="zh-CN"/>
        </w:rPr>
        <w:t>当事人</w:t>
      </w:r>
      <w:r>
        <w:rPr>
          <w:rFonts w:hint="eastAsia" w:ascii="仿宋_GB2312" w:hAnsi="仿宋_GB2312" w:eastAsia="仿宋_GB2312" w:cs="仿宋_GB2312"/>
          <w:color w:val="000000"/>
          <w:kern w:val="0"/>
          <w:sz w:val="32"/>
          <w:szCs w:val="32"/>
          <w:u w:val="none" w:color="auto"/>
          <w:lang w:val="en-US" w:eastAsia="zh-Hans" w:bidi="ar-SA"/>
        </w:rPr>
        <w:t>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p w14:paraId="3349836E">
      <w:pPr>
        <w:pStyle w:val="3"/>
        <w:keepNext w:val="0"/>
        <w:keepLines w:val="0"/>
        <w:pageBreakBefore w:val="0"/>
        <w:widowControl w:val="0"/>
        <w:tabs>
          <w:tab w:val="left" w:pos="8395"/>
        </w:tabs>
        <w:kinsoku/>
        <w:wordWrap w:val="0"/>
        <w:overflowPunct/>
        <w:topLinePunct w:val="0"/>
        <w:autoSpaceDE w:val="0"/>
        <w:autoSpaceDN w:val="0"/>
        <w:bidi w:val="0"/>
        <w:adjustRightInd w:val="0"/>
        <w:snapToGrid/>
        <w:spacing w:line="520" w:lineRule="exact"/>
        <w:ind w:firstLine="640" w:firstLineChars="200"/>
        <w:textAlignment w:val="auto"/>
        <w:rPr>
          <w:rFonts w:hint="default" w:ascii="Times New Roman" w:eastAsia="仿宋_GB2312" w:cs="仿宋_GB2312"/>
          <w:b w:val="0"/>
          <w:bCs/>
          <w:color w:val="auto"/>
          <w:u w:val="single"/>
          <w:lang w:val="en-US" w:eastAsia="zh-CN"/>
        </w:rPr>
      </w:pPr>
    </w:p>
    <w:p w14:paraId="1C92141F">
      <w:pPr>
        <w:widowControl/>
        <w:snapToGrid w:val="0"/>
        <w:spacing w:line="520" w:lineRule="exact"/>
        <w:jc w:val="left"/>
        <w:rPr>
          <w:rFonts w:ascii="Times New Roman" w:hAnsi="Times New Roman" w:eastAsia="仿宋_GB2312" w:cs="仿宋_GB2312"/>
          <w:color w:val="auto"/>
          <w:sz w:val="32"/>
          <w:szCs w:val="32"/>
        </w:rPr>
      </w:pPr>
    </w:p>
    <w:p w14:paraId="7CF8BC58">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357F29BB">
      <w:pPr>
        <w:spacing w:line="560" w:lineRule="exact"/>
        <w:ind w:right="640" w:firstLine="601"/>
        <w:jc w:val="right"/>
        <w:rPr>
          <w:rFonts w:ascii="Times New Roman" w:hAnsi="Times New Roman" w:eastAsia="仿宋_GB2312" w:cs="仿宋"/>
          <w:color w:val="auto"/>
          <w:sz w:val="32"/>
          <w:szCs w:val="32"/>
        </w:rPr>
      </w:pPr>
      <w:bookmarkStart w:id="14" w:name="DYNAMIC—DWXX—tAj_dwmc—2"/>
      <w:r>
        <w:rPr>
          <w:rFonts w:hint="eastAsia" w:ascii="Times New Roman" w:hAnsi="Times New Roman" w:eastAsia="仿宋_GB2312" w:cs="仿宋"/>
          <w:color w:val="000000"/>
          <w:sz w:val="32"/>
          <w:u w:val="none"/>
        </w:rPr>
        <w:t>融水苗族自治县市场监督管理局</w:t>
      </w:r>
      <w:bookmarkEnd w:id="14"/>
      <w:r>
        <w:rPr>
          <w:rFonts w:hint="eastAsia" w:ascii="Times New Roman" w:hAnsi="Times New Roman" w:eastAsia="仿宋_GB2312" w:cs="仿宋"/>
          <w:color w:val="000000"/>
          <w:sz w:val="32"/>
          <w:szCs w:val="32"/>
          <w:u w:val="none"/>
        </w:rPr>
        <w:t xml:space="preserve">    </w:t>
      </w:r>
    </w:p>
    <w:p w14:paraId="3FE37DD2">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ascii="Times New Roman" w:hAnsi="Times New Roman" w:eastAsia="仿宋_GB2312" w:cs="仿宋_GB2312"/>
          <w:color w:val="auto"/>
          <w:sz w:val="32"/>
          <w:szCs w:val="32"/>
        </w:rPr>
      </w:pPr>
      <w:bookmarkStart w:id="15" w:name="CALCULATE—TIME—NOW"/>
      <w:r>
        <w:rPr>
          <w:rFonts w:hint="eastAsia" w:ascii="仿宋_GB2312" w:hAnsi="仿宋_GB2312" w:eastAsia="仿宋_GB2312" w:cs="仿宋_GB2312"/>
          <w:sz w:val="32"/>
          <w:lang w:val="en-US" w:eastAsia="zh-CN"/>
        </w:rPr>
        <w:t xml:space="preserve">               </w:t>
      </w:r>
      <w:bookmarkStart w:id="16" w:name="_GoBack"/>
      <w:bookmarkEnd w:id="16"/>
      <w:r>
        <w:rPr>
          <w:rFonts w:ascii="仿宋_GB2312" w:hAnsi="仿宋_GB2312" w:eastAsia="仿宋_GB2312" w:cs="仿宋_GB2312"/>
          <w:sz w:val="32"/>
        </w:rPr>
        <w:t>2026年08月05日</w:t>
      </w:r>
      <w:bookmarkEnd w:id="15"/>
      <w:r>
        <w:rPr>
          <w:rFonts w:hint="eastAsia" w:ascii="Times New Roman" w:hAnsi="Times New Roman" w:eastAsia="仿宋_GB2312" w:cs="仿宋_GB2312"/>
          <w:color w:val="000000"/>
          <w:sz w:val="32"/>
          <w:szCs w:val="32"/>
          <w:u w:val="none"/>
        </w:rPr>
        <w:t xml:space="preserve">  </w:t>
      </w:r>
    </w:p>
    <w:p w14:paraId="735557E7">
      <w:pPr>
        <w:widowControl/>
        <w:snapToGrid w:val="0"/>
        <w:spacing w:line="520" w:lineRule="exact"/>
        <w:jc w:val="right"/>
        <w:rPr>
          <w:rFonts w:ascii="Times New Roman" w:hAnsi="Times New Roman" w:eastAsia="仿宋_GB2312" w:cs="Mongolian Baiti"/>
          <w:color w:val="auto"/>
          <w:sz w:val="32"/>
          <w:szCs w:val="32"/>
        </w:rPr>
      </w:pPr>
    </w:p>
    <w:p w14:paraId="6441E411">
      <w:pPr>
        <w:widowControl/>
        <w:snapToGrid w:val="0"/>
        <w:spacing w:line="520" w:lineRule="exact"/>
        <w:jc w:val="right"/>
        <w:rPr>
          <w:rFonts w:ascii="Times New Roman" w:hAnsi="Times New Roman" w:eastAsia="仿宋_GB2312" w:cs="Mongolian Baiti"/>
          <w:color w:val="auto"/>
          <w:sz w:val="32"/>
          <w:szCs w:val="32"/>
        </w:rPr>
      </w:pPr>
    </w:p>
    <w:p w14:paraId="418AAD59">
      <w:pPr>
        <w:widowControl/>
        <w:snapToGrid w:val="0"/>
        <w:spacing w:line="520" w:lineRule="exact"/>
        <w:jc w:val="right"/>
        <w:rPr>
          <w:rFonts w:ascii="Times New Roman" w:hAnsi="Times New Roman" w:eastAsia="仿宋_GB2312" w:cs="Mongolian Baiti"/>
          <w:color w:val="auto"/>
          <w:sz w:val="32"/>
          <w:szCs w:val="32"/>
        </w:rPr>
      </w:pPr>
    </w:p>
    <w:p w14:paraId="24B07784">
      <w:pPr>
        <w:widowControl/>
        <w:snapToGrid w:val="0"/>
        <w:spacing w:line="520" w:lineRule="exact"/>
        <w:jc w:val="right"/>
        <w:rPr>
          <w:rFonts w:ascii="Times New Roman" w:hAnsi="Times New Roman" w:eastAsia="仿宋_GB2312" w:cs="Mongolian Baiti"/>
          <w:color w:val="auto"/>
          <w:sz w:val="32"/>
          <w:szCs w:val="32"/>
        </w:rPr>
      </w:pPr>
    </w:p>
    <w:p w14:paraId="4A0E08A3">
      <w:pPr>
        <w:widowControl/>
        <w:snapToGrid w:val="0"/>
        <w:spacing w:line="520" w:lineRule="exact"/>
        <w:jc w:val="right"/>
        <w:rPr>
          <w:rFonts w:ascii="Times New Roman" w:hAnsi="Times New Roman" w:eastAsia="仿宋_GB2312" w:cs="Mongolian Baiti"/>
          <w:color w:val="auto"/>
          <w:sz w:val="32"/>
          <w:szCs w:val="32"/>
        </w:rPr>
      </w:pPr>
    </w:p>
    <w:p w14:paraId="1ACC82B4">
      <w:pPr>
        <w:widowControl/>
        <w:snapToGrid w:val="0"/>
        <w:spacing w:line="520" w:lineRule="exact"/>
        <w:jc w:val="right"/>
        <w:rPr>
          <w:rFonts w:ascii="Times New Roman" w:hAnsi="Times New Roman" w:eastAsia="仿宋_GB2312" w:cs="Mongolian Baiti"/>
          <w:color w:val="auto"/>
          <w:sz w:val="32"/>
          <w:szCs w:val="32"/>
        </w:rPr>
      </w:pPr>
    </w:p>
    <w:p w14:paraId="0B4394BA">
      <w:pPr>
        <w:widowControl/>
        <w:snapToGrid w:val="0"/>
        <w:spacing w:line="520" w:lineRule="exact"/>
        <w:jc w:val="right"/>
        <w:rPr>
          <w:rFonts w:ascii="Times New Roman" w:hAnsi="Times New Roman" w:eastAsia="仿宋_GB2312" w:cs="Mongolian Baiti"/>
          <w:color w:val="auto"/>
          <w:sz w:val="32"/>
          <w:szCs w:val="32"/>
        </w:rPr>
      </w:pPr>
    </w:p>
    <w:p w14:paraId="244D54E3">
      <w:pPr>
        <w:pStyle w:val="3"/>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523BFE66">
      <w:pPr>
        <w:spacing w:line="500" w:lineRule="exact"/>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 xml:space="preserve">本文书一式 </w:t>
      </w:r>
      <w:r>
        <w:rPr>
          <w:rFonts w:hint="eastAsia" w:ascii="Times New Roman" w:hAnsi="Times New Roman" w:eastAsia="仿宋_GB2312" w:cs="仿宋"/>
          <w:color w:val="000000"/>
          <w:sz w:val="32"/>
          <w:szCs w:val="32"/>
          <w:u w:val="none"/>
          <w:lang w:eastAsia="zh-CN"/>
        </w:rPr>
        <w:t>二</w:t>
      </w:r>
      <w:r>
        <w:rPr>
          <w:rFonts w:hint="eastAsia" w:ascii="Times New Roman" w:hAnsi="Times New Roman" w:eastAsia="仿宋_GB2312" w:cs="仿宋"/>
          <w:color w:val="000000"/>
          <w:sz w:val="32"/>
          <w:szCs w:val="32"/>
          <w:u w:val="none"/>
        </w:rPr>
        <w:t xml:space="preserve"> 份， </w:t>
      </w:r>
      <w:r>
        <w:rPr>
          <w:rFonts w:hint="eastAsia" w:ascii="Times New Roman" w:hAnsi="Times New Roman" w:eastAsia="仿宋_GB2312" w:cs="仿宋"/>
          <w:color w:val="000000"/>
          <w:sz w:val="32"/>
          <w:szCs w:val="32"/>
          <w:u w:val="none"/>
          <w:lang w:eastAsia="zh-CN"/>
        </w:rPr>
        <w:t>一</w:t>
      </w:r>
      <w:r>
        <w:rPr>
          <w:rFonts w:hint="eastAsia" w:ascii="Times New Roman" w:hAnsi="Times New Roman" w:eastAsia="仿宋_GB2312" w:cs="仿宋"/>
          <w:color w:val="000000"/>
          <w:sz w:val="32"/>
          <w:szCs w:val="32"/>
          <w:u w:val="none"/>
        </w:rPr>
        <w:t xml:space="preserve"> 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DejaVu Math TeX Gyre"/>
    <w:panose1 w:val="02040503050203030202"/>
    <w:charset w:val="00"/>
    <w:family w:val="roman"/>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D9A5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B357F">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9AB357F">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2B83402"/>
    <w:rsid w:val="042774DD"/>
    <w:rsid w:val="048D2705"/>
    <w:rsid w:val="04CD463F"/>
    <w:rsid w:val="04FA4431"/>
    <w:rsid w:val="05C51508"/>
    <w:rsid w:val="06476E0A"/>
    <w:rsid w:val="06BAE61F"/>
    <w:rsid w:val="06F258F7"/>
    <w:rsid w:val="071C7669"/>
    <w:rsid w:val="07580619"/>
    <w:rsid w:val="076C2C51"/>
    <w:rsid w:val="0776795A"/>
    <w:rsid w:val="07DA78EE"/>
    <w:rsid w:val="08365B64"/>
    <w:rsid w:val="087864F3"/>
    <w:rsid w:val="090B4D3A"/>
    <w:rsid w:val="09290BEC"/>
    <w:rsid w:val="09AA7B69"/>
    <w:rsid w:val="0A2F38BD"/>
    <w:rsid w:val="0A3665F0"/>
    <w:rsid w:val="0A4369DD"/>
    <w:rsid w:val="0B22091D"/>
    <w:rsid w:val="0BF306AA"/>
    <w:rsid w:val="0C5806CC"/>
    <w:rsid w:val="0CF71776"/>
    <w:rsid w:val="0D242541"/>
    <w:rsid w:val="0F7B45D3"/>
    <w:rsid w:val="0FB748D6"/>
    <w:rsid w:val="103E22C5"/>
    <w:rsid w:val="11524677"/>
    <w:rsid w:val="115320F9"/>
    <w:rsid w:val="119E3BCA"/>
    <w:rsid w:val="1350279A"/>
    <w:rsid w:val="14203063"/>
    <w:rsid w:val="143E1E38"/>
    <w:rsid w:val="1490670C"/>
    <w:rsid w:val="14C8790C"/>
    <w:rsid w:val="152E563E"/>
    <w:rsid w:val="15B93156"/>
    <w:rsid w:val="16D23D7F"/>
    <w:rsid w:val="18325353"/>
    <w:rsid w:val="188449CB"/>
    <w:rsid w:val="18B229B2"/>
    <w:rsid w:val="19F41BD2"/>
    <w:rsid w:val="19FE4517"/>
    <w:rsid w:val="1AE345F4"/>
    <w:rsid w:val="1B37398D"/>
    <w:rsid w:val="1C7339BB"/>
    <w:rsid w:val="1C7A5BA8"/>
    <w:rsid w:val="1E664711"/>
    <w:rsid w:val="1EC222D9"/>
    <w:rsid w:val="1F2B5D07"/>
    <w:rsid w:val="1FC004DE"/>
    <w:rsid w:val="1FD31F15"/>
    <w:rsid w:val="212E3259"/>
    <w:rsid w:val="2159198A"/>
    <w:rsid w:val="21760EA0"/>
    <w:rsid w:val="22287087"/>
    <w:rsid w:val="226514AC"/>
    <w:rsid w:val="22F815B8"/>
    <w:rsid w:val="237778B4"/>
    <w:rsid w:val="23F5677C"/>
    <w:rsid w:val="24476B50"/>
    <w:rsid w:val="24626694"/>
    <w:rsid w:val="258D6CE0"/>
    <w:rsid w:val="27A45517"/>
    <w:rsid w:val="2B1B3EFC"/>
    <w:rsid w:val="2C1A44DE"/>
    <w:rsid w:val="2CEA3815"/>
    <w:rsid w:val="2DE10173"/>
    <w:rsid w:val="2F327E79"/>
    <w:rsid w:val="2F7CE1EF"/>
    <w:rsid w:val="2F8A6913"/>
    <w:rsid w:val="30DB5683"/>
    <w:rsid w:val="30FA2F6D"/>
    <w:rsid w:val="31360730"/>
    <w:rsid w:val="31562B39"/>
    <w:rsid w:val="316A07AA"/>
    <w:rsid w:val="31BE0AF5"/>
    <w:rsid w:val="32CE76E8"/>
    <w:rsid w:val="3334290F"/>
    <w:rsid w:val="33740640"/>
    <w:rsid w:val="3585615B"/>
    <w:rsid w:val="363C12E3"/>
    <w:rsid w:val="368E5656"/>
    <w:rsid w:val="377FBB27"/>
    <w:rsid w:val="37F16547"/>
    <w:rsid w:val="38B63DA7"/>
    <w:rsid w:val="3930619F"/>
    <w:rsid w:val="3A4E178D"/>
    <w:rsid w:val="3BF97ECA"/>
    <w:rsid w:val="3C2965F0"/>
    <w:rsid w:val="3D6B1177"/>
    <w:rsid w:val="3DDA4888"/>
    <w:rsid w:val="3E1B5C0E"/>
    <w:rsid w:val="3E5F4AE1"/>
    <w:rsid w:val="3E853745"/>
    <w:rsid w:val="3F2604DF"/>
    <w:rsid w:val="3F6783E4"/>
    <w:rsid w:val="3F842066"/>
    <w:rsid w:val="3FFF82D4"/>
    <w:rsid w:val="402E7C06"/>
    <w:rsid w:val="40FE5F8F"/>
    <w:rsid w:val="41181878"/>
    <w:rsid w:val="425049CE"/>
    <w:rsid w:val="442B16EC"/>
    <w:rsid w:val="458F64B9"/>
    <w:rsid w:val="45C51FFB"/>
    <w:rsid w:val="46157ACD"/>
    <w:rsid w:val="47243FC5"/>
    <w:rsid w:val="48A71838"/>
    <w:rsid w:val="48C10000"/>
    <w:rsid w:val="4A555101"/>
    <w:rsid w:val="4ADF49AE"/>
    <w:rsid w:val="4B8F0B22"/>
    <w:rsid w:val="4C02380F"/>
    <w:rsid w:val="4C7C04B3"/>
    <w:rsid w:val="4CC8271B"/>
    <w:rsid w:val="4D9306AE"/>
    <w:rsid w:val="4E8950D9"/>
    <w:rsid w:val="4F722566"/>
    <w:rsid w:val="4F93378A"/>
    <w:rsid w:val="503F09B5"/>
    <w:rsid w:val="516D5500"/>
    <w:rsid w:val="52802336"/>
    <w:rsid w:val="53A0483E"/>
    <w:rsid w:val="547C0750"/>
    <w:rsid w:val="55914FEE"/>
    <w:rsid w:val="55FE5622"/>
    <w:rsid w:val="57044ED0"/>
    <w:rsid w:val="57503162"/>
    <w:rsid w:val="58A4140A"/>
    <w:rsid w:val="591F0542"/>
    <w:rsid w:val="59A10938"/>
    <w:rsid w:val="59CE2DE5"/>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DC2B1A"/>
    <w:rsid w:val="636955DE"/>
    <w:rsid w:val="646E5E05"/>
    <w:rsid w:val="64C612E4"/>
    <w:rsid w:val="64E43803"/>
    <w:rsid w:val="657F58CB"/>
    <w:rsid w:val="66934D57"/>
    <w:rsid w:val="6AD7030F"/>
    <w:rsid w:val="6BA277B7"/>
    <w:rsid w:val="6BCC1BB9"/>
    <w:rsid w:val="6C001687"/>
    <w:rsid w:val="6C6723F1"/>
    <w:rsid w:val="6CA517CF"/>
    <w:rsid w:val="6D064CEC"/>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C56E7"/>
    <w:rsid w:val="7376089F"/>
    <w:rsid w:val="74E06ABE"/>
    <w:rsid w:val="75B2DA43"/>
    <w:rsid w:val="75BD90DB"/>
    <w:rsid w:val="75CC41D0"/>
    <w:rsid w:val="75F8119D"/>
    <w:rsid w:val="76222141"/>
    <w:rsid w:val="76704CDE"/>
    <w:rsid w:val="76D869B3"/>
    <w:rsid w:val="76FD0A98"/>
    <w:rsid w:val="77DF8BD4"/>
    <w:rsid w:val="77EFD5CC"/>
    <w:rsid w:val="77FFADAC"/>
    <w:rsid w:val="7835649C"/>
    <w:rsid w:val="789620E4"/>
    <w:rsid w:val="78FD530C"/>
    <w:rsid w:val="79117830"/>
    <w:rsid w:val="7AFB4DD2"/>
    <w:rsid w:val="7B0F6E9A"/>
    <w:rsid w:val="7BA46A39"/>
    <w:rsid w:val="7BFD6076"/>
    <w:rsid w:val="7C7F29CF"/>
    <w:rsid w:val="7C8E43D6"/>
    <w:rsid w:val="7DA813EB"/>
    <w:rsid w:val="7DFF108F"/>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439</Words>
  <Characters>439</Characters>
  <Lines>0</Lines>
  <Paragraphs>0</Paragraphs>
  <TotalTime>15</TotalTime>
  <ScaleCrop>false</ScaleCrop>
  <LinksUpToDate>false</LinksUpToDate>
  <CharactersWithSpaces>1173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Administrator</cp:lastModifiedBy>
  <cp:lastPrinted>2026-08-05T01:03:00Z</cp:lastPrinted>
  <dcterms:modified xsi:type="dcterms:W3CDTF">2026-08-21T07:58:32Z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