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C2A4308">
      <w:pPr>
        <w:numPr>
          <w:ilvl w:val="0"/>
          <w:numId w:val="2"/>
        </w:numPr>
        <w:spacing w:line="640" w:lineRule="exact"/>
        <w:jc w:val="center"/>
        <w:outlineLvl w:val="0"/>
        <w:rPr>
          <w:rFonts w:hint="eastAsia" w:ascii="方正小标宋简体" w:hAnsi="方正小标宋简体" w:eastAsia="方正小标宋简体" w:cs="方正小标宋简体"/>
          <w:color w:val="auto"/>
          <w:sz w:val="44"/>
          <w:szCs w:val="44"/>
        </w:rPr>
      </w:pPr>
      <w:bookmarkStart w:id="0" w:name="DYNAMIC—DWXX—tAj_dwmc"/>
      <w:r>
        <w:rPr>
          <w:rFonts w:hint="default" w:ascii="方正小标宋简体" w:hAnsi="方正小标宋简体" w:eastAsia="方正小标宋简体" w:cs="方正小标宋简体"/>
          <w:color w:val="000000"/>
          <w:sz w:val="44"/>
          <w:u w:val="none"/>
        </w:rPr>
        <w:t>融水苗族自治县市场监督管理局</w:t>
      </w:r>
      <w:bookmarkEnd w:id="0"/>
    </w:p>
    <w:p w14:paraId="75A4CA77">
      <w:pPr>
        <w:pStyle w:val="2"/>
        <w:keepNext w:val="0"/>
        <w:numPr>
          <w:ilvl w:val="0"/>
          <w:numId w:val="2"/>
        </w:numPr>
        <w:spacing w:before="0" w:after="0" w:line="640" w:lineRule="exact"/>
        <w:jc w:val="center"/>
        <w:rPr>
          <w:rFonts w:hint="eastAsia" w:eastAsia="方正小标宋简体" w:cs="方正小标宋简体"/>
          <w:color w:val="auto"/>
          <w:sz w:val="44"/>
          <w:szCs w:val="44"/>
        </w:rPr>
      </w:pPr>
      <w:bookmarkStart w:id="1" w:name="_Toc76683344"/>
      <w:r>
        <w:rPr>
          <w:rFonts w:hint="eastAsia" w:hAnsi="方正小标宋简体" w:eastAsia="方正小标宋简体" w:cs="方正小标宋简体"/>
          <w:color w:val="000000"/>
          <w:sz w:val="44"/>
          <w:szCs w:val="44"/>
          <w:u w:val="none"/>
          <w:lang w:val="en-US"/>
        </w:rPr>
        <w:t>行政处罚</w:t>
      </w:r>
      <w:r>
        <w:rPr>
          <w:rFonts w:hint="eastAsia" w:hAnsi="方正小标宋简体" w:eastAsia="方正小标宋简体" w:cs="方正小标宋简体"/>
          <w:color w:val="000000"/>
          <w:sz w:val="44"/>
          <w:szCs w:val="44"/>
          <w:u w:val="none"/>
          <w:lang w:val="en-US" w:eastAsia="zh-Hans"/>
        </w:rPr>
        <w:t>决定</w:t>
      </w:r>
      <w:r>
        <w:rPr>
          <w:rFonts w:hint="eastAsia" w:hAnsi="方正小标宋简体" w:eastAsia="方正小标宋简体" w:cs="方正小标宋简体"/>
          <w:color w:val="000000"/>
          <w:sz w:val="44"/>
          <w:szCs w:val="44"/>
          <w:u w:val="none"/>
          <w:lang w:val="en-US"/>
        </w:rPr>
        <w:t>书</w:t>
      </w:r>
      <w:bookmarkEnd w:id="1"/>
    </w:p>
    <w:p w14:paraId="117AB776">
      <w:pPr>
        <w:widowControl/>
        <w:snapToGrid w:val="0"/>
        <w:spacing w:line="560" w:lineRule="exact"/>
        <w:ind w:right="55"/>
        <w:jc w:val="center"/>
        <w:outlineLvl w:val="1"/>
        <w:rPr>
          <w:rFonts w:hint="eastAsia" w:ascii="Times New Roman" w:hAnsi="仿宋_GB2312" w:eastAsia="仿宋_GB2312" w:cs="仿宋_GB2312"/>
          <w:bCs/>
          <w:color w:val="auto"/>
          <w:sz w:val="32"/>
          <w:szCs w:val="32"/>
        </w:rPr>
      </w:pPr>
      <w:bookmarkStart w:id="2" w:name="tAj_wh"/>
      <w:r>
        <w:rPr>
          <w:rFonts w:hint="eastAsia" w:ascii="Times New Roman" w:hAnsi="Times New Roman" w:eastAsia="仿宋_GB2312" w:cs="Mongolian Baiti"/>
          <w:color w:val="000000"/>
          <w:sz w:val="32"/>
          <w:u w:val="none"/>
        </w:rPr>
        <w:t>融水市监处罚〔2026〕116号</w:t>
      </w:r>
      <w:bookmarkEnd w:id="2"/>
    </w:p>
    <w:p w14:paraId="35C17137">
      <w:pPr>
        <w:keepNext w:val="0"/>
        <w:keepLines w:val="0"/>
        <w:pageBreakBefore w:val="0"/>
        <w:widowControl w:val="0"/>
        <w:kinsoku/>
        <w:wordWrap/>
        <w:overflowPunct/>
        <w:topLinePunct w:val="0"/>
        <w:autoSpaceDE/>
        <w:autoSpaceDN/>
        <w:bidi w:val="0"/>
        <w:adjustRightInd/>
        <w:snapToGrid/>
        <w:spacing w:before="315" w:beforeLines="100" w:line="560" w:lineRule="exact"/>
        <w:ind w:left="142" w:hanging="142"/>
        <w:textAlignment w:val="auto"/>
        <w:rPr>
          <w:rFonts w:hint="eastAsia" w:ascii="仿宋_GB2312" w:hAnsi="仿宋_GB2312" w:eastAsia="仿宋_GB2312" w:cs="仿宋_GB2312"/>
          <w:b w:val="0"/>
          <w:bCs/>
          <w:color w:val="auto"/>
          <w:sz w:val="32"/>
          <w:szCs w:val="32"/>
          <w:u w:val="none"/>
          <w:lang w:val="en-US" w:eastAsia="zh-CN"/>
        </w:rPr>
      </w:pPr>
      <w:r>
        <w:rPr>
          <w:rFonts w:hint="eastAsia" w:ascii="仿宋_GB2312" w:hAnsi="仿宋_GB2312" w:eastAsia="仿宋_GB2312" w:cs="仿宋_GB2312"/>
          <w:b w:val="0"/>
          <w:bCs/>
          <w:color w:val="000000"/>
          <w:kern w:val="1"/>
          <w:sz w:val="32"/>
          <w:szCs w:val="32"/>
          <w:u w:val="none"/>
        </w:rPr>
        <w:t>当事人：</w:t>
      </w:r>
      <w:bookmarkStart w:id="3" w:name="CALCULATE—DSR—tAjDsrs_cMc"/>
      <w:r>
        <w:rPr>
          <w:rFonts w:hint="eastAsia" w:ascii="仿宋_GB2312" w:hAnsi="仿宋_GB2312" w:eastAsia="仿宋_GB2312" w:cs="仿宋_GB2312"/>
          <w:b w:val="0"/>
          <w:color w:val="000000"/>
          <w:sz w:val="32"/>
          <w:u w:val="none"/>
        </w:rPr>
        <w:t>融水县周志昇中西医诊所</w:t>
      </w:r>
      <w:bookmarkEnd w:id="3"/>
      <w:r>
        <w:rPr>
          <w:rFonts w:hint="eastAsia" w:ascii="仿宋_GB2312" w:hAnsi="仿宋_GB2312" w:eastAsia="仿宋_GB2312" w:cs="仿宋_GB2312"/>
          <w:b w:val="0"/>
          <w:bCs/>
          <w:color w:val="000000"/>
          <w:kern w:val="1"/>
          <w:sz w:val="32"/>
          <w:szCs w:val="32"/>
          <w:u w:val="none"/>
        </w:rPr>
        <w:t xml:space="preserve">                                            </w:t>
      </w:r>
    </w:p>
    <w:p w14:paraId="6E1823F1">
      <w:pPr>
        <w:keepNext w:val="0"/>
        <w:keepLines w:val="0"/>
        <w:pageBreakBefore w:val="0"/>
        <w:widowControl w:val="0"/>
        <w:kinsoku/>
        <w:wordWrap/>
        <w:overflowPunct/>
        <w:topLinePunct w:val="0"/>
        <w:autoSpaceDE/>
        <w:autoSpaceDN/>
        <w:bidi w:val="0"/>
        <w:adjustRightInd/>
        <w:snapToGrid/>
        <w:spacing w:line="560" w:lineRule="exact"/>
        <w:ind w:left="140" w:hanging="140"/>
        <w:textAlignment w:val="auto"/>
        <w:rPr>
          <w:rFonts w:hint="eastAsia" w:ascii="仿宋_GB2312" w:hAnsi="仿宋_GB2312" w:eastAsia="仿宋_GB2312" w:cs="仿宋_GB2312"/>
          <w:b w:val="0"/>
          <w:bCs/>
          <w:color w:val="auto"/>
          <w:kern w:val="1"/>
          <w:sz w:val="32"/>
          <w:szCs w:val="32"/>
          <w:u w:val="none"/>
        </w:rPr>
      </w:pPr>
      <w:r>
        <w:rPr>
          <w:rFonts w:hint="eastAsia" w:ascii="仿宋_GB2312" w:hAnsi="仿宋_GB2312" w:eastAsia="仿宋_GB2312" w:cs="仿宋_GB2312"/>
          <w:b w:val="0"/>
          <w:bCs/>
          <w:color w:val="000000"/>
          <w:kern w:val="1"/>
          <w:sz w:val="32"/>
          <w:szCs w:val="32"/>
          <w:u w:val="none"/>
        </w:rPr>
        <w:t>主体资格证照名称：</w:t>
      </w:r>
      <w:bookmarkStart w:id="4" w:name="CALCULATE—DSR—tAjDsrs_cZtzgzzmc"/>
      <w:r>
        <w:rPr>
          <w:rFonts w:hint="eastAsia" w:ascii="仿宋_GB2312" w:hAnsi="仿宋_GB2312" w:eastAsia="仿宋_GB2312" w:cs="仿宋_GB2312"/>
          <w:b w:val="0"/>
          <w:color w:val="000000"/>
          <w:sz w:val="32"/>
          <w:u w:val="none"/>
        </w:rPr>
        <w:t>营业执照</w:t>
      </w:r>
      <w:bookmarkEnd w:id="4"/>
      <w:r>
        <w:rPr>
          <w:rFonts w:hint="eastAsia" w:ascii="仿宋_GB2312" w:hAnsi="仿宋_GB2312" w:eastAsia="仿宋_GB2312" w:cs="仿宋_GB2312"/>
          <w:b w:val="0"/>
          <w:bCs/>
          <w:color w:val="000000"/>
          <w:kern w:val="1"/>
          <w:sz w:val="32"/>
          <w:szCs w:val="32"/>
          <w:u w:val="none"/>
        </w:rPr>
        <w:t xml:space="preserve">                                  </w:t>
      </w:r>
    </w:p>
    <w:p w14:paraId="18FAF8A1">
      <w:pPr>
        <w:keepNext w:val="0"/>
        <w:keepLines w:val="0"/>
        <w:pageBreakBefore w:val="0"/>
        <w:widowControl w:val="0"/>
        <w:kinsoku/>
        <w:wordWrap/>
        <w:overflowPunct/>
        <w:topLinePunct w:val="0"/>
        <w:autoSpaceDE/>
        <w:autoSpaceDN/>
        <w:bidi w:val="0"/>
        <w:adjustRightInd/>
        <w:snapToGrid/>
        <w:spacing w:line="560" w:lineRule="exact"/>
        <w:ind w:left="140" w:hanging="140"/>
        <w:textAlignment w:val="auto"/>
        <w:rPr>
          <w:rFonts w:hint="eastAsia" w:ascii="仿宋_GB2312" w:hAnsi="仿宋_GB2312" w:eastAsia="仿宋_GB2312" w:cs="仿宋_GB2312"/>
          <w:b w:val="0"/>
          <w:bCs/>
          <w:color w:val="auto"/>
          <w:kern w:val="1"/>
          <w:sz w:val="32"/>
          <w:szCs w:val="32"/>
          <w:u w:val="none"/>
          <w:lang w:val="en-US" w:eastAsia="zh-CN"/>
        </w:rPr>
      </w:pPr>
      <w:r>
        <w:rPr>
          <w:rFonts w:hint="eastAsia" w:ascii="仿宋_GB2312" w:hAnsi="仿宋_GB2312" w:eastAsia="仿宋_GB2312" w:cs="仿宋_GB2312"/>
          <w:b w:val="0"/>
          <w:bCs/>
          <w:color w:val="000000"/>
          <w:kern w:val="1"/>
          <w:sz w:val="32"/>
          <w:szCs w:val="32"/>
          <w:u w:val="none"/>
        </w:rPr>
        <w:t>统一社会信用代码：</w:t>
      </w:r>
      <w:bookmarkStart w:id="5" w:name="CALCULATE—DSR—tAjDsrs_cTzshxydm"/>
      <w:r>
        <w:rPr>
          <w:rFonts w:hint="eastAsia" w:ascii="仿宋_GB2312" w:hAnsi="仿宋_GB2312" w:eastAsia="仿宋_GB2312" w:cs="仿宋_GB2312"/>
          <w:b w:val="0"/>
          <w:color w:val="000000"/>
          <w:sz w:val="32"/>
          <w:u w:val="none"/>
        </w:rPr>
        <w:t>92450225MA5PQCUB4G</w:t>
      </w:r>
      <w:bookmarkEnd w:id="5"/>
      <w:r>
        <w:rPr>
          <w:rFonts w:hint="eastAsia" w:ascii="仿宋_GB2312" w:hAnsi="仿宋_GB2312" w:eastAsia="仿宋_GB2312" w:cs="仿宋_GB2312"/>
          <w:b w:val="0"/>
          <w:bCs/>
          <w:color w:val="000000"/>
          <w:kern w:val="1"/>
          <w:sz w:val="32"/>
          <w:szCs w:val="32"/>
          <w:u w:val="none"/>
        </w:rPr>
        <w:t xml:space="preserve">                                  </w:t>
      </w:r>
    </w:p>
    <w:p w14:paraId="43D9A089">
      <w:pPr>
        <w:keepNext w:val="0"/>
        <w:keepLines w:val="0"/>
        <w:pageBreakBefore w:val="0"/>
        <w:widowControl w:val="0"/>
        <w:kinsoku/>
        <w:wordWrap/>
        <w:overflowPunct/>
        <w:topLinePunct w:val="0"/>
        <w:autoSpaceDE/>
        <w:autoSpaceDN/>
        <w:bidi w:val="0"/>
        <w:adjustRightInd/>
        <w:snapToGrid/>
        <w:spacing w:line="560" w:lineRule="exact"/>
        <w:ind w:left="140" w:hanging="140"/>
        <w:textAlignment w:val="auto"/>
        <w:rPr>
          <w:rFonts w:hint="eastAsia" w:ascii="仿宋_GB2312" w:hAnsi="仿宋_GB2312" w:eastAsia="仿宋_GB2312" w:cs="仿宋_GB2312"/>
          <w:b w:val="0"/>
          <w:bCs/>
          <w:color w:val="auto"/>
          <w:kern w:val="1"/>
          <w:sz w:val="32"/>
          <w:szCs w:val="32"/>
          <w:u w:val="none"/>
          <w:lang w:val="en-US" w:eastAsia="zh-CN"/>
        </w:rPr>
      </w:pPr>
      <w:r>
        <w:rPr>
          <w:rFonts w:hint="eastAsia" w:ascii="仿宋_GB2312" w:hAnsi="仿宋_GB2312" w:eastAsia="仿宋_GB2312" w:cs="仿宋_GB2312"/>
          <w:b w:val="0"/>
          <w:bCs/>
          <w:color w:val="000000"/>
          <w:kern w:val="1"/>
          <w:sz w:val="32"/>
          <w:szCs w:val="32"/>
          <w:u w:val="none"/>
        </w:rPr>
        <w:t>住所（住址）：</w:t>
      </w:r>
      <w:bookmarkStart w:id="6" w:name="CALCULATE—DSR—tAjDsrs_cLxdzSheng"/>
      <w:r>
        <w:rPr>
          <w:rFonts w:hint="eastAsia" w:ascii="仿宋_GB2312" w:hAnsi="仿宋_GB2312" w:eastAsia="仿宋_GB2312" w:cs="仿宋_GB2312"/>
          <w:b w:val="0"/>
          <w:color w:val="000000"/>
          <w:sz w:val="32"/>
          <w:u w:val="none"/>
        </w:rPr>
        <w:t>广西柳州市融水县融水镇高领新区</w:t>
      </w:r>
      <w:bookmarkEnd w:id="6"/>
      <w:r>
        <w:rPr>
          <w:rFonts w:hint="eastAsia" w:ascii="仿宋_GB2312" w:hAnsi="仿宋_GB2312" w:eastAsia="仿宋_GB2312" w:cs="仿宋_GB2312"/>
          <w:b w:val="0"/>
          <w:color w:val="000000"/>
          <w:sz w:val="32"/>
          <w:u w:val="none"/>
          <w:lang w:val="en-US" w:eastAsia="zh-CN"/>
        </w:rPr>
        <w:t>******</w:t>
      </w:r>
      <w:r>
        <w:rPr>
          <w:rFonts w:hint="eastAsia" w:ascii="仿宋_GB2312" w:hAnsi="仿宋_GB2312" w:eastAsia="仿宋_GB2312" w:cs="仿宋_GB2312"/>
          <w:b w:val="0"/>
          <w:bCs/>
          <w:color w:val="000000"/>
          <w:kern w:val="1"/>
          <w:sz w:val="32"/>
          <w:szCs w:val="32"/>
          <w:u w:val="none"/>
        </w:rPr>
        <w:t xml:space="preserve">        </w:t>
      </w:r>
      <w:r>
        <w:rPr>
          <w:rFonts w:hint="eastAsia" w:ascii="仿宋_GB2312" w:hAnsi="仿宋_GB2312" w:eastAsia="仿宋_GB2312" w:cs="仿宋_GB2312"/>
          <w:b w:val="0"/>
          <w:bCs/>
          <w:color w:val="000000"/>
          <w:kern w:val="1"/>
          <w:sz w:val="32"/>
          <w:szCs w:val="32"/>
          <w:u w:val="none"/>
          <w:lang w:val="en-US" w:eastAsia="zh-CN"/>
        </w:rPr>
        <w:t xml:space="preserve"> </w:t>
      </w:r>
    </w:p>
    <w:p w14:paraId="7C101759">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b w:val="0"/>
          <w:bCs/>
          <w:color w:val="auto"/>
          <w:kern w:val="1"/>
          <w:sz w:val="32"/>
          <w:szCs w:val="32"/>
          <w:u w:val="none"/>
          <w:lang w:val="en-US" w:eastAsia="zh-CN"/>
        </w:rPr>
      </w:pPr>
      <w:r>
        <w:rPr>
          <w:rFonts w:hint="eastAsia" w:ascii="仿宋_GB2312" w:hAnsi="仿宋_GB2312" w:eastAsia="仿宋_GB2312" w:cs="仿宋_GB2312"/>
          <w:b w:val="0"/>
          <w:bCs/>
          <w:color w:val="000000"/>
          <w:kern w:val="1"/>
          <w:sz w:val="32"/>
          <w:szCs w:val="32"/>
          <w:u w:val="none"/>
        </w:rPr>
        <w:t>法定代表人（</w:t>
      </w:r>
      <w:r>
        <w:rPr>
          <w:rFonts w:hint="eastAsia" w:ascii="仿宋_GB2312" w:hAnsi="仿宋_GB2312" w:eastAsia="仿宋_GB2312" w:cs="仿宋_GB2312"/>
          <w:b w:val="0"/>
          <w:bCs/>
          <w:color w:val="000000"/>
          <w:kern w:val="1"/>
          <w:sz w:val="32"/>
          <w:szCs w:val="32"/>
          <w:u w:val="none"/>
          <w:lang w:val="en-US" w:eastAsia="zh-CN"/>
        </w:rPr>
        <w:t>经营者</w:t>
      </w:r>
      <w:r>
        <w:rPr>
          <w:rFonts w:hint="eastAsia" w:ascii="仿宋_GB2312" w:hAnsi="仿宋_GB2312" w:eastAsia="仿宋_GB2312" w:cs="仿宋_GB2312"/>
          <w:b w:val="0"/>
          <w:bCs/>
          <w:color w:val="000000"/>
          <w:kern w:val="1"/>
          <w:sz w:val="32"/>
          <w:szCs w:val="32"/>
          <w:u w:val="none"/>
        </w:rPr>
        <w:t>）：</w:t>
      </w:r>
      <w:bookmarkStart w:id="7" w:name="CALCULATE—DSR—tAjDsrs_cFddbr"/>
      <w:r>
        <w:rPr>
          <w:rFonts w:hint="eastAsia" w:ascii="仿宋_GB2312" w:hAnsi="仿宋_GB2312" w:eastAsia="仿宋_GB2312" w:cs="仿宋_GB2312"/>
          <w:b w:val="0"/>
          <w:color w:val="000000"/>
          <w:sz w:val="32"/>
          <w:u w:val="none"/>
        </w:rPr>
        <w:t>周志昇</w:t>
      </w:r>
      <w:bookmarkEnd w:id="7"/>
      <w:r>
        <w:rPr>
          <w:rFonts w:hint="eastAsia" w:ascii="仿宋_GB2312" w:hAnsi="仿宋_GB2312" w:eastAsia="仿宋_GB2312" w:cs="仿宋_GB2312"/>
          <w:b w:val="0"/>
          <w:bCs/>
          <w:color w:val="000000"/>
          <w:kern w:val="1"/>
          <w:sz w:val="32"/>
          <w:szCs w:val="32"/>
          <w:u w:val="none"/>
        </w:rPr>
        <w:t xml:space="preserve">                       </w:t>
      </w:r>
    </w:p>
    <w:p w14:paraId="018492D4">
      <w:pPr>
        <w:keepNext w:val="0"/>
        <w:keepLines w:val="0"/>
        <w:pageBreakBefore w:val="0"/>
        <w:widowControl w:val="0"/>
        <w:kinsoku/>
        <w:wordWrap/>
        <w:overflowPunct/>
        <w:topLinePunct w:val="0"/>
        <w:autoSpaceDE/>
        <w:autoSpaceDN/>
        <w:bidi w:val="0"/>
        <w:adjustRightInd/>
        <w:snapToGrid/>
        <w:spacing w:line="560" w:lineRule="exact"/>
        <w:ind w:left="140" w:hanging="140"/>
        <w:textAlignment w:val="auto"/>
        <w:rPr>
          <w:rFonts w:hint="eastAsia" w:ascii="仿宋_GB2312" w:hAnsi="仿宋_GB2312" w:eastAsia="仿宋_GB2312" w:cs="仿宋_GB2312"/>
          <w:b w:val="0"/>
          <w:bCs/>
          <w:color w:val="auto"/>
          <w:sz w:val="32"/>
          <w:szCs w:val="32"/>
          <w:u w:val="single" w:color="231F20"/>
        </w:rPr>
      </w:pPr>
      <w:r>
        <w:rPr>
          <w:rFonts w:hint="eastAsia" w:ascii="仿宋_GB2312" w:hAnsi="仿宋_GB2312" w:eastAsia="仿宋_GB2312" w:cs="仿宋_GB2312"/>
          <w:b w:val="0"/>
          <w:bCs/>
          <w:color w:val="000000"/>
          <w:kern w:val="1"/>
          <w:sz w:val="32"/>
          <w:szCs w:val="32"/>
          <w:u w:val="none"/>
        </w:rPr>
        <w:t>身份证件号码：</w:t>
      </w:r>
      <w:bookmarkStart w:id="8" w:name="CALCULATE—DSR—tAjDsrs_cZjhm"/>
      <w:r>
        <w:rPr>
          <w:rFonts w:hint="eastAsia" w:ascii="仿宋_GB2312" w:hAnsi="仿宋_GB2312" w:eastAsia="仿宋_GB2312" w:cs="仿宋_GB2312"/>
          <w:b w:val="0"/>
          <w:color w:val="000000"/>
          <w:sz w:val="32"/>
          <w:u w:val="none"/>
        </w:rPr>
        <w:t>452229199210</w:t>
      </w:r>
      <w:bookmarkEnd w:id="8"/>
      <w:r>
        <w:rPr>
          <w:rFonts w:hint="eastAsia" w:ascii="仿宋_GB2312" w:hAnsi="仿宋_GB2312" w:eastAsia="仿宋_GB2312" w:cs="仿宋_GB2312"/>
          <w:b w:val="0"/>
          <w:color w:val="000000"/>
          <w:sz w:val="32"/>
          <w:u w:val="none"/>
          <w:lang w:val="en-US" w:eastAsia="zh-CN"/>
        </w:rPr>
        <w:t>******</w:t>
      </w:r>
      <w:r>
        <w:rPr>
          <w:rFonts w:hint="eastAsia" w:ascii="仿宋_GB2312" w:hAnsi="仿宋_GB2312" w:eastAsia="仿宋_GB2312" w:cs="仿宋_GB2312"/>
          <w:b w:val="0"/>
          <w:bCs/>
          <w:color w:val="000000"/>
          <w:kern w:val="1"/>
          <w:sz w:val="32"/>
          <w:szCs w:val="32"/>
          <w:u w:val="none"/>
        </w:rPr>
        <w:t xml:space="preserve">                                    </w:t>
      </w:r>
    </w:p>
    <w:p w14:paraId="6E1507D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u w:val="none"/>
          <w:lang w:val="en-US" w:eastAsia="zh-CN"/>
        </w:rPr>
      </w:pPr>
      <w:r>
        <w:rPr>
          <w:rFonts w:hint="eastAsia" w:ascii="仿宋_GB2312" w:hAnsi="仿宋" w:eastAsia="仿宋_GB2312"/>
          <w:color w:val="000000"/>
          <w:sz w:val="32"/>
          <w:szCs w:val="32"/>
          <w:highlight w:val="none"/>
          <w:u w:val="none"/>
        </w:rPr>
        <w:t>202</w:t>
      </w:r>
      <w:r>
        <w:rPr>
          <w:rFonts w:hint="eastAsia" w:ascii="仿宋_GB2312" w:hAnsi="仿宋" w:eastAsia="仿宋_GB2312"/>
          <w:color w:val="000000"/>
          <w:sz w:val="32"/>
          <w:szCs w:val="32"/>
          <w:highlight w:val="none"/>
          <w:u w:val="none"/>
          <w:lang w:val="en-US" w:eastAsia="zh-CN"/>
        </w:rPr>
        <w:t>6</w:t>
      </w:r>
      <w:r>
        <w:rPr>
          <w:rFonts w:hint="eastAsia" w:ascii="仿宋_GB2312" w:hAnsi="仿宋" w:eastAsia="仿宋_GB2312"/>
          <w:color w:val="000000"/>
          <w:sz w:val="32"/>
          <w:szCs w:val="32"/>
          <w:highlight w:val="none"/>
          <w:u w:val="none"/>
        </w:rPr>
        <w:t>年</w:t>
      </w:r>
      <w:r>
        <w:rPr>
          <w:rFonts w:hint="eastAsia" w:ascii="仿宋_GB2312" w:hAnsi="仿宋" w:eastAsia="仿宋_GB2312"/>
          <w:color w:val="000000"/>
          <w:sz w:val="32"/>
          <w:szCs w:val="32"/>
          <w:highlight w:val="none"/>
          <w:u w:val="none"/>
          <w:lang w:val="en-US" w:eastAsia="zh-CN"/>
        </w:rPr>
        <w:t>5</w:t>
      </w:r>
      <w:r>
        <w:rPr>
          <w:rFonts w:hint="eastAsia" w:ascii="仿宋_GB2312" w:hAnsi="仿宋" w:eastAsia="仿宋_GB2312"/>
          <w:color w:val="000000"/>
          <w:sz w:val="32"/>
          <w:szCs w:val="32"/>
          <w:highlight w:val="none"/>
          <w:u w:val="none"/>
        </w:rPr>
        <w:t>月</w:t>
      </w:r>
      <w:r>
        <w:rPr>
          <w:rFonts w:hint="eastAsia" w:ascii="仿宋_GB2312" w:hAnsi="仿宋" w:eastAsia="仿宋_GB2312"/>
          <w:color w:val="000000"/>
          <w:sz w:val="32"/>
          <w:szCs w:val="32"/>
          <w:highlight w:val="none"/>
          <w:u w:val="none"/>
          <w:lang w:val="en-US" w:eastAsia="zh-CN"/>
        </w:rPr>
        <w:t>19</w:t>
      </w:r>
      <w:r>
        <w:rPr>
          <w:rFonts w:hint="eastAsia" w:ascii="仿宋_GB2312" w:hAnsi="仿宋" w:eastAsia="仿宋_GB2312"/>
          <w:color w:val="000000"/>
          <w:sz w:val="32"/>
          <w:szCs w:val="32"/>
          <w:highlight w:val="none"/>
          <w:u w:val="none"/>
        </w:rPr>
        <w:t>日</w:t>
      </w:r>
      <w:r>
        <w:rPr>
          <w:rFonts w:hint="eastAsia" w:ascii="仿宋_GB2312" w:hAnsi="仿宋" w:eastAsia="仿宋_GB2312"/>
          <w:color w:val="000000"/>
          <w:sz w:val="32"/>
          <w:szCs w:val="32"/>
          <w:highlight w:val="none"/>
          <w:u w:val="none"/>
          <w:lang w:val="en-US" w:eastAsia="zh-CN"/>
        </w:rPr>
        <w:t>下午，</w:t>
      </w:r>
      <w:r>
        <w:rPr>
          <w:rFonts w:hint="eastAsia" w:ascii="仿宋_GB2312" w:hAnsi="仿宋" w:eastAsia="仿宋_GB2312"/>
          <w:color w:val="000000"/>
          <w:sz w:val="32"/>
          <w:szCs w:val="32"/>
          <w:highlight w:val="none"/>
          <w:u w:val="none"/>
        </w:rPr>
        <w:t>我局执法人员依法</w:t>
      </w:r>
      <w:r>
        <w:rPr>
          <w:rFonts w:hint="eastAsia" w:ascii="仿宋_GB2312" w:hAnsi="仿宋" w:eastAsia="仿宋_GB2312"/>
          <w:color w:val="000000"/>
          <w:sz w:val="32"/>
          <w:szCs w:val="32"/>
          <w:highlight w:val="none"/>
          <w:u w:val="none"/>
          <w:lang w:val="en-US" w:eastAsia="zh-CN"/>
        </w:rPr>
        <w:t>到位于</w:t>
      </w:r>
      <w:r>
        <w:rPr>
          <w:rFonts w:hint="eastAsia" w:ascii="仿宋_GB2312" w:hAnsi="Times New Roman" w:eastAsia="仿宋_GB2312" w:cs="仿宋_GB2312"/>
          <w:color w:val="000000"/>
          <w:sz w:val="32"/>
          <w:u w:val="none"/>
        </w:rPr>
        <w:t>广西柳州市融水县融水镇高领新区</w:t>
      </w:r>
      <w:r>
        <w:rPr>
          <w:rFonts w:hint="eastAsia" w:ascii="仿宋_GB2312" w:hAnsi="Times New Roman" w:eastAsia="仿宋_GB2312" w:cs="仿宋_GB2312"/>
          <w:color w:val="000000"/>
          <w:sz w:val="32"/>
          <w:u w:val="none"/>
          <w:lang w:val="en-US" w:eastAsia="zh-CN"/>
        </w:rPr>
        <w:t>******的</w:t>
      </w:r>
      <w:r>
        <w:rPr>
          <w:rFonts w:hint="eastAsia" w:ascii="仿宋_GB2312" w:hAnsi="Times New Roman" w:eastAsia="仿宋_GB2312" w:cs="仿宋_GB2312"/>
          <w:color w:val="000000"/>
          <w:sz w:val="32"/>
          <w:u w:val="none"/>
        </w:rPr>
        <w:t>融水县周志昇中西医诊所</w:t>
      </w:r>
      <w:r>
        <w:rPr>
          <w:rFonts w:hint="eastAsia" w:ascii="仿宋_GB2312" w:hAnsi="Times New Roman" w:eastAsia="仿宋_GB2312" w:cs="仿宋_GB2312"/>
          <w:color w:val="000000"/>
          <w:sz w:val="32"/>
          <w:u w:val="none"/>
          <w:lang w:val="en-US" w:eastAsia="zh-CN"/>
        </w:rPr>
        <w:t>开展药品质量安全</w:t>
      </w:r>
      <w:r>
        <w:rPr>
          <w:rFonts w:hint="eastAsia" w:ascii="仿宋_GB2312" w:hAnsi="仿宋" w:eastAsia="仿宋_GB2312"/>
          <w:color w:val="000000"/>
          <w:sz w:val="32"/>
          <w:szCs w:val="32"/>
          <w:highlight w:val="none"/>
          <w:u w:val="none"/>
          <w:lang w:val="en-US" w:eastAsia="zh-CN"/>
        </w:rPr>
        <w:t>检查，在负责人周志昇的现场陪同下，执法人员分别在当事人二楼药品存放柜和地面上发现：1.复方陈香胃片（国药准字Z51021833，产品批号：230302，生产日期2023年03月03日，有效期至2026年03月02日）共10盒；2.奥硝唑片（国药准字H20133070，产品批号：230202，生产日期2023年02月07日，有效期至2025年02月06日）共10盒；3.消炎止咳片（国药准字Z20055065，产品批号,240403，生产日期2024年04月14日，有效期至2026/03 127）共20盒；4.阿莫西林颗粒（国药准字H14023836，产品批号：230107，生产日期2023年01月19日，有效期至2025年01月18日）共10盒；5.健胃消食片（国药准字Z20054705，产品批号：230703，生产日期2023年07月30日，有效期至2025年06月）共9盒；6.葡萄糖酸锌片（国药准字H10880053,产品批号：231002，生产日期2023年10月29日，有效期至2025年09月）共5盒；7.防芷鼻炎片（国药准字Z44021571，产品批号：2302004，生产日期2023年02月26日，有效期至2025年02月25日）共5盒；8.罗红霉素胶囊（国药准字H19990361，产品批号,42032210，生产日期2024年02月26日，有效期至2026年01月）共5盒；9.午时茶颗粒（国药准字Z42020531，产品批号：20240503，生产日期2024年05月06日，有效期至2026年05月05日）共7袋；10.复方氯己定含漱液（国药准字H20064218，产品批号：240402，生产日期2024年04月07日，有效期至2026年03月）共17瓶；11.头孢呋辛酯颗粒（国药准字H20080770，产品批号：FX23081701，生产日期2023年08月17日，有效期至2025.08.16）共6盒。以上共11种药品均超过有效期，且当事人药品存放柜未设立不合格区，过期药品与未过期药品混放在一起，无“停用”标识，执法人员经本局领导同意，对现场检查发现的共11种过期药品</w:t>
      </w:r>
      <w:r>
        <w:rPr>
          <w:rFonts w:hint="eastAsia" w:ascii="仿宋_GB2312" w:hAnsi="宋体" w:eastAsia="仿宋_GB2312" w:cs="Times New Roman"/>
          <w:color w:val="000000"/>
          <w:sz w:val="32"/>
          <w:szCs w:val="32"/>
          <w:highlight w:val="none"/>
          <w:u w:val="none"/>
          <w:lang w:val="en-US" w:eastAsia="zh-CN"/>
        </w:rPr>
        <w:t>进行扣押</w:t>
      </w:r>
      <w:r>
        <w:rPr>
          <w:rFonts w:hint="eastAsia" w:ascii="仿宋_GB2312" w:eastAsia="仿宋_GB2312"/>
          <w:color w:val="000000"/>
          <w:sz w:val="32"/>
          <w:szCs w:val="32"/>
          <w:highlight w:val="none"/>
          <w:u w:val="none"/>
          <w:lang w:val="en-US" w:eastAsia="zh-CN"/>
        </w:rPr>
        <w:t>，下达《实施行政强制措施决定书》（融水市监强制</w:t>
      </w:r>
      <w:r>
        <w:rPr>
          <w:rFonts w:hint="eastAsia" w:ascii="仿宋_GB2312" w:hAnsi="仿宋_GB2312" w:eastAsia="仿宋_GB2312" w:cs="仿宋_GB2312"/>
          <w:color w:val="000000"/>
          <w:sz w:val="32"/>
          <w:szCs w:val="32"/>
          <w:highlight w:val="none"/>
          <w:u w:val="none"/>
          <w:lang w:val="en-US" w:eastAsia="zh-CN"/>
        </w:rPr>
        <w:t>〔2026〕34号</w:t>
      </w:r>
      <w:r>
        <w:rPr>
          <w:rFonts w:hint="eastAsia" w:ascii="仿宋_GB2312" w:eastAsia="仿宋_GB2312"/>
          <w:color w:val="000000"/>
          <w:sz w:val="32"/>
          <w:szCs w:val="32"/>
          <w:highlight w:val="none"/>
          <w:u w:val="none"/>
          <w:lang w:val="en-US" w:eastAsia="zh-CN"/>
        </w:rPr>
        <w:t>）及《财物清单》，现场制作有《现场笔录》，由诊所负责人周志昇在相关文书上签字确认。</w:t>
      </w:r>
      <w:bookmarkStart w:id="9" w:name="CALCULATE—QZCS—tAjqzcses_qzcsxx"/>
      <w:r>
        <w:rPr>
          <w:rFonts w:hint="eastAsia" w:ascii="仿宋_GB2312" w:hAnsi="仿宋_GB2312" w:eastAsia="仿宋_GB2312" w:cs="仿宋_GB2312"/>
          <w:color w:val="000000"/>
          <w:sz w:val="32"/>
          <w:u w:val="none"/>
        </w:rPr>
        <w:t>2026年5月</w:t>
      </w:r>
      <w:r>
        <w:rPr>
          <w:rFonts w:hint="eastAsia" w:ascii="仿宋_GB2312" w:hAnsi="仿宋_GB2312" w:eastAsia="仿宋_GB2312" w:cs="仿宋_GB2312"/>
          <w:color w:val="000000"/>
          <w:sz w:val="32"/>
          <w:u w:val="none"/>
          <w:lang w:val="en-US" w:eastAsia="zh-CN"/>
        </w:rPr>
        <w:t>22</w:t>
      </w:r>
      <w:r>
        <w:rPr>
          <w:rFonts w:hint="eastAsia" w:ascii="仿宋_GB2312" w:hAnsi="仿宋_GB2312" w:eastAsia="仿宋_GB2312" w:cs="仿宋_GB2312"/>
          <w:color w:val="000000"/>
          <w:sz w:val="32"/>
          <w:u w:val="none"/>
        </w:rPr>
        <w:t>日，经局领导</w:t>
      </w:r>
      <w:r>
        <w:rPr>
          <w:rFonts w:hint="eastAsia" w:ascii="仿宋_GB2312" w:hAnsi="仿宋_GB2312" w:eastAsia="仿宋_GB2312" w:cs="仿宋_GB2312"/>
          <w:color w:val="000000"/>
          <w:sz w:val="32"/>
          <w:u w:val="none"/>
          <w:lang w:val="en-US" w:eastAsia="zh-CN"/>
        </w:rPr>
        <w:t>批准对</w:t>
      </w:r>
      <w:r>
        <w:rPr>
          <w:rFonts w:hint="eastAsia" w:ascii="仿宋_GB2312" w:hAnsi="仿宋_GB2312" w:eastAsia="仿宋_GB2312" w:cs="仿宋_GB2312"/>
          <w:color w:val="000000"/>
          <w:sz w:val="32"/>
          <w:u w:val="none"/>
        </w:rPr>
        <w:t>当事人</w:t>
      </w:r>
      <w:bookmarkEnd w:id="9"/>
      <w:r>
        <w:rPr>
          <w:rFonts w:hint="eastAsia" w:ascii="仿宋_GB2312" w:hAnsi="仿宋_GB2312" w:eastAsia="仿宋_GB2312" w:cs="仿宋_GB2312"/>
          <w:color w:val="000000"/>
          <w:sz w:val="32"/>
          <w:u w:val="none"/>
          <w:lang w:val="en-US" w:eastAsia="zh-CN"/>
        </w:rPr>
        <w:t>涉嫌使用过期药品的行为进行立案调查。2026年6月5日，本局对当事人进行了询问调查，依法调取了相关证据材料并制作了询问笔录。</w:t>
      </w:r>
    </w:p>
    <w:p w14:paraId="5A0DD8A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 w:eastAsia="仿宋_GB2312"/>
          <w:color w:val="auto"/>
          <w:sz w:val="32"/>
          <w:szCs w:val="32"/>
          <w:highlight w:val="none"/>
          <w:lang w:val="en-US" w:eastAsia="zh-CN"/>
        </w:rPr>
      </w:pPr>
      <w:r>
        <w:rPr>
          <w:rFonts w:hint="eastAsia" w:ascii="仿宋_GB2312" w:hAnsi="仿宋_GB2312" w:eastAsia="仿宋_GB2312" w:cs="仿宋_GB2312"/>
          <w:b w:val="0"/>
          <w:bCs w:val="0"/>
          <w:color w:val="000000"/>
          <w:sz w:val="32"/>
          <w:szCs w:val="32"/>
          <w:u w:val="none"/>
          <w:lang w:val="en-US" w:eastAsia="zh-CN"/>
        </w:rPr>
        <w:t>经查，当事人</w:t>
      </w:r>
      <w:r>
        <w:rPr>
          <w:rFonts w:hint="eastAsia" w:ascii="仿宋_GB2312" w:hAnsi="宋体" w:eastAsia="仿宋_GB2312"/>
          <w:color w:val="000000"/>
          <w:sz w:val="32"/>
          <w:szCs w:val="32"/>
          <w:highlight w:val="none"/>
          <w:u w:val="none"/>
          <w:lang w:eastAsia="zh-CN"/>
        </w:rPr>
        <w:t>于</w:t>
      </w:r>
      <w:r>
        <w:rPr>
          <w:rFonts w:hint="eastAsia" w:ascii="仿宋_GB2312" w:hAnsi="宋体" w:eastAsia="仿宋_GB2312"/>
          <w:color w:val="000000"/>
          <w:sz w:val="32"/>
          <w:szCs w:val="32"/>
          <w:highlight w:val="none"/>
          <w:u w:val="none"/>
          <w:lang w:val="en-US" w:eastAsia="zh-CN"/>
        </w:rPr>
        <w:t>2020年07月31日注册了</w:t>
      </w:r>
      <w:r>
        <w:rPr>
          <w:rFonts w:hint="eastAsia" w:ascii="仿宋_GB2312" w:hAnsi="宋体" w:eastAsia="仿宋_GB2312"/>
          <w:color w:val="000000"/>
          <w:sz w:val="32"/>
          <w:szCs w:val="32"/>
          <w:highlight w:val="none"/>
          <w:u w:val="none"/>
        </w:rPr>
        <w:t>《营业执照》</w:t>
      </w:r>
      <w:r>
        <w:rPr>
          <w:rFonts w:hint="eastAsia" w:ascii="仿宋_GB2312" w:hAnsi="宋体" w:eastAsia="仿宋_GB2312"/>
          <w:color w:val="000000"/>
          <w:sz w:val="32"/>
          <w:szCs w:val="32"/>
          <w:highlight w:val="none"/>
          <w:u w:val="none"/>
          <w:lang w:eastAsia="zh-CN"/>
        </w:rPr>
        <w:t>，并于</w:t>
      </w:r>
      <w:r>
        <w:rPr>
          <w:rFonts w:hint="eastAsia" w:ascii="仿宋_GB2312" w:hAnsi="宋体" w:eastAsia="仿宋_GB2312"/>
          <w:color w:val="000000"/>
          <w:sz w:val="32"/>
          <w:szCs w:val="32"/>
          <w:highlight w:val="none"/>
          <w:u w:val="none"/>
          <w:lang w:val="en-US" w:eastAsia="zh-CN"/>
        </w:rPr>
        <w:t>2023年10月16日取得</w:t>
      </w:r>
      <w:r>
        <w:rPr>
          <w:rFonts w:hint="eastAsia" w:ascii="仿宋_GB2312" w:hAnsi="宋体" w:eastAsia="仿宋_GB2312"/>
          <w:color w:val="000000"/>
          <w:sz w:val="32"/>
          <w:szCs w:val="32"/>
          <w:highlight w:val="none"/>
          <w:u w:val="none"/>
        </w:rPr>
        <w:t>《</w:t>
      </w:r>
      <w:r>
        <w:rPr>
          <w:rFonts w:hint="eastAsia" w:ascii="仿宋_GB2312" w:hAnsi="宋体" w:eastAsia="仿宋_GB2312"/>
          <w:color w:val="000000"/>
          <w:sz w:val="32"/>
          <w:szCs w:val="32"/>
          <w:highlight w:val="none"/>
          <w:u w:val="none"/>
          <w:lang w:val="en-US" w:eastAsia="zh-CN"/>
        </w:rPr>
        <w:t>诊所备案凭证》后在</w:t>
      </w:r>
      <w:r>
        <w:rPr>
          <w:rFonts w:hint="eastAsia" w:ascii="仿宋_GB2312" w:hAnsi="Times New Roman" w:eastAsia="仿宋_GB2312" w:cs="仿宋_GB2312"/>
          <w:color w:val="000000"/>
          <w:sz w:val="32"/>
          <w:u w:val="none"/>
        </w:rPr>
        <w:t>广西柳州市融水县融水镇高领新区</w:t>
      </w:r>
      <w:r>
        <w:rPr>
          <w:rFonts w:hint="eastAsia" w:ascii="仿宋_GB2312" w:hAnsi="Times New Roman" w:eastAsia="仿宋_GB2312" w:cs="仿宋_GB2312"/>
          <w:color w:val="000000"/>
          <w:sz w:val="32"/>
          <w:u w:val="none"/>
          <w:lang w:val="en-US" w:eastAsia="zh-CN"/>
        </w:rPr>
        <w:t>******</w:t>
      </w:r>
      <w:bookmarkStart w:id="17" w:name="_GoBack"/>
      <w:bookmarkEnd w:id="17"/>
      <w:r>
        <w:rPr>
          <w:rFonts w:hint="eastAsia" w:ascii="仿宋_GB2312" w:hAnsi="Times New Roman" w:eastAsia="仿宋_GB2312" w:cs="仿宋_GB2312"/>
          <w:color w:val="000000"/>
          <w:sz w:val="32"/>
          <w:u w:val="none"/>
          <w:lang w:val="en-US" w:eastAsia="zh-CN"/>
        </w:rPr>
        <w:t>开展经营活动，经营范围：一般项目：诊疗服务；食品销售（仅销售预包装食品）；化妆品零售；保健食品（预包装）销售（除依法须经批准的项目外，凭营业执照依法自主开展经营活动）。</w:t>
      </w:r>
      <w:r>
        <w:rPr>
          <w:rFonts w:hint="eastAsia" w:ascii="仿宋_GB2312" w:hAnsi="仿宋" w:eastAsia="仿宋_GB2312"/>
          <w:color w:val="000000"/>
          <w:sz w:val="32"/>
          <w:szCs w:val="32"/>
          <w:highlight w:val="none"/>
          <w:u w:val="none"/>
        </w:rPr>
        <w:t>202</w:t>
      </w:r>
      <w:r>
        <w:rPr>
          <w:rFonts w:hint="eastAsia" w:ascii="仿宋_GB2312" w:hAnsi="仿宋" w:eastAsia="仿宋_GB2312"/>
          <w:color w:val="000000"/>
          <w:sz w:val="32"/>
          <w:szCs w:val="32"/>
          <w:highlight w:val="none"/>
          <w:u w:val="none"/>
          <w:lang w:val="en-US" w:eastAsia="zh-CN"/>
        </w:rPr>
        <w:t>6</w:t>
      </w:r>
      <w:r>
        <w:rPr>
          <w:rFonts w:hint="eastAsia" w:ascii="仿宋_GB2312" w:hAnsi="仿宋" w:eastAsia="仿宋_GB2312"/>
          <w:color w:val="000000"/>
          <w:sz w:val="32"/>
          <w:szCs w:val="32"/>
          <w:highlight w:val="none"/>
          <w:u w:val="none"/>
        </w:rPr>
        <w:t>年</w:t>
      </w:r>
      <w:r>
        <w:rPr>
          <w:rFonts w:hint="eastAsia" w:ascii="仿宋_GB2312" w:hAnsi="仿宋" w:eastAsia="仿宋_GB2312"/>
          <w:color w:val="000000"/>
          <w:sz w:val="32"/>
          <w:szCs w:val="32"/>
          <w:highlight w:val="none"/>
          <w:u w:val="none"/>
          <w:lang w:val="en-US" w:eastAsia="zh-CN"/>
        </w:rPr>
        <w:t>5</w:t>
      </w:r>
      <w:r>
        <w:rPr>
          <w:rFonts w:hint="eastAsia" w:ascii="仿宋_GB2312" w:hAnsi="仿宋" w:eastAsia="仿宋_GB2312"/>
          <w:color w:val="000000"/>
          <w:sz w:val="32"/>
          <w:szCs w:val="32"/>
          <w:highlight w:val="none"/>
          <w:u w:val="none"/>
        </w:rPr>
        <w:t>月</w:t>
      </w:r>
      <w:r>
        <w:rPr>
          <w:rFonts w:hint="eastAsia" w:ascii="仿宋_GB2312" w:hAnsi="仿宋" w:eastAsia="仿宋_GB2312"/>
          <w:color w:val="000000"/>
          <w:sz w:val="32"/>
          <w:szCs w:val="32"/>
          <w:highlight w:val="none"/>
          <w:u w:val="none"/>
          <w:lang w:val="en-US" w:eastAsia="zh-CN"/>
        </w:rPr>
        <w:t>19</w:t>
      </w:r>
      <w:r>
        <w:rPr>
          <w:rFonts w:hint="eastAsia" w:ascii="仿宋_GB2312" w:hAnsi="仿宋" w:eastAsia="仿宋_GB2312"/>
          <w:color w:val="000000"/>
          <w:sz w:val="32"/>
          <w:szCs w:val="32"/>
          <w:highlight w:val="none"/>
          <w:u w:val="none"/>
        </w:rPr>
        <w:t>日</w:t>
      </w:r>
      <w:r>
        <w:rPr>
          <w:rFonts w:hint="eastAsia" w:ascii="仿宋_GB2312" w:hAnsi="仿宋" w:eastAsia="仿宋_GB2312"/>
          <w:color w:val="000000"/>
          <w:sz w:val="32"/>
          <w:szCs w:val="32"/>
          <w:highlight w:val="none"/>
          <w:u w:val="none"/>
          <w:lang w:val="en-US" w:eastAsia="zh-CN"/>
        </w:rPr>
        <w:t>下午，我局执法人员分别在当事人二楼药品存放柜和地面上的箱子里发现：1.复方陈香胃片（国药准字Z51021833，产品批号：230302，生产日期2023年03月03日，有效期至2026年03月02日）共10盒；2.奥硝唑片（国药准字H20133070，产品批号：230202，生产日期2023年02月07日，有效期至2025年02月06日）共10盒；3.消炎止咳片（国药准字Z20055065，产品批号,240403，生产日期2024年04月14日，有效期至2026/03 127）共20盒；4.阿莫西林颗粒（国药准字H14023836，产品批号：230107，生产日期2023年01月19日，有效期至2025年01月18日）共10盒；5.健胃消食片（国药准字Z20054705，产品批号：230703，生产日期2023年07月30日，有效期至2025年06月）共9盒；6.葡萄糖酸锌片（国药准字H10880053,产品批号：231002，生产日期2023年10月29日，有效期至2025年09月）共5盒；7.防芷鼻炎片（国药准字Z44021571，产品批号：2302004，生产日期2023年02月26日，有效期至2025年02月25日）共5盒；8.罗红霉素胶囊（国药准字H19990361，产品批号,42032210，生产日期2024年02月26日，有效期至2026年01月）共5盒；9.午时茶颗粒（国药准字Z42020531，产品批号：20240503，生产日期2024年05月06日，有效期至2026年05月05日）共7袋；10.复方氯己定含漱液（国药准字H20064218，产品批号：240402，生产日期2024年04月07日，有效期至2026年03月）共17瓶；11.头孢呋辛酯颗粒（国药准字H20080770，产品批号：FX23081701，生产日期2023年08月17日，有效期至2025.08.16）共6盒。以上共计11种药品均超过有效期，且当事人药品存放柜未设立不合格区，过期药品与未过期药品混放在一起，无“停用”标识。</w:t>
      </w:r>
    </w:p>
    <w:p w14:paraId="12ED372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 w:eastAsia="仿宋_GB2312"/>
          <w:color w:val="auto"/>
          <w:sz w:val="32"/>
          <w:szCs w:val="32"/>
          <w:highlight w:val="none"/>
          <w:lang w:val="en-US" w:eastAsia="zh-CN"/>
        </w:rPr>
      </w:pPr>
      <w:r>
        <w:rPr>
          <w:rFonts w:hint="eastAsia" w:ascii="仿宋_GB2312" w:hAnsi="仿宋" w:eastAsia="仿宋_GB2312"/>
          <w:color w:val="000000"/>
          <w:sz w:val="32"/>
          <w:szCs w:val="32"/>
          <w:highlight w:val="none"/>
          <w:u w:val="none"/>
          <w:lang w:val="en-US" w:eastAsia="zh-CN"/>
        </w:rPr>
        <w:t>经核实，当事人使用的药品：1.复方陈香胃片（国药准字Z51021833，产品批号：230302，生产日期2023年03月03日，有效期至2026年03月02日）于2024年2月25日从四川欣佳能达医药有限公司购进了30盒，购进单价为9.16元/盒,平时的收费价格为10.00元/盒；2.奥硝唑片（国药准字H20133070，产品批号：230202，生产日期2023年02月07日，有效期至2025年02月06日）于2024年8月11日从四川欣佳能达医药有限公司购进了10盒，购进单价为5.381元/盒,收费价格为7.00元/盒；3.消炎止咳片（国药准字Z20055065，产品批号,240403，生产日期2024年04月14日，有效期至2026/03 127）于2024年6月21日从四川欣佳能达医药有限公司购进了50盒，购进单价1.75元/盒,收费价格为3.00元/盒；4.阿莫西林颗粒（国药准字H14023836，产品批号：230107，生产日期2023年01月19日，有效期至2025年01月18日）于2023年12月12日年从四川欣佳能达医药有限公司购进了20盒,购进单价0.009元/盒,收费价格为5.00元/盒；5.健胃消食片（国药准字Z20054705，产品批号：230703，生产日期2023年07月30日，有效期至2025年06月）于2023年10月25日购进了20盒，购进单价2.9755元/盒,收费价格为5.00元/盒；6.葡萄糖酸锌片（国药准字H10880053,产品批号：231002，生产日期2023年10月29日，有效期至2025年09月）于2025年2月28日从崇州欣佳能达医药有限公司购进了30盒，购进单价为0.10元/盒,收费价格为5.00元/盒；7.防芷鼻炎片（国药准字Z44021571，产品批号：2302004，生产日期2023年02月26日，有效期至2025年02月25日）于2023年10月25日从四川佳欣能达医药有限公司购进了30盒，购进单价3.9313元/盒,收费价格为5.00元/盒；8.罗红霉素胶囊（国药准字H19990361，产品批号,42032210，生产日期2024年02月26日，有效期至2026年01月）于2024年7月15日从广西金夫康医药有限公司购进了50盒，购进单价11.00元/盒,收费价格为13.00元/盒；9.午时茶颗粒（国药准字Z42020531，产品批号：20240503，生产日期2024年05月06日，有效期至2026年05月05日）于2024年9月10日从四川欣佳能达医药有限公司购进了30包，购进单价5.823元/包，收费价格为7.00元/包；10.复方氯己定含漱液（国药准字H20064218，产品批号：240402，生产日期2024年04月07日，有效期至2026年03月）于2024年11月05日从广西集琦医药有限责任公司购进了21盒，购进单价为12.00元/盒,收费价格为14.00元/盒；11.头孢呋辛酯颗粒（国药准字H20080770，产品批号：FX23081701，生产日期2023年08月17日，有效期至2025.08.16）于2024年09月30日从四川欣佳能达医药有限公司购进了20盒，购进单价为6.009元/盒,收费价格为7.00元/盒。因当事人未做药品使用记录和门诊日志，导致涉案过期药品在过期后的实际流向无法查清，违法所得无法计算，执法人员以现场检查发现的药品的收费单价的总和769.00元认定为该案涉案货值金额，该案无违法所得。</w:t>
      </w:r>
    </w:p>
    <w:p w14:paraId="367DCA9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hAnsi="Times New Roman" w:eastAsia="仿宋_GB2312" w:cs="仿宋_GB2312"/>
          <w:b w:val="0"/>
          <w:bCs w:val="0"/>
          <w:sz w:val="32"/>
          <w:szCs w:val="32"/>
          <w:highlight w:val="none"/>
        </w:rPr>
      </w:pPr>
      <w:r>
        <w:rPr>
          <w:rFonts w:hint="eastAsia" w:ascii="仿宋_GB2312" w:hAnsi="仿宋_GB2312" w:eastAsia="仿宋_GB2312" w:cs="仿宋_GB2312"/>
          <w:b w:val="0"/>
          <w:bCs w:val="0"/>
          <w:color w:val="000000"/>
          <w:sz w:val="32"/>
          <w:szCs w:val="32"/>
          <w:highlight w:val="none"/>
          <w:u w:val="none"/>
        </w:rPr>
        <w:t>上述事实，主要有以下证据证明：</w:t>
      </w:r>
    </w:p>
    <w:p w14:paraId="4DAA418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仿宋_GB2312"/>
          <w:sz w:val="32"/>
          <w:highlight w:val="none"/>
          <w:u w:val="none"/>
          <w:lang w:val="en-US" w:eastAsia="zh-CN"/>
        </w:rPr>
      </w:pPr>
      <w:bookmarkStart w:id="10" w:name="CALCULATE—ZJCL—tajCltjes_zjclxx"/>
      <w:r>
        <w:rPr>
          <w:rFonts w:hint="eastAsia" w:ascii="Times New Roman" w:hAnsi="Times New Roman" w:eastAsia="仿宋_GB2312" w:cs="仿宋_GB2312"/>
          <w:color w:val="000000"/>
          <w:sz w:val="32"/>
          <w:highlight w:val="none"/>
          <w:u w:val="none"/>
          <w:lang w:val="en-US" w:eastAsia="zh-CN"/>
        </w:rPr>
        <w:t>1.</w:t>
      </w:r>
      <w:r>
        <w:rPr>
          <w:rFonts w:hint="eastAsia" w:ascii="Times New Roman" w:hAnsi="Times New Roman" w:eastAsia="仿宋_GB2312" w:cs="仿宋_GB2312"/>
          <w:color w:val="000000"/>
          <w:sz w:val="32"/>
          <w:highlight w:val="none"/>
          <w:u w:val="none"/>
        </w:rPr>
        <w:t>《行政检查审批表》及《行政检查通知书》，证明执法人员依法开展检查的事实</w:t>
      </w:r>
      <w:r>
        <w:rPr>
          <w:rFonts w:hint="eastAsia" w:ascii="Times New Roman" w:hAnsi="Times New Roman" w:eastAsia="仿宋_GB2312" w:cs="仿宋_GB2312"/>
          <w:color w:val="000000"/>
          <w:sz w:val="32"/>
          <w:highlight w:val="none"/>
          <w:u w:val="none"/>
          <w:lang w:val="en-US" w:eastAsia="zh-CN"/>
        </w:rPr>
        <w:t>;</w:t>
      </w:r>
    </w:p>
    <w:p w14:paraId="50B651C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仿宋_GB2312"/>
          <w:sz w:val="32"/>
          <w:highlight w:val="none"/>
          <w:u w:val="none"/>
          <w:lang w:val="en-US" w:eastAsia="zh-CN"/>
        </w:rPr>
      </w:pPr>
      <w:r>
        <w:rPr>
          <w:rFonts w:hint="eastAsia" w:ascii="Times New Roman" w:hAnsi="Times New Roman" w:eastAsia="仿宋_GB2312" w:cs="仿宋_GB2312"/>
          <w:color w:val="000000"/>
          <w:sz w:val="32"/>
          <w:highlight w:val="none"/>
          <w:u w:val="none"/>
          <w:lang w:val="en-US" w:eastAsia="zh-CN"/>
        </w:rPr>
        <w:t>2.</w:t>
      </w:r>
      <w:r>
        <w:rPr>
          <w:rFonts w:hint="eastAsia" w:ascii="Times New Roman" w:hAnsi="Times New Roman" w:eastAsia="仿宋_GB2312" w:cs="仿宋_GB2312"/>
          <w:color w:val="000000"/>
          <w:sz w:val="32"/>
          <w:highlight w:val="none"/>
          <w:u w:val="none"/>
        </w:rPr>
        <w:t>《送达地址确认书》，证明执法人员已告知当事人确认文书送达的地址和方式</w:t>
      </w:r>
      <w:r>
        <w:rPr>
          <w:rFonts w:hint="eastAsia" w:ascii="Times New Roman" w:hAnsi="Times New Roman" w:eastAsia="仿宋_GB2312" w:cs="仿宋_GB2312"/>
          <w:color w:val="000000"/>
          <w:sz w:val="32"/>
          <w:highlight w:val="none"/>
          <w:u w:val="none"/>
          <w:lang w:val="en-US" w:eastAsia="zh-CN"/>
        </w:rPr>
        <w:t>;</w:t>
      </w:r>
    </w:p>
    <w:p w14:paraId="279F49B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仿宋_GB2312"/>
          <w:sz w:val="32"/>
          <w:highlight w:val="none"/>
          <w:u w:val="none"/>
          <w:lang w:val="en-US" w:eastAsia="zh-CN"/>
        </w:rPr>
      </w:pPr>
      <w:r>
        <w:rPr>
          <w:rFonts w:hint="eastAsia" w:ascii="Times New Roman" w:hAnsi="Times New Roman" w:eastAsia="仿宋_GB2312" w:cs="仿宋_GB2312"/>
          <w:color w:val="000000"/>
          <w:sz w:val="32"/>
          <w:highlight w:val="none"/>
          <w:u w:val="none"/>
          <w:lang w:val="en-US" w:eastAsia="zh-CN"/>
        </w:rPr>
        <w:t>3.</w:t>
      </w:r>
      <w:r>
        <w:rPr>
          <w:rFonts w:hint="eastAsia" w:ascii="Times New Roman" w:hAnsi="Times New Roman" w:eastAsia="仿宋_GB2312" w:cs="仿宋_GB2312"/>
          <w:color w:val="000000"/>
          <w:sz w:val="32"/>
          <w:highlight w:val="none"/>
          <w:u w:val="none"/>
        </w:rPr>
        <w:t>《现场笔录》，证明执法人员在现场检查的事实</w:t>
      </w:r>
      <w:r>
        <w:rPr>
          <w:rFonts w:hint="eastAsia" w:ascii="Times New Roman" w:hAnsi="Times New Roman" w:eastAsia="仿宋_GB2312" w:cs="仿宋_GB2312"/>
          <w:color w:val="000000"/>
          <w:sz w:val="32"/>
          <w:highlight w:val="none"/>
          <w:u w:val="none"/>
          <w:lang w:val="en-US" w:eastAsia="zh-CN"/>
        </w:rPr>
        <w:t>;</w:t>
      </w:r>
    </w:p>
    <w:p w14:paraId="4A575DD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仿宋_GB2312"/>
          <w:sz w:val="32"/>
          <w:u w:val="none"/>
          <w:lang w:val="en-US" w:eastAsia="zh-CN"/>
        </w:rPr>
      </w:pPr>
      <w:r>
        <w:rPr>
          <w:rFonts w:hint="eastAsia" w:ascii="Times New Roman" w:hAnsi="Times New Roman" w:eastAsia="仿宋_GB2312" w:cs="仿宋_GB2312"/>
          <w:color w:val="000000"/>
          <w:sz w:val="32"/>
          <w:highlight w:val="none"/>
          <w:u w:val="none"/>
          <w:lang w:val="en-US" w:eastAsia="zh-CN"/>
        </w:rPr>
        <w:t>4.</w:t>
      </w:r>
      <w:r>
        <w:rPr>
          <w:rFonts w:hint="eastAsia" w:ascii="Times New Roman" w:hAnsi="Times New Roman" w:eastAsia="仿宋_GB2312" w:cs="仿宋_GB2312"/>
          <w:color w:val="000000"/>
          <w:sz w:val="32"/>
          <w:highlight w:val="none"/>
          <w:u w:val="none"/>
        </w:rPr>
        <w:t>《实施行政强制措施决定书》、《财物清单》以及《送达回证》，证明涉案药品的品种、数量以及《实施行政强制措施决定书》、《财物清单》已送达当事人的事实</w:t>
      </w:r>
      <w:r>
        <w:rPr>
          <w:rFonts w:hint="eastAsia" w:ascii="Times New Roman" w:hAnsi="Times New Roman" w:eastAsia="仿宋_GB2312" w:cs="仿宋_GB2312"/>
          <w:color w:val="000000"/>
          <w:sz w:val="32"/>
          <w:highlight w:val="none"/>
          <w:u w:val="none"/>
          <w:lang w:val="en-US" w:eastAsia="zh-CN"/>
        </w:rPr>
        <w:t>;</w:t>
      </w:r>
      <w:r>
        <w:rPr>
          <w:rFonts w:hint="eastAsia" w:ascii="Times New Roman" w:hAnsi="Times New Roman" w:eastAsia="仿宋_GB2312" w:cs="仿宋_GB2312"/>
          <w:color w:val="000000"/>
          <w:sz w:val="32"/>
          <w:highlight w:val="none"/>
          <w:u w:val="none"/>
        </w:rPr>
        <w:br w:type="textWrapping"/>
      </w:r>
      <w:r>
        <w:rPr>
          <w:rFonts w:hint="eastAsia" w:ascii="Times New Roman" w:hAnsi="Times New Roman" w:eastAsia="仿宋_GB2312" w:cs="仿宋_GB2312"/>
          <w:color w:val="000000"/>
          <w:sz w:val="32"/>
          <w:u w:val="none"/>
          <w:lang w:val="en-US" w:eastAsia="zh-CN"/>
        </w:rPr>
        <w:t xml:space="preserve">    5</w:t>
      </w:r>
      <w:r>
        <w:rPr>
          <w:rFonts w:hint="eastAsia" w:ascii="Times New Roman" w:hAnsi="Times New Roman" w:eastAsia="仿宋_GB2312" w:cs="仿宋_GB2312"/>
          <w:color w:val="000000"/>
          <w:sz w:val="32"/>
          <w:u w:val="none"/>
        </w:rPr>
        <w:t>.证据提取单（当事人《营业执照》、《诊所备案凭证》），证明当事人的主体资质</w:t>
      </w:r>
      <w:r>
        <w:rPr>
          <w:rFonts w:hint="eastAsia" w:ascii="Times New Roman" w:hAnsi="Times New Roman" w:eastAsia="仿宋_GB2312" w:cs="仿宋_GB2312"/>
          <w:color w:val="000000"/>
          <w:sz w:val="32"/>
          <w:u w:val="none"/>
          <w:lang w:val="en-US" w:eastAsia="zh-CN"/>
        </w:rPr>
        <w:t>;</w:t>
      </w:r>
    </w:p>
    <w:p w14:paraId="508FDA3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仿宋_GB2312"/>
          <w:sz w:val="32"/>
          <w:u w:val="none"/>
          <w:lang w:val="en-US" w:eastAsia="zh-CN"/>
        </w:rPr>
      </w:pPr>
      <w:r>
        <w:rPr>
          <w:rFonts w:hint="eastAsia" w:ascii="Times New Roman" w:hAnsi="Times New Roman" w:eastAsia="仿宋_GB2312" w:cs="仿宋_GB2312"/>
          <w:color w:val="000000"/>
          <w:sz w:val="32"/>
          <w:u w:val="none"/>
          <w:lang w:val="en-US" w:eastAsia="zh-CN"/>
        </w:rPr>
        <w:t>6.负责人周志昇</w:t>
      </w:r>
      <w:r>
        <w:rPr>
          <w:rFonts w:hint="eastAsia" w:ascii="Times New Roman" w:hAnsi="Times New Roman" w:eastAsia="仿宋_GB2312" w:cs="仿宋_GB2312"/>
          <w:color w:val="000000"/>
          <w:sz w:val="32"/>
          <w:u w:val="none"/>
          <w:lang w:eastAsia="zh-CN"/>
        </w:rPr>
        <w:t>《</w:t>
      </w:r>
      <w:r>
        <w:rPr>
          <w:rFonts w:hint="eastAsia" w:ascii="Times New Roman" w:hAnsi="Times New Roman" w:eastAsia="仿宋_GB2312" w:cs="仿宋_GB2312"/>
          <w:color w:val="000000"/>
          <w:sz w:val="32"/>
          <w:u w:val="none"/>
        </w:rPr>
        <w:t>居民身份证</w:t>
      </w:r>
      <w:r>
        <w:rPr>
          <w:rFonts w:hint="eastAsia" w:ascii="Times New Roman" w:hAnsi="Times New Roman" w:eastAsia="仿宋_GB2312" w:cs="仿宋_GB2312"/>
          <w:color w:val="000000"/>
          <w:sz w:val="32"/>
          <w:u w:val="none"/>
          <w:lang w:eastAsia="zh-CN"/>
        </w:rPr>
        <w:t>》</w:t>
      </w:r>
      <w:r>
        <w:rPr>
          <w:rFonts w:hint="eastAsia" w:ascii="Times New Roman" w:hAnsi="Times New Roman" w:eastAsia="仿宋_GB2312" w:cs="仿宋_GB2312"/>
          <w:color w:val="000000"/>
          <w:sz w:val="32"/>
          <w:u w:val="none"/>
        </w:rPr>
        <w:t>复印件，证明</w:t>
      </w:r>
      <w:r>
        <w:rPr>
          <w:rFonts w:hint="eastAsia" w:ascii="Times New Roman" w:hAnsi="Times New Roman" w:eastAsia="仿宋_GB2312" w:cs="仿宋_GB2312"/>
          <w:color w:val="000000"/>
          <w:sz w:val="32"/>
          <w:u w:val="none"/>
          <w:lang w:val="en-US" w:eastAsia="zh-CN"/>
        </w:rPr>
        <w:t>负责人</w:t>
      </w:r>
      <w:r>
        <w:rPr>
          <w:rFonts w:hint="eastAsia" w:ascii="Times New Roman" w:hAnsi="Times New Roman" w:eastAsia="仿宋_GB2312" w:cs="仿宋_GB2312"/>
          <w:color w:val="000000"/>
          <w:sz w:val="32"/>
          <w:u w:val="none"/>
        </w:rPr>
        <w:t>周志昇的合法身份信息</w:t>
      </w:r>
      <w:r>
        <w:rPr>
          <w:rFonts w:hint="eastAsia" w:ascii="Times New Roman" w:hAnsi="Times New Roman" w:eastAsia="仿宋_GB2312" w:cs="仿宋_GB2312"/>
          <w:color w:val="000000"/>
          <w:sz w:val="32"/>
          <w:u w:val="none"/>
          <w:lang w:val="en-US" w:eastAsia="zh-CN"/>
        </w:rPr>
        <w:t>;</w:t>
      </w:r>
    </w:p>
    <w:p w14:paraId="5F494A3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仿宋_GB2312"/>
          <w:sz w:val="32"/>
          <w:u w:val="none"/>
          <w:lang w:eastAsia="zh-CN"/>
        </w:rPr>
      </w:pPr>
      <w:r>
        <w:rPr>
          <w:rFonts w:hint="eastAsia" w:ascii="Times New Roman" w:hAnsi="Times New Roman" w:eastAsia="仿宋_GB2312" w:cs="仿宋_GB2312"/>
          <w:color w:val="000000"/>
          <w:sz w:val="32"/>
          <w:u w:val="none"/>
          <w:lang w:val="en-US" w:eastAsia="zh-CN"/>
        </w:rPr>
        <w:t>7.</w:t>
      </w:r>
      <w:r>
        <w:rPr>
          <w:rFonts w:hint="eastAsia" w:ascii="Times New Roman" w:hAnsi="Times New Roman" w:eastAsia="仿宋_GB2312" w:cs="仿宋_GB2312"/>
          <w:color w:val="000000"/>
          <w:sz w:val="32"/>
          <w:u w:val="none"/>
        </w:rPr>
        <w:t>证据提取单（现场检查照片），证明执法人员现场检查发现涉案药品的事实</w:t>
      </w:r>
      <w:r>
        <w:rPr>
          <w:rFonts w:hint="eastAsia" w:ascii="Times New Roman" w:hAnsi="Times New Roman" w:eastAsia="仿宋_GB2312" w:cs="仿宋_GB2312"/>
          <w:color w:val="000000"/>
          <w:sz w:val="32"/>
          <w:u w:val="none"/>
          <w:lang w:eastAsia="zh-CN"/>
        </w:rPr>
        <w:t>；</w:t>
      </w:r>
    </w:p>
    <w:p w14:paraId="4B57308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仿宋_GB2312"/>
          <w:sz w:val="32"/>
          <w:u w:val="none"/>
          <w:lang w:eastAsia="zh-CN"/>
        </w:rPr>
      </w:pPr>
      <w:r>
        <w:rPr>
          <w:rFonts w:hint="eastAsia" w:ascii="Times New Roman" w:hAnsi="Times New Roman" w:eastAsia="仿宋_GB2312" w:cs="仿宋_GB2312"/>
          <w:color w:val="000000"/>
          <w:sz w:val="32"/>
          <w:u w:val="none"/>
          <w:lang w:val="en-US" w:eastAsia="zh-CN"/>
        </w:rPr>
        <w:t>8.</w:t>
      </w:r>
      <w:r>
        <w:rPr>
          <w:rFonts w:hint="eastAsia" w:ascii="Times New Roman" w:hAnsi="Times New Roman" w:eastAsia="仿宋_GB2312" w:cs="仿宋_GB2312"/>
          <w:color w:val="000000"/>
          <w:sz w:val="32"/>
          <w:u w:val="none"/>
        </w:rPr>
        <w:t>证据提取单（涉案药品图片），证明涉案药品的信息</w:t>
      </w:r>
      <w:r>
        <w:rPr>
          <w:rFonts w:hint="eastAsia" w:ascii="Times New Roman" w:hAnsi="Times New Roman" w:eastAsia="仿宋_GB2312" w:cs="仿宋_GB2312"/>
          <w:color w:val="000000"/>
          <w:sz w:val="32"/>
          <w:u w:val="none"/>
          <w:lang w:eastAsia="zh-CN"/>
        </w:rPr>
        <w:t>；</w:t>
      </w:r>
    </w:p>
    <w:p w14:paraId="1D5935B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仿宋_GB2312"/>
          <w:sz w:val="32"/>
          <w:u w:val="none"/>
          <w:lang w:eastAsia="zh-CN"/>
        </w:rPr>
      </w:pPr>
      <w:r>
        <w:rPr>
          <w:rFonts w:hint="eastAsia" w:ascii="Times New Roman" w:hAnsi="Times New Roman" w:eastAsia="仿宋_GB2312" w:cs="仿宋_GB2312"/>
          <w:color w:val="000000"/>
          <w:sz w:val="32"/>
          <w:u w:val="none"/>
          <w:lang w:val="en-US" w:eastAsia="zh-CN"/>
        </w:rPr>
        <w:t>9.</w:t>
      </w:r>
      <w:r>
        <w:rPr>
          <w:rFonts w:hint="eastAsia" w:ascii="Times New Roman" w:hAnsi="Times New Roman" w:eastAsia="仿宋_GB2312" w:cs="仿宋_GB2312"/>
          <w:color w:val="000000"/>
          <w:sz w:val="32"/>
          <w:u w:val="none"/>
        </w:rPr>
        <w:t>涉案药品的进货票据，证明涉案药品的进货来源</w:t>
      </w:r>
      <w:r>
        <w:rPr>
          <w:rFonts w:hint="eastAsia" w:ascii="Times New Roman" w:hAnsi="Times New Roman" w:eastAsia="仿宋_GB2312" w:cs="仿宋_GB2312"/>
          <w:color w:val="000000"/>
          <w:sz w:val="32"/>
          <w:u w:val="none"/>
          <w:lang w:eastAsia="zh-CN"/>
        </w:rPr>
        <w:t>；</w:t>
      </w:r>
    </w:p>
    <w:p w14:paraId="31F92AB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仿宋_GB2312"/>
          <w:sz w:val="32"/>
          <w:u w:val="none"/>
          <w:lang w:eastAsia="zh-CN"/>
        </w:rPr>
      </w:pPr>
      <w:r>
        <w:rPr>
          <w:rFonts w:hint="eastAsia" w:ascii="Times New Roman" w:hAnsi="Times New Roman" w:eastAsia="仿宋_GB2312" w:cs="仿宋_GB2312"/>
          <w:color w:val="000000"/>
          <w:sz w:val="32"/>
          <w:u w:val="none"/>
        </w:rPr>
        <w:t>1</w:t>
      </w:r>
      <w:r>
        <w:rPr>
          <w:rFonts w:hint="eastAsia" w:ascii="Times New Roman" w:hAnsi="Times New Roman" w:eastAsia="仿宋_GB2312" w:cs="仿宋_GB2312"/>
          <w:color w:val="000000"/>
          <w:sz w:val="32"/>
          <w:u w:val="none"/>
          <w:lang w:val="en-US" w:eastAsia="zh-CN"/>
        </w:rPr>
        <w:t>0</w:t>
      </w:r>
      <w:r>
        <w:rPr>
          <w:rFonts w:hint="eastAsia" w:ascii="Times New Roman" w:hAnsi="Times New Roman" w:eastAsia="仿宋_GB2312" w:cs="仿宋_GB2312"/>
          <w:color w:val="000000"/>
          <w:sz w:val="32"/>
          <w:u w:val="none"/>
        </w:rPr>
        <w:t>.涉案药品的供货商</w:t>
      </w:r>
      <w:r>
        <w:rPr>
          <w:rFonts w:hint="eastAsia" w:ascii="Times New Roman" w:hAnsi="Times New Roman" w:eastAsia="仿宋_GB2312" w:cs="仿宋_GB2312"/>
          <w:color w:val="000000"/>
          <w:sz w:val="32"/>
          <w:u w:val="none"/>
          <w:lang w:val="en-US" w:eastAsia="zh-CN"/>
        </w:rPr>
        <w:t>材料复印件</w:t>
      </w:r>
      <w:r>
        <w:rPr>
          <w:rFonts w:hint="eastAsia" w:ascii="Times New Roman" w:hAnsi="Times New Roman" w:eastAsia="仿宋_GB2312" w:cs="仿宋_GB2312"/>
          <w:color w:val="000000"/>
          <w:sz w:val="32"/>
          <w:u w:val="none"/>
        </w:rPr>
        <w:t>，证明涉案药品的</w:t>
      </w:r>
      <w:r>
        <w:rPr>
          <w:rFonts w:hint="eastAsia" w:ascii="Times New Roman" w:hAnsi="Times New Roman" w:eastAsia="仿宋_GB2312" w:cs="仿宋_GB2312"/>
          <w:color w:val="000000"/>
          <w:sz w:val="32"/>
          <w:u w:val="none"/>
          <w:lang w:val="en-US" w:eastAsia="zh-CN"/>
        </w:rPr>
        <w:t>供货商资质</w:t>
      </w:r>
      <w:r>
        <w:rPr>
          <w:rFonts w:hint="eastAsia" w:ascii="Times New Roman" w:hAnsi="Times New Roman" w:eastAsia="仿宋_GB2312" w:cs="仿宋_GB2312"/>
          <w:color w:val="000000"/>
          <w:sz w:val="32"/>
          <w:u w:val="none"/>
          <w:lang w:eastAsia="zh-CN"/>
        </w:rPr>
        <w:t>；</w:t>
      </w:r>
    </w:p>
    <w:p w14:paraId="32F6EB8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仿宋_GB2312"/>
          <w:sz w:val="32"/>
          <w:u w:val="none"/>
          <w:lang w:eastAsia="zh-CN"/>
        </w:rPr>
      </w:pPr>
      <w:r>
        <w:rPr>
          <w:rFonts w:hint="eastAsia" w:ascii="Times New Roman" w:hAnsi="Times New Roman" w:eastAsia="仿宋_GB2312" w:cs="仿宋_GB2312"/>
          <w:color w:val="000000"/>
          <w:sz w:val="32"/>
          <w:u w:val="none"/>
          <w:lang w:val="en-US" w:eastAsia="zh-CN"/>
        </w:rPr>
        <w:t>11</w:t>
      </w:r>
      <w:r>
        <w:rPr>
          <w:rFonts w:hint="eastAsia" w:ascii="Times New Roman" w:hAnsi="Times New Roman" w:eastAsia="仿宋_GB2312" w:cs="仿宋_GB2312"/>
          <w:color w:val="000000"/>
          <w:sz w:val="32"/>
          <w:u w:val="none"/>
        </w:rPr>
        <w:t>.《询问笔录》，证明当事人的违法事实以及涉案货值金额</w:t>
      </w:r>
      <w:r>
        <w:rPr>
          <w:rFonts w:hint="eastAsia" w:ascii="Times New Roman" w:hAnsi="Times New Roman" w:eastAsia="仿宋_GB2312" w:cs="仿宋_GB2312"/>
          <w:color w:val="000000"/>
          <w:sz w:val="32"/>
          <w:u w:val="none"/>
          <w:lang w:eastAsia="zh-CN"/>
        </w:rPr>
        <w:t>；</w:t>
      </w:r>
    </w:p>
    <w:p w14:paraId="6D1A77B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仿宋_GB2312"/>
          <w:sz w:val="32"/>
          <w:u w:val="none"/>
          <w:lang w:val="en-US" w:eastAsia="zh-CN"/>
        </w:rPr>
      </w:pPr>
      <w:r>
        <w:rPr>
          <w:rFonts w:hint="eastAsia" w:ascii="Times New Roman" w:hAnsi="Times New Roman" w:eastAsia="仿宋_GB2312" w:cs="仿宋_GB2312"/>
          <w:color w:val="000000"/>
          <w:sz w:val="32"/>
          <w:u w:val="none"/>
          <w:lang w:val="en-US" w:eastAsia="zh-CN"/>
        </w:rPr>
        <w:t>12.《行政处罚案件有关事项审批表》，证明执法人员对该案无违法所得的认定。</w:t>
      </w:r>
      <w:bookmarkEnd w:id="10"/>
    </w:p>
    <w:p w14:paraId="04AA3F9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仿宋_GB2312"/>
          <w:sz w:val="32"/>
          <w:u w:val="none"/>
          <w:lang w:val="en-US" w:eastAsia="zh-CN"/>
        </w:rPr>
      </w:pPr>
      <w:r>
        <w:rPr>
          <w:rFonts w:hint="eastAsia" w:ascii="Times New Roman" w:hAnsi="Times New Roman" w:eastAsia="仿宋_GB2312" w:cs="仿宋_GB2312"/>
          <w:color w:val="000000"/>
          <w:sz w:val="32"/>
          <w:u w:val="none"/>
          <w:lang w:val="en-US" w:eastAsia="zh-CN"/>
        </w:rPr>
        <w:t>以上证据和笔录均由相关人员签字认可。</w:t>
      </w:r>
    </w:p>
    <w:p w14:paraId="6C89420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sz w:val="32"/>
          <w:u w:val="none"/>
          <w:lang w:val="en-US" w:eastAsia="zh-CN"/>
        </w:rPr>
      </w:pPr>
      <w:r>
        <w:rPr>
          <w:rFonts w:hint="eastAsia" w:ascii="仿宋_GB2312" w:hAnsi="仿宋_GB2312" w:eastAsia="仿宋_GB2312" w:cs="仿宋_GB2312"/>
          <w:color w:val="000000"/>
          <w:sz w:val="32"/>
          <w:u w:val="none"/>
          <w:lang w:val="en-US" w:eastAsia="zh-CN"/>
        </w:rPr>
        <w:t>2026年6月26日，</w:t>
      </w:r>
      <w:r>
        <w:rPr>
          <w:rFonts w:hint="eastAsia" w:ascii="Times New Roman" w:hAnsi="Times New Roman" w:eastAsia="仿宋_GB2312" w:cs="仿宋_GB2312"/>
          <w:color w:val="000000"/>
          <w:sz w:val="32"/>
          <w:u w:val="none"/>
          <w:lang w:val="en-US" w:eastAsia="zh-CN"/>
        </w:rPr>
        <w:t>本局执法人员向当事人送达了本案《行政处罚告知书》（融水市监罚告</w:t>
      </w:r>
      <w:r>
        <w:rPr>
          <w:rFonts w:hint="eastAsia" w:ascii="仿宋_GB2312" w:hAnsi="仿宋_GB2312" w:eastAsia="仿宋_GB2312" w:cs="仿宋_GB2312"/>
          <w:color w:val="000000"/>
          <w:sz w:val="32"/>
          <w:u w:val="none"/>
          <w:lang w:val="en-US" w:eastAsia="zh-CN"/>
        </w:rPr>
        <w:t>〔2026〕110号），当事人在法定期限内未提出任何陈述、申辩要求。</w:t>
      </w:r>
    </w:p>
    <w:p w14:paraId="3C99B48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仿宋_GB2312" w:cs="仿宋_GB2312"/>
          <w:sz w:val="32"/>
          <w:szCs w:val="32"/>
          <w:u w:val="single"/>
        </w:rPr>
      </w:pPr>
      <w:bookmarkStart w:id="11" w:name="CALCULATE—WFFLFGXX—tAjCfes_cWfflfg—1"/>
      <w:r>
        <w:rPr>
          <w:rFonts w:hint="eastAsia" w:ascii="仿宋_GB2312" w:hAnsi="Times New Roman" w:eastAsia="仿宋_GB2312" w:cs="仿宋_GB2312"/>
          <w:color w:val="000000"/>
          <w:sz w:val="32"/>
          <w:u w:val="none"/>
          <w:lang w:val="en-US" w:eastAsia="zh-CN"/>
        </w:rPr>
        <w:t>本局认为，当事人使用的药品超过有效期，违反了</w:t>
      </w:r>
      <w:r>
        <w:rPr>
          <w:rFonts w:hint="eastAsia" w:ascii="仿宋_GB2312" w:hAnsi="Times New Roman" w:eastAsia="仿宋_GB2312" w:cs="仿宋_GB2312"/>
          <w:color w:val="000000"/>
          <w:sz w:val="32"/>
          <w:u w:val="none"/>
        </w:rPr>
        <w:t>《中华人民共和国药品管理法（2019修订）》第九十八条第一款</w:t>
      </w:r>
      <w:r>
        <w:rPr>
          <w:rFonts w:hint="eastAsia" w:ascii="仿宋_GB2312" w:hAnsi="Times New Roman" w:eastAsia="仿宋_GB2312" w:cs="仿宋_GB2312"/>
          <w:color w:val="000000"/>
          <w:sz w:val="32"/>
          <w:u w:val="none"/>
          <w:lang w:eastAsia="zh-CN"/>
        </w:rPr>
        <w:t>“</w:t>
      </w:r>
      <w:r>
        <w:rPr>
          <w:rFonts w:hint="eastAsia" w:ascii="仿宋_GB2312" w:hAnsi="Times New Roman" w:eastAsia="仿宋_GB2312" w:cs="仿宋_GB2312"/>
          <w:color w:val="000000"/>
          <w:sz w:val="32"/>
          <w:u w:val="none"/>
        </w:rPr>
        <w:t>禁止生产（包括配制，下同）、销售、使用假药、劣药</w:t>
      </w:r>
      <w:r>
        <w:rPr>
          <w:rFonts w:hint="eastAsia" w:ascii="仿宋_GB2312" w:hAnsi="Times New Roman" w:eastAsia="仿宋_GB2312" w:cs="仿宋_GB2312"/>
          <w:color w:val="000000"/>
          <w:sz w:val="32"/>
          <w:u w:val="none"/>
          <w:lang w:eastAsia="zh-CN"/>
        </w:rPr>
        <w:t>”</w:t>
      </w:r>
      <w:r>
        <w:rPr>
          <w:rFonts w:hint="eastAsia" w:ascii="仿宋_GB2312" w:hAnsi="Times New Roman" w:eastAsia="仿宋_GB2312" w:cs="仿宋_GB2312"/>
          <w:color w:val="000000"/>
          <w:sz w:val="32"/>
          <w:u w:val="none"/>
          <w:lang w:val="en-US" w:eastAsia="zh-CN"/>
        </w:rPr>
        <w:t>和</w:t>
      </w:r>
      <w:r>
        <w:rPr>
          <w:rFonts w:hint="eastAsia" w:ascii="仿宋_GB2312" w:hAnsi="Times New Roman" w:eastAsia="仿宋_GB2312" w:cs="仿宋_GB2312"/>
          <w:color w:val="000000"/>
          <w:sz w:val="32"/>
          <w:u w:val="none"/>
        </w:rPr>
        <w:t>《中华人民共和国药品管理法（2019修订）》第九十八条第三款第五项</w:t>
      </w:r>
      <w:r>
        <w:rPr>
          <w:rFonts w:hint="eastAsia" w:ascii="仿宋_GB2312" w:hAnsi="Times New Roman" w:eastAsia="仿宋_GB2312" w:cs="仿宋_GB2312"/>
          <w:color w:val="000000"/>
          <w:sz w:val="32"/>
          <w:u w:val="none"/>
          <w:lang w:eastAsia="zh-CN"/>
        </w:rPr>
        <w:t>“</w:t>
      </w:r>
      <w:r>
        <w:rPr>
          <w:rFonts w:hint="eastAsia" w:ascii="仿宋_GB2312" w:hAnsi="Times New Roman" w:eastAsia="仿宋_GB2312" w:cs="仿宋_GB2312"/>
          <w:color w:val="000000"/>
          <w:sz w:val="32"/>
          <w:u w:val="none"/>
        </w:rPr>
        <w:t>有下列情形之一的，为劣药：（五）超过有效期的药品</w:t>
      </w:r>
      <w:bookmarkEnd w:id="11"/>
      <w:r>
        <w:rPr>
          <w:rFonts w:hint="eastAsia" w:ascii="仿宋_GB2312" w:hAnsi="Times New Roman" w:eastAsia="仿宋_GB2312" w:cs="仿宋_GB2312"/>
          <w:color w:val="000000"/>
          <w:sz w:val="32"/>
          <w:u w:val="none"/>
          <w:lang w:eastAsia="zh-CN"/>
        </w:rPr>
        <w:t>”</w:t>
      </w:r>
      <w:r>
        <w:rPr>
          <w:rFonts w:hint="eastAsia" w:ascii="仿宋_GB2312" w:hAnsi="Times New Roman" w:eastAsia="仿宋_GB2312" w:cs="仿宋_GB2312"/>
          <w:color w:val="000000"/>
          <w:sz w:val="32"/>
          <w:u w:val="none"/>
          <w:lang w:val="en-US" w:eastAsia="zh-CN"/>
        </w:rPr>
        <w:t>的规定，构成了使用劣药的违法行为。</w:t>
      </w:r>
      <w:r>
        <w:rPr>
          <w:rFonts w:hint="eastAsia" w:ascii="仿宋_GB2312" w:hAnsi="Times New Roman" w:eastAsia="仿宋_GB2312" w:cs="仿宋_GB2312"/>
          <w:color w:val="000000"/>
          <w:sz w:val="32"/>
          <w:szCs w:val="32"/>
          <w:u w:val="none"/>
        </w:rPr>
        <w:t xml:space="preserve">                              </w:t>
      </w:r>
    </w:p>
    <w:p w14:paraId="3D3E7E5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u w:val="none"/>
        </w:rPr>
      </w:pPr>
      <w:bookmarkStart w:id="12" w:name="CALCULATE—AJCF—tAjCfes_cZyclsshly"/>
      <w:r>
        <w:rPr>
          <w:rFonts w:hint="eastAsia" w:ascii="Times New Roman" w:hAnsi="Times New Roman" w:eastAsia="仿宋_GB2312" w:cs="仿宋_GB2312"/>
          <w:color w:val="000000"/>
          <w:sz w:val="32"/>
          <w:u w:val="none"/>
          <w:lang w:val="en-US" w:eastAsia="zh-CN"/>
        </w:rPr>
        <w:t>鉴于</w:t>
      </w:r>
      <w:r>
        <w:rPr>
          <w:rFonts w:hint="eastAsia" w:ascii="Times New Roman" w:hAnsi="Times New Roman" w:eastAsia="仿宋_GB2312" w:cs="仿宋_GB2312"/>
          <w:color w:val="000000"/>
          <w:sz w:val="32"/>
          <w:u w:val="none"/>
        </w:rPr>
        <w:t>当事人在案件调查过程中能积极配合执法人员调查，如实交代违法事实并主动提供证据材料，依据《</w:t>
      </w:r>
      <w:r>
        <w:rPr>
          <w:rFonts w:hint="eastAsia" w:ascii="Times New Roman" w:hAnsi="Times New Roman" w:eastAsia="仿宋_GB2312" w:cs="仿宋_GB2312"/>
          <w:color w:val="000000"/>
          <w:sz w:val="32"/>
          <w:u w:val="none"/>
          <w:lang w:val="en-US" w:eastAsia="zh-CN"/>
        </w:rPr>
        <w:t>药品监督管理行政处罚裁量适用规则</w:t>
      </w:r>
      <w:r>
        <w:rPr>
          <w:rFonts w:hint="eastAsia" w:ascii="Times New Roman" w:hAnsi="Times New Roman" w:eastAsia="仿宋_GB2312" w:cs="仿宋_GB2312"/>
          <w:color w:val="000000"/>
          <w:sz w:val="32"/>
          <w:u w:val="none"/>
        </w:rPr>
        <w:t>》第十</w:t>
      </w:r>
      <w:r>
        <w:rPr>
          <w:rFonts w:hint="eastAsia" w:ascii="Times New Roman" w:hAnsi="Times New Roman" w:eastAsia="仿宋_GB2312" w:cs="仿宋_GB2312"/>
          <w:color w:val="000000"/>
          <w:sz w:val="32"/>
          <w:u w:val="none"/>
          <w:lang w:val="en-US" w:eastAsia="zh-CN"/>
        </w:rPr>
        <w:t>一</w:t>
      </w:r>
      <w:r>
        <w:rPr>
          <w:rFonts w:hint="eastAsia" w:ascii="Times New Roman" w:hAnsi="Times New Roman" w:eastAsia="仿宋_GB2312" w:cs="仿宋_GB2312"/>
          <w:color w:val="000000"/>
          <w:sz w:val="32"/>
          <w:u w:val="none"/>
        </w:rPr>
        <w:t>条</w:t>
      </w:r>
      <w:r>
        <w:rPr>
          <w:rFonts w:hint="eastAsia" w:ascii="Times New Roman" w:hAnsi="Times New Roman" w:eastAsia="仿宋_GB2312" w:cs="仿宋_GB2312"/>
          <w:color w:val="000000"/>
          <w:sz w:val="32"/>
          <w:u w:val="none"/>
          <w:lang w:val="en-US" w:eastAsia="zh-CN"/>
        </w:rPr>
        <w:t>第一款</w:t>
      </w:r>
      <w:r>
        <w:rPr>
          <w:rFonts w:hint="eastAsia" w:ascii="Times New Roman" w:hAnsi="Times New Roman" w:eastAsia="仿宋_GB2312" w:cs="仿宋_GB2312"/>
          <w:color w:val="000000"/>
          <w:sz w:val="32"/>
          <w:u w:val="none"/>
        </w:rPr>
        <w:t>第（二）项</w:t>
      </w:r>
      <w:r>
        <w:rPr>
          <w:rFonts w:hint="eastAsia" w:ascii="仿宋_GB2312" w:hAnsi="仿宋_GB2312" w:eastAsia="仿宋_GB2312" w:cs="仿宋_GB2312"/>
          <w:color w:val="000000"/>
          <w:sz w:val="32"/>
          <w:u w:val="none"/>
        </w:rPr>
        <w:t>“有下列情形之一，可以依法从轻或者减轻行政处罚：（二）</w:t>
      </w:r>
      <w:r>
        <w:rPr>
          <w:rFonts w:hint="eastAsia" w:ascii="仿宋_GB2312" w:hAnsi="仿宋_GB2312" w:eastAsia="仿宋_GB2312" w:cs="仿宋_GB2312"/>
          <w:color w:val="000000"/>
          <w:sz w:val="32"/>
          <w:szCs w:val="40"/>
          <w:u w:val="none"/>
        </w:rPr>
        <w:t>积极配合药品监督管理部门调查并主动提供证据材料的</w:t>
      </w:r>
      <w:r>
        <w:rPr>
          <w:rFonts w:hint="eastAsia" w:ascii="仿宋_GB2312" w:hAnsi="仿宋_GB2312" w:eastAsia="仿宋_GB2312" w:cs="仿宋_GB2312"/>
          <w:color w:val="000000"/>
          <w:sz w:val="32"/>
          <w:szCs w:val="40"/>
          <w:u w:val="none"/>
          <w:lang w:eastAsia="zh-CN"/>
        </w:rPr>
        <w:t>；</w:t>
      </w:r>
      <w:r>
        <w:rPr>
          <w:rFonts w:hint="eastAsia" w:ascii="仿宋_GB2312" w:hAnsi="仿宋_GB2312" w:eastAsia="仿宋_GB2312" w:cs="仿宋_GB2312"/>
          <w:color w:val="000000"/>
          <w:sz w:val="32"/>
          <w:u w:val="none"/>
        </w:rPr>
        <w:t>”规定，当事人符合减轻行政处罚的情形。</w:t>
      </w:r>
      <w:bookmarkEnd w:id="12"/>
    </w:p>
    <w:p w14:paraId="5BD45EF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sz w:val="32"/>
          <w:u w:val="none"/>
          <w:lang w:val="en-US" w:eastAsia="zh-CN"/>
        </w:rPr>
      </w:pPr>
      <w:bookmarkStart w:id="13" w:name="CALCULATE—WFFLFGXX—tAjCfes_cCfyj"/>
      <w:r>
        <w:rPr>
          <w:rFonts w:hint="eastAsia" w:ascii="仿宋_GB2312" w:hAnsi="Times New Roman" w:eastAsia="仿宋_GB2312" w:cs="仿宋_GB2312"/>
          <w:color w:val="000000"/>
          <w:sz w:val="32"/>
          <w:u w:val="none"/>
          <w:lang w:val="en-US" w:eastAsia="zh-CN"/>
        </w:rPr>
        <w:t>当事人使用劣药的行为，应依据</w:t>
      </w:r>
      <w:r>
        <w:rPr>
          <w:rFonts w:hint="eastAsia" w:ascii="仿宋_GB2312" w:hAnsi="Times New Roman" w:eastAsia="仿宋_GB2312" w:cs="仿宋_GB2312"/>
          <w:color w:val="000000"/>
          <w:sz w:val="32"/>
          <w:u w:val="none"/>
        </w:rPr>
        <w:t>《中华人民共和国药品管理法（2019修订）》第一百一十七条第一款</w:t>
      </w:r>
      <w:r>
        <w:rPr>
          <w:rFonts w:hint="eastAsia" w:ascii="仿宋_GB2312" w:hAnsi="Times New Roman" w:eastAsia="仿宋_GB2312" w:cs="仿宋_GB2312"/>
          <w:color w:val="000000"/>
          <w:sz w:val="32"/>
          <w:u w:val="none"/>
          <w:lang w:eastAsia="zh-CN"/>
        </w:rPr>
        <w:t>“</w:t>
      </w:r>
      <w:r>
        <w:rPr>
          <w:rFonts w:hint="eastAsia" w:ascii="仿宋_GB2312" w:hAnsi="Times New Roman" w:eastAsia="仿宋_GB2312" w:cs="仿宋_GB2312"/>
          <w:color w:val="000000"/>
          <w:sz w:val="32"/>
          <w:u w:val="none"/>
        </w:rPr>
        <w:t>生产、销售劣药的，没收违法生产、销售的药品和违法所得，并处违法生产、销售的药品货值金额十倍以上二十倍以下的罚款；违法生产、批发的药品货值金额不足十万元的，按十万元计算，违法零售的药品货值金额不足一万元的，按一万元计算；情节严重的，责令停产停业整顿直至吊销药品批准证明文件、药品生产许可证、药品经营许可证或者医疗机构制剂许可证</w:t>
      </w:r>
      <w:bookmarkEnd w:id="13"/>
      <w:r>
        <w:rPr>
          <w:rFonts w:hint="eastAsia" w:ascii="仿宋_GB2312" w:hAnsi="Times New Roman" w:eastAsia="仿宋_GB2312" w:cs="仿宋_GB2312"/>
          <w:color w:val="000000"/>
          <w:sz w:val="32"/>
          <w:u w:val="none"/>
          <w:lang w:eastAsia="zh-CN"/>
        </w:rPr>
        <w:t>”</w:t>
      </w:r>
      <w:r>
        <w:rPr>
          <w:rFonts w:hint="eastAsia" w:ascii="仿宋_GB2312" w:hAnsi="Times New Roman" w:eastAsia="仿宋_GB2312" w:cs="仿宋_GB2312"/>
          <w:color w:val="000000"/>
          <w:sz w:val="32"/>
          <w:u w:val="none"/>
          <w:lang w:val="en-US" w:eastAsia="zh-CN"/>
        </w:rPr>
        <w:t>的规定予以处罚。结合当事人</w:t>
      </w:r>
      <w:r>
        <w:rPr>
          <w:rFonts w:hint="eastAsia" w:ascii="仿宋_GB2312" w:hAnsi="仿宋_GB2312" w:eastAsia="仿宋_GB2312" w:cs="仿宋_GB2312"/>
          <w:color w:val="000000"/>
          <w:sz w:val="32"/>
          <w:u w:val="none"/>
        </w:rPr>
        <w:t>符合减轻行政处罚的情形</w:t>
      </w:r>
      <w:r>
        <w:rPr>
          <w:rFonts w:hint="eastAsia" w:ascii="仿宋_GB2312" w:hAnsi="Times New Roman" w:eastAsia="仿宋_GB2312" w:cs="仿宋_GB2312"/>
          <w:color w:val="000000"/>
          <w:sz w:val="32"/>
          <w:u w:val="none"/>
          <w:lang w:val="en-US" w:eastAsia="zh-CN"/>
        </w:rPr>
        <w:t>，</w:t>
      </w:r>
      <w:r>
        <w:rPr>
          <w:rFonts w:hint="eastAsia" w:ascii="Times New Roman" w:hAnsi="Times New Roman" w:eastAsia="仿宋_GB2312" w:cs="仿宋_GB2312"/>
          <w:color w:val="000000"/>
          <w:sz w:val="32"/>
          <w:u w:val="none"/>
          <w:lang w:val="en-US" w:eastAsia="zh-CN"/>
        </w:rPr>
        <w:t>参照《广西壮族自治区药品监管行政处罚裁量基准（2026年修订版）》第四条第二款第（二）项“符合下列情形之一的，减轻行政处罚，处低于违法生产、销售的药品货值金额10倍的罚款：（二）符合裁量规则规定的减轻行政处罚情形之一的”规定的减轻处罚情形的裁量基准，本局责令当事人立即停止使用劣药的违法行为，并决定作出如下行政处罚：</w:t>
      </w:r>
      <w:bookmarkStart w:id="14" w:name="CALCULATE—AJCF—tAjCfes_cXzcfnr"/>
    </w:p>
    <w:p w14:paraId="46BD08F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eastAsia" w:ascii="仿宋_GB2312" w:hAnsi="Times New Roman" w:eastAsia="仿宋_GB2312" w:cs="仿宋_GB2312"/>
          <w:b/>
          <w:bCs/>
          <w:sz w:val="32"/>
          <w:u w:val="none"/>
          <w:lang w:eastAsia="zh-CN"/>
        </w:rPr>
      </w:pPr>
      <w:r>
        <w:rPr>
          <w:rFonts w:hint="eastAsia" w:ascii="仿宋_GB2312" w:hAnsi="Times New Roman" w:eastAsia="仿宋_GB2312" w:cs="仿宋_GB2312"/>
          <w:b/>
          <w:bCs/>
          <w:color w:val="000000"/>
          <w:sz w:val="32"/>
          <w:u w:val="none"/>
          <w:lang w:val="en-US" w:eastAsia="zh-CN"/>
        </w:rPr>
        <w:t>1.</w:t>
      </w:r>
      <w:r>
        <w:rPr>
          <w:rFonts w:hint="eastAsia" w:ascii="仿宋_GB2312" w:hAnsi="Times New Roman" w:eastAsia="仿宋_GB2312" w:cs="仿宋_GB2312"/>
          <w:b/>
          <w:bCs/>
          <w:color w:val="000000"/>
          <w:sz w:val="32"/>
          <w:u w:val="none"/>
        </w:rPr>
        <w:t>没收《财物清单》（文书编号：融水市监强制〔2026〕34号）的过期药品；</w:t>
      </w:r>
      <w:r>
        <w:rPr>
          <w:rFonts w:hint="eastAsia" w:ascii="仿宋_GB2312" w:hAnsi="Times New Roman" w:eastAsia="仿宋_GB2312" w:cs="仿宋_GB2312"/>
          <w:b/>
          <w:bCs/>
          <w:color w:val="000000"/>
          <w:sz w:val="32"/>
          <w:u w:val="none"/>
        </w:rPr>
        <w:br w:type="textWrapping"/>
      </w:r>
      <w:r>
        <w:rPr>
          <w:rFonts w:hint="eastAsia" w:ascii="仿宋_GB2312" w:hAnsi="Times New Roman" w:eastAsia="仿宋_GB2312" w:cs="仿宋_GB2312"/>
          <w:b/>
          <w:bCs/>
          <w:color w:val="000000"/>
          <w:sz w:val="32"/>
          <w:u w:val="none"/>
          <w:lang w:val="en-US" w:eastAsia="zh-CN"/>
        </w:rPr>
        <w:t xml:space="preserve">    </w:t>
      </w:r>
      <w:r>
        <w:rPr>
          <w:rFonts w:hint="eastAsia" w:ascii="仿宋_GB2312" w:hAnsi="Times New Roman" w:eastAsia="仿宋_GB2312" w:cs="仿宋_GB2312"/>
          <w:b/>
          <w:bCs/>
          <w:color w:val="000000"/>
          <w:sz w:val="32"/>
          <w:u w:val="none"/>
        </w:rPr>
        <w:t>2.罚款人民币</w:t>
      </w:r>
      <w:r>
        <w:rPr>
          <w:rFonts w:hint="eastAsia" w:ascii="仿宋_GB2312" w:hAnsi="Times New Roman" w:eastAsia="仿宋_GB2312" w:cs="仿宋_GB2312"/>
          <w:b/>
          <w:bCs/>
          <w:color w:val="000000"/>
          <w:sz w:val="32"/>
          <w:u w:val="none"/>
          <w:lang w:val="en-US" w:eastAsia="zh-CN"/>
        </w:rPr>
        <w:t>叁</w:t>
      </w:r>
      <w:r>
        <w:rPr>
          <w:rFonts w:hint="eastAsia" w:ascii="仿宋_GB2312" w:hAnsi="Times New Roman" w:eastAsia="仿宋_GB2312" w:cs="仿宋_GB2312"/>
          <w:b/>
          <w:bCs/>
          <w:color w:val="000000"/>
          <w:sz w:val="32"/>
          <w:u w:val="none"/>
        </w:rPr>
        <w:t>仟元整（￥3000.00元</w:t>
      </w:r>
      <w:bookmarkEnd w:id="14"/>
      <w:r>
        <w:rPr>
          <w:rFonts w:hint="eastAsia" w:ascii="仿宋_GB2312" w:hAnsi="Times New Roman" w:eastAsia="仿宋_GB2312" w:cs="仿宋_GB2312"/>
          <w:b/>
          <w:bCs/>
          <w:color w:val="000000"/>
          <w:sz w:val="32"/>
          <w:u w:val="none"/>
          <w:lang w:eastAsia="zh-CN"/>
        </w:rPr>
        <w:t>）。</w:t>
      </w:r>
    </w:p>
    <w:p w14:paraId="75666DE3">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b w:val="0"/>
          <w:bCs/>
          <w:color w:val="auto"/>
          <w:sz w:val="32"/>
          <w:szCs w:val="32"/>
          <w:u w:val="none" w:color="auto"/>
        </w:rPr>
      </w:pPr>
      <w:r>
        <w:rPr>
          <w:rFonts w:ascii="仿宋_GB2312" w:hAnsi="Times New Roman" w:eastAsia="仿宋_GB2312" w:cs="仿宋_GB2312"/>
          <w:b/>
          <w:bCs/>
          <w:color w:val="000000"/>
          <w:sz w:val="32"/>
          <w:szCs w:val="32"/>
          <w:u w:val="none"/>
        </w:rPr>
        <w:t xml:space="preserve">   </w:t>
      </w:r>
      <w:r>
        <w:rPr>
          <w:rFonts w:hint="eastAsia" w:ascii="仿宋_GB2312" w:hAnsi="Times New Roman" w:eastAsia="仿宋_GB2312" w:cs="仿宋_GB2312"/>
          <w:b/>
          <w:bCs/>
          <w:color w:val="000000"/>
          <w:sz w:val="32"/>
          <w:szCs w:val="32"/>
          <w:u w:val="none"/>
          <w:lang w:val="en-US" w:eastAsia="zh-CN"/>
        </w:rPr>
        <w:t xml:space="preserve"> </w:t>
      </w:r>
      <w:r>
        <w:rPr>
          <w:rFonts w:hint="eastAsia" w:ascii="仿宋_GB2312" w:hAnsi="仿宋_GB2312" w:eastAsia="仿宋_GB2312" w:cs="仿宋_GB2312"/>
          <w:b w:val="0"/>
          <w:bCs/>
          <w:color w:val="000000"/>
          <w:kern w:val="2"/>
          <w:sz w:val="32"/>
          <w:szCs w:val="32"/>
          <w:u w:val="none" w:color="auto"/>
          <w:lang w:val="en-US" w:eastAsia="zh-CN" w:bidi="ar-SA"/>
        </w:rPr>
        <w:t>当事人应当自收到本行政处罚决定之日起十五日内到融水苗族自治县市场监督管理局财务股开具《广西壮族自治区非税收入电子缴款通知书》，持此缴款通知书到相应银行缴纳罚款，到期不缴纳罚款的，依据《中华人民共和国行政处罚法》第</w:t>
      </w:r>
      <w:r>
        <w:rPr>
          <w:rFonts w:hint="eastAsia" w:ascii="仿宋_GB2312" w:hAnsi="仿宋_GB2312" w:eastAsia="仿宋_GB2312" w:cs="仿宋_GB2312"/>
          <w:b w:val="0"/>
          <w:bCs/>
          <w:color w:val="000000"/>
          <w:kern w:val="2"/>
          <w:sz w:val="32"/>
          <w:szCs w:val="32"/>
          <w:u w:val="none" w:color="auto"/>
          <w:lang w:val="en-US" w:eastAsia="zh-Hans" w:bidi="ar-SA"/>
        </w:rPr>
        <w:t>七十二</w:t>
      </w:r>
      <w:r>
        <w:rPr>
          <w:rFonts w:hint="eastAsia" w:ascii="仿宋_GB2312" w:hAnsi="仿宋_GB2312" w:eastAsia="仿宋_GB2312" w:cs="仿宋_GB2312"/>
          <w:b w:val="0"/>
          <w:bCs/>
          <w:color w:val="000000"/>
          <w:kern w:val="2"/>
          <w:sz w:val="32"/>
          <w:szCs w:val="32"/>
          <w:u w:val="none" w:color="auto"/>
          <w:lang w:val="en-US" w:eastAsia="zh-CN" w:bidi="ar-SA"/>
        </w:rPr>
        <w:t xml:space="preserve">条的规定，本局将每日按罚款数额的百分之三加处罚款，并依法申请人民法院强制执行。 </w:t>
      </w:r>
      <w:r>
        <w:rPr>
          <w:rFonts w:hint="eastAsia" w:ascii="仿宋_GB2312" w:hAnsi="仿宋_GB2312" w:eastAsia="仿宋_GB2312" w:cs="仿宋_GB2312"/>
          <w:b w:val="0"/>
          <w:bCs/>
          <w:color w:val="000000"/>
          <w:sz w:val="32"/>
          <w:szCs w:val="32"/>
          <w:u w:val="none" w:color="auto"/>
        </w:rPr>
        <w:t xml:space="preserve">                                                </w:t>
      </w:r>
    </w:p>
    <w:p w14:paraId="618F53A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color w:val="000000"/>
          <w:kern w:val="2"/>
          <w:sz w:val="32"/>
          <w:szCs w:val="32"/>
          <w:u w:val="none" w:color="auto"/>
          <w:lang w:val="en-US" w:eastAsia="zh-CN" w:bidi="ar-SA"/>
        </w:rPr>
      </w:pPr>
      <w:r>
        <w:rPr>
          <w:rFonts w:hint="eastAsia" w:ascii="仿宋_GB2312" w:hAnsi="仿宋_GB2312" w:eastAsia="仿宋_GB2312" w:cs="仿宋_GB2312"/>
          <w:b w:val="0"/>
          <w:bCs/>
          <w:color w:val="000000"/>
          <w:kern w:val="2"/>
          <w:sz w:val="32"/>
          <w:szCs w:val="32"/>
          <w:u w:val="none" w:color="auto"/>
          <w:lang w:val="en-US" w:eastAsia="zh-CN" w:bidi="ar-SA"/>
        </w:rPr>
        <w:t>当事人如不服本行政处罚决定，可以在收到本行政处罚决定书之日起六十日内向融水苗族自治县人民政府申请行政复议；也可以在六个月内依法向柳州市柳北区人民法院提起行政诉讼。申请行政复议或者提起行政诉讼期间，行政处罚不停止执行。</w:t>
      </w:r>
      <w:bookmarkStart w:id="15" w:name="DYNAMIC—DWXX—tAj_dwmc—2"/>
    </w:p>
    <w:p w14:paraId="488FEFCD">
      <w:pPr>
        <w:keepNext w:val="0"/>
        <w:keepLines w:val="0"/>
        <w:pageBreakBefore w:val="0"/>
        <w:widowControl w:val="0"/>
        <w:kinsoku/>
        <w:wordWrap/>
        <w:overflowPunct/>
        <w:topLinePunct w:val="0"/>
        <w:autoSpaceDE/>
        <w:autoSpaceDN/>
        <w:bidi w:val="0"/>
        <w:adjustRightInd/>
        <w:snapToGrid/>
        <w:spacing w:line="560" w:lineRule="exact"/>
        <w:ind w:right="640"/>
        <w:jc w:val="both"/>
        <w:textAlignment w:val="auto"/>
        <w:rPr>
          <w:rFonts w:hint="eastAsia" w:ascii="Times New Roman" w:hAnsi="Times New Roman" w:eastAsia="仿宋_GB2312" w:cs="仿宋"/>
          <w:color w:val="auto"/>
          <w:sz w:val="32"/>
        </w:rPr>
      </w:pPr>
    </w:p>
    <w:p w14:paraId="446A4F1B">
      <w:pPr>
        <w:spacing w:line="560" w:lineRule="exact"/>
        <w:ind w:right="640"/>
        <w:jc w:val="both"/>
        <w:rPr>
          <w:rFonts w:hint="eastAsia" w:ascii="Times New Roman" w:hAnsi="Times New Roman" w:eastAsia="仿宋_GB2312" w:cs="仿宋"/>
          <w:color w:val="auto"/>
          <w:sz w:val="32"/>
        </w:rPr>
      </w:pPr>
    </w:p>
    <w:p w14:paraId="29B163E1">
      <w:pPr>
        <w:spacing w:line="560" w:lineRule="exact"/>
        <w:ind w:right="640" w:firstLine="2880" w:firstLineChars="900"/>
        <w:jc w:val="both"/>
        <w:rPr>
          <w:rFonts w:ascii="Times New Roman" w:hAnsi="Times New Roman" w:eastAsia="仿宋_GB2312" w:cs="仿宋"/>
          <w:color w:val="auto"/>
          <w:sz w:val="32"/>
          <w:szCs w:val="32"/>
        </w:rPr>
      </w:pPr>
      <w:r>
        <w:rPr>
          <w:rFonts w:hint="eastAsia" w:ascii="Times New Roman" w:hAnsi="Times New Roman" w:eastAsia="仿宋_GB2312" w:cs="仿宋"/>
          <w:color w:val="000000"/>
          <w:sz w:val="32"/>
          <w:u w:val="none"/>
        </w:rPr>
        <w:t>融水苗族自治县市场监督管理局</w:t>
      </w:r>
      <w:bookmarkEnd w:id="15"/>
      <w:r>
        <w:rPr>
          <w:rFonts w:hint="eastAsia" w:ascii="Times New Roman" w:hAnsi="Times New Roman" w:eastAsia="仿宋_GB2312" w:cs="仿宋"/>
          <w:color w:val="000000"/>
          <w:sz w:val="32"/>
          <w:szCs w:val="32"/>
          <w:u w:val="none"/>
        </w:rPr>
        <w:t xml:space="preserve">    </w:t>
      </w:r>
    </w:p>
    <w:p w14:paraId="2D3FCF3E">
      <w:pPr>
        <w:keepNext w:val="0"/>
        <w:keepLines w:val="0"/>
        <w:pageBreakBefore w:val="0"/>
        <w:widowControl w:val="0"/>
        <w:kinsoku/>
        <w:wordWrap/>
        <w:overflowPunct/>
        <w:topLinePunct w:val="0"/>
        <w:autoSpaceDE/>
        <w:autoSpaceDN/>
        <w:bidi w:val="0"/>
        <w:adjustRightInd/>
        <w:snapToGrid/>
        <w:spacing w:line="560" w:lineRule="exact"/>
        <w:ind w:left="0" w:leftChars="0" w:right="630" w:rightChars="300" w:firstLine="600" w:firstLineChars="0"/>
        <w:jc w:val="center"/>
        <w:textAlignment w:val="auto"/>
        <w:outlineLvl w:val="9"/>
        <w:rPr>
          <w:rFonts w:hint="eastAsia" w:ascii="Times New Roman" w:hAnsi="Times New Roman" w:eastAsia="仿宋_GB2312" w:cs="仿宋_GB2312"/>
          <w:color w:val="auto"/>
          <w:sz w:val="32"/>
          <w:szCs w:val="32"/>
        </w:rPr>
      </w:pPr>
      <w:bookmarkStart w:id="16" w:name="CALCULATE—TIME—NOW"/>
      <w:r>
        <w:rPr>
          <w:rFonts w:ascii="仿宋_GB2312" w:hAnsi="仿宋_GB2312" w:eastAsia="仿宋_GB2312" w:cs="仿宋_GB2312"/>
          <w:sz w:val="32"/>
        </w:rPr>
        <w:t>2026年07月06日</w:t>
      </w:r>
      <w:bookmarkEnd w:id="16"/>
      <w:r>
        <w:rPr>
          <w:rFonts w:hint="eastAsia" w:ascii="Times New Roman" w:hAnsi="Times New Roman" w:eastAsia="仿宋_GB2312" w:cs="仿宋_GB2312"/>
          <w:color w:val="000000"/>
          <w:sz w:val="32"/>
          <w:szCs w:val="32"/>
          <w:u w:val="none"/>
        </w:rPr>
        <w:t xml:space="preserve"> </w:t>
      </w:r>
    </w:p>
    <w:p w14:paraId="465806A8">
      <w:pPr>
        <w:keepNext w:val="0"/>
        <w:keepLines w:val="0"/>
        <w:pageBreakBefore w:val="0"/>
        <w:widowControl w:val="0"/>
        <w:kinsoku/>
        <w:wordWrap/>
        <w:overflowPunct/>
        <w:topLinePunct w:val="0"/>
        <w:autoSpaceDE/>
        <w:autoSpaceDN/>
        <w:bidi w:val="0"/>
        <w:adjustRightInd/>
        <w:snapToGrid/>
        <w:spacing w:line="560" w:lineRule="exact"/>
        <w:ind w:left="0" w:leftChars="0" w:right="630" w:rightChars="300" w:firstLine="600" w:firstLineChars="0"/>
        <w:jc w:val="center"/>
        <w:textAlignment w:val="auto"/>
        <w:outlineLvl w:val="9"/>
        <w:rPr>
          <w:rFonts w:hint="eastAsia" w:ascii="Times New Roman" w:hAnsi="Times New Roman" w:eastAsia="仿宋_GB2312" w:cs="仿宋_GB2312"/>
          <w:color w:val="auto"/>
          <w:sz w:val="32"/>
          <w:szCs w:val="32"/>
        </w:rPr>
      </w:pPr>
    </w:p>
    <w:p w14:paraId="5DBE6802">
      <w:pPr>
        <w:keepNext w:val="0"/>
        <w:keepLines w:val="0"/>
        <w:pageBreakBefore w:val="0"/>
        <w:widowControl w:val="0"/>
        <w:kinsoku/>
        <w:wordWrap/>
        <w:overflowPunct/>
        <w:topLinePunct w:val="0"/>
        <w:autoSpaceDE/>
        <w:autoSpaceDN/>
        <w:bidi w:val="0"/>
        <w:adjustRightInd/>
        <w:snapToGrid/>
        <w:spacing w:line="560" w:lineRule="exact"/>
        <w:ind w:left="0" w:leftChars="0" w:right="630" w:rightChars="300" w:firstLine="600" w:firstLineChars="0"/>
        <w:jc w:val="center"/>
        <w:textAlignment w:val="auto"/>
        <w:outlineLvl w:val="9"/>
        <w:rPr>
          <w:rFonts w:hint="eastAsia" w:ascii="Times New Roman" w:hAnsi="Times New Roman" w:eastAsia="仿宋_GB2312" w:cs="仿宋_GB2312"/>
          <w:color w:val="auto"/>
          <w:sz w:val="32"/>
          <w:szCs w:val="32"/>
        </w:rPr>
      </w:pPr>
    </w:p>
    <w:p w14:paraId="15B04961">
      <w:pPr>
        <w:keepNext w:val="0"/>
        <w:keepLines w:val="0"/>
        <w:pageBreakBefore w:val="0"/>
        <w:widowControl w:val="0"/>
        <w:kinsoku/>
        <w:wordWrap/>
        <w:overflowPunct/>
        <w:topLinePunct w:val="0"/>
        <w:autoSpaceDE/>
        <w:autoSpaceDN/>
        <w:bidi w:val="0"/>
        <w:adjustRightInd/>
        <w:snapToGrid/>
        <w:spacing w:line="560" w:lineRule="exact"/>
        <w:ind w:left="0" w:leftChars="0" w:right="630" w:rightChars="300" w:firstLine="600" w:firstLineChars="0"/>
        <w:jc w:val="center"/>
        <w:textAlignment w:val="auto"/>
        <w:outlineLvl w:val="9"/>
        <w:rPr>
          <w:rFonts w:hint="eastAsia" w:ascii="Times New Roman" w:hAnsi="Times New Roman" w:eastAsia="仿宋_GB2312" w:cs="仿宋_GB2312"/>
          <w:color w:val="auto"/>
          <w:sz w:val="32"/>
          <w:szCs w:val="32"/>
        </w:rPr>
      </w:pPr>
    </w:p>
    <w:p w14:paraId="620ADE83">
      <w:pPr>
        <w:keepNext w:val="0"/>
        <w:keepLines w:val="0"/>
        <w:pageBreakBefore w:val="0"/>
        <w:widowControl w:val="0"/>
        <w:kinsoku/>
        <w:wordWrap/>
        <w:overflowPunct/>
        <w:topLinePunct w:val="0"/>
        <w:autoSpaceDE/>
        <w:autoSpaceDN/>
        <w:bidi w:val="0"/>
        <w:adjustRightInd/>
        <w:snapToGrid/>
        <w:spacing w:line="560" w:lineRule="exact"/>
        <w:ind w:left="0" w:leftChars="0" w:right="630" w:rightChars="300" w:firstLine="600" w:firstLineChars="0"/>
        <w:jc w:val="center"/>
        <w:textAlignment w:val="auto"/>
        <w:outlineLvl w:val="9"/>
        <w:rPr>
          <w:rFonts w:hint="eastAsia" w:ascii="Times New Roman" w:hAnsi="Times New Roman" w:eastAsia="仿宋_GB2312" w:cs="仿宋_GB2312"/>
          <w:color w:val="auto"/>
          <w:sz w:val="32"/>
          <w:szCs w:val="32"/>
        </w:rPr>
      </w:pPr>
    </w:p>
    <w:p w14:paraId="70ECFCCC">
      <w:pPr>
        <w:keepNext w:val="0"/>
        <w:keepLines w:val="0"/>
        <w:pageBreakBefore w:val="0"/>
        <w:widowControl w:val="0"/>
        <w:kinsoku/>
        <w:wordWrap/>
        <w:overflowPunct/>
        <w:topLinePunct w:val="0"/>
        <w:autoSpaceDE/>
        <w:autoSpaceDN/>
        <w:bidi w:val="0"/>
        <w:adjustRightInd/>
        <w:snapToGrid/>
        <w:spacing w:line="560" w:lineRule="exact"/>
        <w:ind w:left="0" w:leftChars="0" w:right="630" w:rightChars="300" w:firstLine="600" w:firstLineChars="0"/>
        <w:jc w:val="center"/>
        <w:textAlignment w:val="auto"/>
        <w:outlineLvl w:val="9"/>
        <w:rPr>
          <w:rFonts w:hint="eastAsia" w:ascii="Times New Roman" w:hAnsi="Times New Roman" w:eastAsia="仿宋_GB2312" w:cs="仿宋_GB2312"/>
          <w:color w:val="auto"/>
          <w:sz w:val="32"/>
          <w:szCs w:val="32"/>
        </w:rPr>
      </w:pPr>
    </w:p>
    <w:p w14:paraId="19C1F3F4">
      <w:pPr>
        <w:keepNext w:val="0"/>
        <w:keepLines w:val="0"/>
        <w:pageBreakBefore w:val="0"/>
        <w:widowControl w:val="0"/>
        <w:kinsoku/>
        <w:wordWrap/>
        <w:overflowPunct/>
        <w:topLinePunct w:val="0"/>
        <w:autoSpaceDE/>
        <w:autoSpaceDN/>
        <w:bidi w:val="0"/>
        <w:adjustRightInd/>
        <w:snapToGrid/>
        <w:spacing w:line="560" w:lineRule="exact"/>
        <w:ind w:right="630" w:rightChars="300"/>
        <w:jc w:val="both"/>
        <w:textAlignment w:val="auto"/>
        <w:outlineLvl w:val="9"/>
        <w:rPr>
          <w:rFonts w:ascii="Times New Roman" w:hAnsi="Times New Roman" w:eastAsia="仿宋_GB2312" w:cs="Mongolian Baiti"/>
          <w:color w:val="auto"/>
          <w:sz w:val="32"/>
          <w:szCs w:val="32"/>
        </w:rPr>
      </w:pPr>
    </w:p>
    <w:p w14:paraId="1AABB5BC">
      <w:pPr>
        <w:keepNext w:val="0"/>
        <w:keepLines w:val="0"/>
        <w:pageBreakBefore w:val="0"/>
        <w:widowControl w:val="0"/>
        <w:kinsoku/>
        <w:wordWrap/>
        <w:overflowPunct/>
        <w:topLinePunct w:val="0"/>
        <w:autoSpaceDE/>
        <w:autoSpaceDN/>
        <w:bidi w:val="0"/>
        <w:adjustRightInd/>
        <w:snapToGrid/>
        <w:spacing w:line="560" w:lineRule="exact"/>
        <w:ind w:right="630" w:rightChars="300"/>
        <w:jc w:val="both"/>
        <w:textAlignment w:val="auto"/>
        <w:outlineLvl w:val="9"/>
        <w:rPr>
          <w:rFonts w:ascii="Times New Roman" w:hAnsi="Times New Roman" w:eastAsia="仿宋_GB2312" w:cs="Mongolian Baiti"/>
          <w:color w:val="auto"/>
          <w:sz w:val="32"/>
          <w:szCs w:val="32"/>
        </w:rPr>
      </w:pPr>
    </w:p>
    <w:p w14:paraId="39DB51DC">
      <w:pPr>
        <w:keepNext w:val="0"/>
        <w:keepLines w:val="0"/>
        <w:pageBreakBefore w:val="0"/>
        <w:widowControl w:val="0"/>
        <w:kinsoku/>
        <w:wordWrap/>
        <w:overflowPunct/>
        <w:topLinePunct w:val="0"/>
        <w:autoSpaceDE/>
        <w:autoSpaceDN/>
        <w:bidi w:val="0"/>
        <w:adjustRightInd/>
        <w:snapToGrid/>
        <w:spacing w:line="560" w:lineRule="exact"/>
        <w:ind w:right="630" w:rightChars="300"/>
        <w:jc w:val="both"/>
        <w:textAlignment w:val="auto"/>
        <w:outlineLvl w:val="9"/>
        <w:rPr>
          <w:rFonts w:ascii="Times New Roman" w:hAnsi="Times New Roman" w:eastAsia="仿宋_GB2312" w:cs="Mongolian Baiti"/>
          <w:color w:val="auto"/>
          <w:sz w:val="32"/>
          <w:szCs w:val="32"/>
        </w:rPr>
      </w:pPr>
    </w:p>
    <w:p w14:paraId="59F33381">
      <w:pPr>
        <w:keepNext w:val="0"/>
        <w:keepLines w:val="0"/>
        <w:pageBreakBefore w:val="0"/>
        <w:widowControl w:val="0"/>
        <w:kinsoku/>
        <w:wordWrap/>
        <w:overflowPunct/>
        <w:topLinePunct w:val="0"/>
        <w:autoSpaceDE/>
        <w:autoSpaceDN/>
        <w:bidi w:val="0"/>
        <w:adjustRightInd/>
        <w:snapToGrid/>
        <w:spacing w:line="560" w:lineRule="exact"/>
        <w:ind w:right="630" w:rightChars="300"/>
        <w:jc w:val="both"/>
        <w:textAlignment w:val="auto"/>
        <w:outlineLvl w:val="9"/>
        <w:rPr>
          <w:rFonts w:ascii="Times New Roman" w:hAnsi="Times New Roman" w:eastAsia="仿宋_GB2312" w:cs="Mongolian Baiti"/>
          <w:color w:val="auto"/>
          <w:sz w:val="32"/>
          <w:szCs w:val="32"/>
        </w:rPr>
      </w:pPr>
    </w:p>
    <w:p w14:paraId="4868DA3E">
      <w:pPr>
        <w:keepNext w:val="0"/>
        <w:keepLines w:val="0"/>
        <w:pageBreakBefore w:val="0"/>
        <w:widowControl w:val="0"/>
        <w:kinsoku/>
        <w:wordWrap/>
        <w:overflowPunct/>
        <w:topLinePunct w:val="0"/>
        <w:autoSpaceDE/>
        <w:autoSpaceDN/>
        <w:bidi w:val="0"/>
        <w:adjustRightInd/>
        <w:snapToGrid/>
        <w:spacing w:line="560" w:lineRule="exact"/>
        <w:ind w:right="630" w:rightChars="300"/>
        <w:jc w:val="both"/>
        <w:textAlignment w:val="auto"/>
        <w:outlineLvl w:val="9"/>
        <w:rPr>
          <w:rFonts w:ascii="Times New Roman" w:hAnsi="Times New Roman" w:eastAsia="仿宋_GB2312" w:cs="Mongolian Baiti"/>
          <w:color w:val="auto"/>
          <w:sz w:val="32"/>
          <w:szCs w:val="32"/>
        </w:rPr>
      </w:pPr>
    </w:p>
    <w:p w14:paraId="337FB037">
      <w:pPr>
        <w:keepNext w:val="0"/>
        <w:keepLines w:val="0"/>
        <w:pageBreakBefore w:val="0"/>
        <w:widowControl w:val="0"/>
        <w:kinsoku/>
        <w:wordWrap/>
        <w:overflowPunct/>
        <w:topLinePunct w:val="0"/>
        <w:autoSpaceDE/>
        <w:autoSpaceDN/>
        <w:bidi w:val="0"/>
        <w:adjustRightInd/>
        <w:snapToGrid/>
        <w:spacing w:line="560" w:lineRule="exact"/>
        <w:ind w:right="630" w:rightChars="300"/>
        <w:jc w:val="both"/>
        <w:textAlignment w:val="auto"/>
        <w:outlineLvl w:val="9"/>
        <w:rPr>
          <w:rFonts w:ascii="Times New Roman" w:hAnsi="Times New Roman" w:eastAsia="仿宋_GB2312" w:cs="Mongolian Baiti"/>
          <w:color w:val="auto"/>
          <w:sz w:val="32"/>
          <w:szCs w:val="32"/>
        </w:rPr>
      </w:pPr>
    </w:p>
    <w:p w14:paraId="0FE93227">
      <w:pPr>
        <w:pStyle w:val="3"/>
        <w:spacing w:before="1"/>
        <w:ind w:left="163"/>
        <w:jc w:val="center"/>
        <w:rPr>
          <w:rFonts w:ascii="Times New Roman" w:hAnsi="Times New Roman" w:eastAsia="仿宋_GB2312" w:cs="仿宋"/>
          <w:bCs/>
          <w:color w:val="auto"/>
          <w:sz w:val="44"/>
          <w:szCs w:val="44"/>
        </w:rPr>
      </w:pPr>
      <w:r>
        <w:rPr>
          <w:rFonts w:ascii="Times New Roman" w:hAnsi="Times New Roman" w:eastAsia="仿宋_GB2312"/>
          <w:color w:val="000000"/>
          <w:sz w:val="32"/>
          <w:u w:val="none"/>
        </w:rPr>
        <mc:AlternateContent>
          <mc:Choice Requires="wps">
            <w:drawing>
              <wp:anchor distT="0" distB="0" distL="114300" distR="114300" simplePos="0" relativeHeight="251661312" behindDoc="0" locked="0" layoutInCell="1" allowOverlap="1">
                <wp:simplePos x="0" y="0"/>
                <wp:positionH relativeFrom="column">
                  <wp:posOffset>27305</wp:posOffset>
                </wp:positionH>
                <wp:positionV relativeFrom="paragraph">
                  <wp:posOffset>396875</wp:posOffset>
                </wp:positionV>
                <wp:extent cx="5550535" cy="635"/>
                <wp:effectExtent l="0" t="0" r="0" b="0"/>
                <wp:wrapNone/>
                <wp:docPr id="14" name="直接连接符 14"/>
                <wp:cNvGraphicFramePr/>
                <a:graphic xmlns:a="http://schemas.openxmlformats.org/drawingml/2006/main">
                  <a:graphicData uri="http://schemas.microsoft.com/office/word/2010/wordprocessingShape">
                    <wps:wsp>
                      <wps:cNvCnPr/>
                      <wps:spPr>
                        <a:xfrm>
                          <a:off x="0" y="0"/>
                          <a:ext cx="5550535" cy="635"/>
                        </a:xfrm>
                        <a:prstGeom prst="line">
                          <a:avLst/>
                        </a:prstGeom>
                        <a:ln w="15875" cap="flat" cmpd="sng">
                          <a:solidFill>
                            <a:srgbClr val="000000"/>
                          </a:solidFill>
                          <a:prstDash val="solid"/>
                          <a:headEnd type="none" w="med" len="med"/>
                          <a:tailEnd type="none" w="med" len="med"/>
                        </a:ln>
                      </wps:spPr>
                      <wps:bodyPr/>
                    </wps:wsp>
                  </a:graphicData>
                </a:graphic>
              </wp:anchor>
            </w:drawing>
          </mc:Choice>
          <mc:Fallback>
            <w:pict>
              <v:line id="_x0000_s1026" o:spid="_x0000_s1026" o:spt="20" style="position:absolute;left:0pt;margin-left:2.15pt;margin-top:31.25pt;height:0.05pt;width:437.05pt;z-index:251661312;mso-width-relative:page;mso-height-relative:page;" filled="f" stroked="t" coordsize="21600,21600" o:gfxdata="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Dd&#10;1F2Z1gAAAAcBAAAPAAAAAAAAAAEAIAAAACIAAABkcnMvZG93bnJldi54bWxQSwECFAAUAAAACACH&#10;TuJAlk3HAe0BAADdAwAADgAAAAAAAAABACAAAAAlAQAAZHJzL2Uyb0RvYy54bWxQSwUGAAAAAAYA&#10;BgBZAQAAhAUAAAAA&#10;">
                <v:fill on="f" focussize="0,0"/>
                <v:stroke weight="1.25pt" color="#000000" joinstyle="round"/>
                <v:imagedata o:title=""/>
                <o:lock v:ext="edit" aspectratio="f"/>
              </v:line>
            </w:pict>
          </mc:Fallback>
        </mc:AlternateContent>
      </w:r>
      <w:r>
        <w:rPr>
          <w:rFonts w:hint="eastAsia" w:ascii="黑体" w:hAnsi="黑体" w:eastAsia="黑体"/>
          <w:color w:val="000000"/>
          <w:spacing w:val="-16"/>
          <w:u w:val="none"/>
        </w:rPr>
        <w:t>（市场监督管理部门将依法向社会公开行政处罚决定信息）</w:t>
      </w:r>
    </w:p>
    <w:p w14:paraId="240C3D24">
      <w:pPr>
        <w:spacing w:line="500" w:lineRule="exact"/>
        <w:jc w:val="center"/>
        <w:rPr>
          <w:rFonts w:hint="eastAsia" w:ascii="Times New Roman" w:hAnsi="Times New Roman" w:eastAsia="仿宋_GB2312" w:cs="仿宋_GB2312"/>
          <w:color w:val="auto"/>
          <w:sz w:val="32"/>
          <w:szCs w:val="32"/>
          <w:lang w:val="en-US" w:eastAsia="zh-Hans"/>
        </w:rPr>
      </w:pPr>
      <w:r>
        <w:rPr>
          <w:rFonts w:ascii="Times New Roman" w:hAnsi="Times New Roman" w:eastAsia="仿宋_GB2312" w:cs="仿宋"/>
          <w:bCs/>
          <w:color w:val="000000"/>
          <w:sz w:val="32"/>
          <w:szCs w:val="32"/>
          <w:u w:val="none"/>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20807045</wp:posOffset>
                </wp:positionV>
                <wp:extent cx="5762625" cy="1270"/>
                <wp:effectExtent l="0" t="0" r="0" b="0"/>
                <wp:wrapNone/>
                <wp:docPr id="13" name="直接连接符 13"/>
                <wp:cNvGraphicFramePr/>
                <a:graphic xmlns:a="http://schemas.openxmlformats.org/drawingml/2006/main">
                  <a:graphicData uri="http://schemas.microsoft.com/office/word/2010/wordprocessingShape">
                    <wps:wsp>
                      <wps:cNvCnPr/>
                      <wps:spPr>
                        <a:xfrm>
                          <a:off x="0" y="0"/>
                          <a:ext cx="5762625" cy="1270"/>
                        </a:xfrm>
                        <a:prstGeom prst="line">
                          <a:avLst/>
                        </a:prstGeom>
                        <a:ln w="9360" cap="sq" cmpd="sng">
                          <a:solidFill>
                            <a:srgbClr val="000000"/>
                          </a:solidFill>
                          <a:prstDash val="solid"/>
                          <a:headEnd type="none" w="med" len="med"/>
                          <a:tailEnd type="none" w="med" len="med"/>
                        </a:ln>
                      </wps:spPr>
                      <wps:bodyPr/>
                    </wps:wsp>
                  </a:graphicData>
                </a:graphic>
              </wp:anchor>
            </w:drawing>
          </mc:Choice>
          <mc:Fallback>
            <w:pict>
              <v:line id="_x0000_s1026" o:spid="_x0000_s1026" o:spt="20" style="position:absolute;left:0pt;margin-left:0pt;margin-top:1638.35pt;height:0.1pt;width:453.75pt;z-index:251660288;mso-width-relative:page;mso-height-relative:page;" filled="f" stroked="t" coordsize="21600,21600" o:gfxdata="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Ivv85HXAAAACgEAAA8AAAAAAAAAAQAgAAAAIgAAAGRycy9kb3ducmV2LnhtbFBLAQIUABQA&#10;AAAIAIdO4kAJ1svO8QEAANsDAAAOAAAAAAAAAAEAIAAAACYBAABkcnMvZTJvRG9jLnhtbFBLBQYA&#10;AAAABgAGAFkBAACJBQAAAAA=&#10;">
                <v:fill on="f" focussize="0,0"/>
                <v:stroke weight="0.737007874015748pt" color="#000000" joinstyle="round" endcap="square"/>
                <v:imagedata o:title=""/>
                <o:lock v:ext="edit" aspectratio="f"/>
              </v:line>
            </w:pict>
          </mc:Fallback>
        </mc:AlternateContent>
      </w:r>
      <w:r>
        <w:rPr>
          <w:rFonts w:hint="eastAsia" w:ascii="Times New Roman" w:hAnsi="Times New Roman" w:eastAsia="仿宋_GB2312" w:cs="仿宋"/>
          <w:color w:val="000000"/>
          <w:sz w:val="32"/>
          <w:szCs w:val="32"/>
          <w:u w:val="none"/>
        </w:rPr>
        <w:t xml:space="preserve">本文书一式 </w:t>
      </w:r>
      <w:r>
        <w:rPr>
          <w:rFonts w:hint="eastAsia" w:ascii="Times New Roman" w:hAnsi="Times New Roman" w:eastAsia="仿宋_GB2312" w:cs="仿宋"/>
          <w:color w:val="000000"/>
          <w:sz w:val="32"/>
          <w:szCs w:val="32"/>
          <w:u w:val="none"/>
          <w:lang w:val="en-US" w:eastAsia="zh-CN"/>
        </w:rPr>
        <w:t>二</w:t>
      </w:r>
      <w:r>
        <w:rPr>
          <w:rFonts w:hint="eastAsia" w:ascii="Times New Roman" w:hAnsi="Times New Roman" w:eastAsia="仿宋_GB2312" w:cs="仿宋"/>
          <w:color w:val="000000"/>
          <w:sz w:val="32"/>
          <w:szCs w:val="32"/>
          <w:u w:val="none"/>
        </w:rPr>
        <w:t xml:space="preserve"> 份， </w:t>
      </w:r>
      <w:r>
        <w:rPr>
          <w:rFonts w:hint="eastAsia" w:ascii="Times New Roman" w:hAnsi="Times New Roman" w:eastAsia="仿宋_GB2312" w:cs="仿宋"/>
          <w:color w:val="000000"/>
          <w:sz w:val="32"/>
          <w:szCs w:val="32"/>
          <w:u w:val="none"/>
          <w:lang w:val="en-US" w:eastAsia="zh-CN"/>
        </w:rPr>
        <w:t>一</w:t>
      </w:r>
      <w:r>
        <w:rPr>
          <w:rFonts w:hint="eastAsia" w:ascii="Times New Roman" w:hAnsi="Times New Roman" w:eastAsia="仿宋_GB2312" w:cs="仿宋"/>
          <w:color w:val="000000"/>
          <w:sz w:val="32"/>
          <w:szCs w:val="32"/>
          <w:u w:val="none"/>
        </w:rPr>
        <w:t xml:space="preserve"> 份送达，一份归档。</w:t>
      </w:r>
    </w:p>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angal">
    <w:altName w:val="Segoe Print"/>
    <w:panose1 w:val="00000400000000000000"/>
    <w:charset w:val="00"/>
    <w:family w:val="roman"/>
    <w:pitch w:val="default"/>
    <w:sig w:usb0="00000000" w:usb1="00000000" w:usb2="00000000" w:usb3="00000000" w:csb0="00000000" w:csb1="00000000"/>
  </w:font>
  <w:font w:name="Arial Unicode MS">
    <w:altName w:val="宋体"/>
    <w:panose1 w:val="020B0604020202020204"/>
    <w:charset w:val="86"/>
    <w:family w:val="auto"/>
    <w:pitch w:val="default"/>
    <w:sig w:usb0="00000000" w:usb1="00000000" w:usb2="0000003F" w:usb3="00000000" w:csb0="603F01FF" w:csb1="FFFF0000"/>
  </w:font>
  <w:font w:name="方正小标宋简体">
    <w:panose1 w:val="02000000000000000000"/>
    <w:charset w:val="86"/>
    <w:family w:val="script"/>
    <w:pitch w:val="default"/>
    <w:sig w:usb0="A00002BF" w:usb1="184F6CFA" w:usb2="00000012"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Mongolian Baiti">
    <w:panose1 w:val="03000500000000000000"/>
    <w:charset w:val="00"/>
    <w:family w:val="script"/>
    <w:pitch w:val="default"/>
    <w:sig w:usb0="80000023" w:usb1="00000000" w:usb2="00020000" w:usb3="00000000" w:csb0="0000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AE7CA3">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427AF27">
                          <w:pPr>
                            <w:pStyle w:val="4"/>
                            <w:rPr>
                              <w:rFonts w:hint="eastAsia" w:ascii="宋体" w:hAnsi="宋体" w:eastAsia="宋体" w:cs="宋体"/>
                              <w:sz w:val="28"/>
                              <w:szCs w:val="28"/>
                            </w:rPr>
                          </w:pPr>
                          <w:r>
                            <w:rPr>
                              <w:rFonts w:hint="eastAsia" w:ascii="宋体" w:hAnsi="宋体" w:eastAsia="宋体" w:cs="宋体"/>
                              <w:sz w:val="28"/>
                              <w:szCs w:val="28"/>
                            </w:rPr>
                            <w:t xml:space="preserve">第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页 共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NUMPAGES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2</w:t>
                          </w:r>
                          <w:r>
                            <w:rPr>
                              <w:rFonts w:hint="eastAsia" w:ascii="宋体" w:hAnsi="宋体" w:eastAsia="宋体" w:cs="宋体"/>
                              <w:sz w:val="28"/>
                              <w:szCs w:val="28"/>
                            </w:rPr>
                            <w:fldChar w:fldCharType="end"/>
                          </w:r>
                          <w:r>
                            <w:rPr>
                              <w:rFonts w:hint="eastAsia" w:ascii="宋体" w:hAnsi="宋体" w:eastAsia="宋体" w:cs="宋体"/>
                              <w:sz w:val="28"/>
                              <w:szCs w:val="28"/>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427AF27">
                    <w:pPr>
                      <w:pStyle w:val="4"/>
                      <w:rPr>
                        <w:rFonts w:hint="eastAsia" w:ascii="宋体" w:hAnsi="宋体" w:eastAsia="宋体" w:cs="宋体"/>
                        <w:sz w:val="28"/>
                        <w:szCs w:val="28"/>
                      </w:rPr>
                    </w:pPr>
                    <w:r>
                      <w:rPr>
                        <w:rFonts w:hint="eastAsia" w:ascii="宋体" w:hAnsi="宋体" w:eastAsia="宋体" w:cs="宋体"/>
                        <w:sz w:val="28"/>
                        <w:szCs w:val="28"/>
                      </w:rPr>
                      <w:t xml:space="preserve">第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页 共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NUMPAGES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2</w:t>
                    </w:r>
                    <w:r>
                      <w:rPr>
                        <w:rFonts w:hint="eastAsia" w:ascii="宋体" w:hAnsi="宋体" w:eastAsia="宋体" w:cs="宋体"/>
                        <w:sz w:val="28"/>
                        <w:szCs w:val="28"/>
                      </w:rPr>
                      <w:fldChar w:fldCharType="end"/>
                    </w:r>
                    <w:r>
                      <w:rPr>
                        <w:rFonts w:hint="eastAsia" w:ascii="宋体" w:hAnsi="宋体" w:eastAsia="宋体" w:cs="宋体"/>
                        <w:sz w:val="28"/>
                        <w:szCs w:val="28"/>
                      </w:rPr>
                      <w:t xml:space="preserve"> 页</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8"/>
    <w:multiLevelType w:val="multilevel"/>
    <w:tmpl w:val="00000008"/>
    <w:lvl w:ilvl="0" w:tentative="0">
      <w:start w:val="1"/>
      <w:numFmt w:val="none"/>
      <w:suff w:val="nothing"/>
      <w:lvlText w:val=""/>
      <w:lvlJc w:val="left"/>
      <w:pPr>
        <w:tabs>
          <w:tab w:val="left" w:pos="0"/>
        </w:tabs>
        <w:ind w:left="0" w:firstLine="0"/>
      </w:pPr>
    </w:lvl>
    <w:lvl w:ilvl="1" w:tentative="0">
      <w:start w:val="1"/>
      <w:numFmt w:val="none"/>
      <w:suff w:val="nothing"/>
      <w:lvlText w:val=""/>
      <w:lvlJc w:val="left"/>
      <w:pPr>
        <w:tabs>
          <w:tab w:val="left" w:pos="0"/>
        </w:tabs>
        <w:ind w:left="0" w:firstLine="0"/>
      </w:pPr>
    </w:lvl>
    <w:lvl w:ilvl="2" w:tentative="0">
      <w:start w:val="1"/>
      <w:numFmt w:val="none"/>
      <w:suff w:val="nothing"/>
      <w:lvlText w:val=""/>
      <w:lvlJc w:val="left"/>
      <w:pPr>
        <w:tabs>
          <w:tab w:val="left" w:pos="0"/>
        </w:tabs>
        <w:ind w:left="0" w:firstLine="0"/>
      </w:pPr>
    </w:lvl>
    <w:lvl w:ilvl="3" w:tentative="0">
      <w:start w:val="1"/>
      <w:numFmt w:val="none"/>
      <w:suff w:val="nothing"/>
      <w:lvlText w:val=""/>
      <w:lvlJc w:val="left"/>
      <w:pPr>
        <w:tabs>
          <w:tab w:val="left" w:pos="0"/>
        </w:tabs>
        <w:ind w:left="0" w:firstLine="0"/>
      </w:pPr>
    </w:lvl>
    <w:lvl w:ilvl="4" w:tentative="0">
      <w:start w:val="1"/>
      <w:numFmt w:val="none"/>
      <w:suff w:val="nothing"/>
      <w:lvlText w:val=""/>
      <w:lvlJc w:val="left"/>
      <w:pPr>
        <w:tabs>
          <w:tab w:val="left" w:pos="0"/>
        </w:tabs>
        <w:ind w:left="0" w:firstLine="0"/>
      </w:pPr>
    </w:lvl>
    <w:lvl w:ilvl="5" w:tentative="0">
      <w:start w:val="1"/>
      <w:numFmt w:val="none"/>
      <w:suff w:val="nothing"/>
      <w:lvlText w:val=""/>
      <w:lvlJc w:val="left"/>
      <w:pPr>
        <w:tabs>
          <w:tab w:val="left" w:pos="0"/>
        </w:tabs>
        <w:ind w:left="0" w:firstLine="0"/>
      </w:pPr>
    </w:lvl>
    <w:lvl w:ilvl="6" w:tentative="0">
      <w:start w:val="1"/>
      <w:numFmt w:val="none"/>
      <w:suff w:val="nothing"/>
      <w:lvlText w:val=""/>
      <w:lvlJc w:val="left"/>
      <w:pPr>
        <w:tabs>
          <w:tab w:val="left" w:pos="0"/>
        </w:tabs>
        <w:ind w:left="0" w:firstLine="0"/>
      </w:pPr>
    </w:lvl>
    <w:lvl w:ilvl="7" w:tentative="0">
      <w:start w:val="1"/>
      <w:numFmt w:val="none"/>
      <w:suff w:val="nothing"/>
      <w:lvlText w:val=""/>
      <w:lvlJc w:val="left"/>
      <w:pPr>
        <w:tabs>
          <w:tab w:val="left" w:pos="0"/>
        </w:tabs>
        <w:ind w:left="0" w:firstLine="0"/>
      </w:pPr>
    </w:lvl>
    <w:lvl w:ilvl="8" w:tentative="0">
      <w:start w:val="1"/>
      <w:numFmt w:val="none"/>
      <w:suff w:val="nothing"/>
      <w:lvlText w:val=""/>
      <w:lvlJc w:val="left"/>
      <w:pPr>
        <w:tabs>
          <w:tab w:val="left" w:pos="0"/>
        </w:tabs>
        <w:ind w:left="0" w:firstLine="0"/>
      </w:pPr>
    </w:lvl>
  </w:abstractNum>
  <w:abstractNum w:abstractNumId="1">
    <w:nsid w:val="0000000A"/>
    <w:multiLevelType w:val="multilevel"/>
    <w:tmpl w:val="0000000A"/>
    <w:lvl w:ilvl="0" w:tentative="0">
      <w:start w:val="1"/>
      <w:numFmt w:val="none"/>
      <w:pStyle w:val="2"/>
      <w:suff w:val="nothing"/>
      <w:lvlText w:val=""/>
      <w:lvlJc w:val="left"/>
      <w:pPr>
        <w:tabs>
          <w:tab w:val="left" w:pos="0"/>
        </w:tabs>
        <w:ind w:left="0" w:firstLine="0"/>
      </w:pPr>
    </w:lvl>
    <w:lvl w:ilvl="1" w:tentative="0">
      <w:start w:val="1"/>
      <w:numFmt w:val="none"/>
      <w:suff w:val="nothing"/>
      <w:lvlText w:val=""/>
      <w:lvlJc w:val="left"/>
      <w:pPr>
        <w:tabs>
          <w:tab w:val="left" w:pos="0"/>
        </w:tabs>
        <w:ind w:left="0" w:firstLine="0"/>
      </w:pPr>
    </w:lvl>
    <w:lvl w:ilvl="2" w:tentative="0">
      <w:start w:val="1"/>
      <w:numFmt w:val="none"/>
      <w:suff w:val="nothing"/>
      <w:lvlText w:val=""/>
      <w:lvlJc w:val="left"/>
      <w:pPr>
        <w:tabs>
          <w:tab w:val="left" w:pos="0"/>
        </w:tabs>
        <w:ind w:left="0" w:firstLine="0"/>
      </w:pPr>
    </w:lvl>
    <w:lvl w:ilvl="3" w:tentative="0">
      <w:start w:val="1"/>
      <w:numFmt w:val="none"/>
      <w:suff w:val="nothing"/>
      <w:lvlText w:val=""/>
      <w:lvlJc w:val="left"/>
      <w:pPr>
        <w:tabs>
          <w:tab w:val="left" w:pos="0"/>
        </w:tabs>
        <w:ind w:left="0" w:firstLine="0"/>
      </w:pPr>
    </w:lvl>
    <w:lvl w:ilvl="4" w:tentative="0">
      <w:start w:val="1"/>
      <w:numFmt w:val="none"/>
      <w:suff w:val="nothing"/>
      <w:lvlText w:val=""/>
      <w:lvlJc w:val="left"/>
      <w:pPr>
        <w:tabs>
          <w:tab w:val="left" w:pos="0"/>
        </w:tabs>
        <w:ind w:left="0" w:firstLine="0"/>
      </w:pPr>
    </w:lvl>
    <w:lvl w:ilvl="5" w:tentative="0">
      <w:start w:val="1"/>
      <w:numFmt w:val="none"/>
      <w:suff w:val="nothing"/>
      <w:lvlText w:val=""/>
      <w:lvlJc w:val="left"/>
      <w:pPr>
        <w:tabs>
          <w:tab w:val="left" w:pos="0"/>
        </w:tabs>
        <w:ind w:left="0" w:firstLine="0"/>
      </w:pPr>
    </w:lvl>
    <w:lvl w:ilvl="6" w:tentative="0">
      <w:start w:val="1"/>
      <w:numFmt w:val="none"/>
      <w:suff w:val="nothing"/>
      <w:lvlText w:val=""/>
      <w:lvlJc w:val="left"/>
      <w:pPr>
        <w:tabs>
          <w:tab w:val="left" w:pos="0"/>
        </w:tabs>
        <w:ind w:left="0" w:firstLine="0"/>
      </w:pPr>
    </w:lvl>
    <w:lvl w:ilvl="7" w:tentative="0">
      <w:start w:val="1"/>
      <w:numFmt w:val="none"/>
      <w:suff w:val="nothing"/>
      <w:lvlText w:val=""/>
      <w:lvlJc w:val="left"/>
      <w:pPr>
        <w:tabs>
          <w:tab w:val="left" w:pos="0"/>
        </w:tabs>
        <w:ind w:left="0" w:firstLine="0"/>
      </w:pPr>
    </w:lvl>
    <w:lvl w:ilvl="8" w:tentative="0">
      <w:start w:val="1"/>
      <w:numFmt w:val="none"/>
      <w:suff w:val="nothing"/>
      <w:lvlText w:val=""/>
      <w:lvlJc w:val="left"/>
      <w:pPr>
        <w:tabs>
          <w:tab w:val="left" w:pos="0"/>
        </w:tabs>
        <w:ind w:left="0" w:firstLine="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revisionView w:markup="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EyM2U5YzI2ZWYzNzA3YjY5MWY2NDE1MjMyNWZjOTUifQ=="/>
    <w:docVar w:name="KSO_WPS_MARK_KEY" w:val="3a570657-d4b9-4633-8bde-b1be1a221b99"/>
  </w:docVars>
  <w:rsids>
    <w:rsidRoot w:val="5BA419F7"/>
    <w:rsid w:val="00193C35"/>
    <w:rsid w:val="0032134F"/>
    <w:rsid w:val="010A478A"/>
    <w:rsid w:val="02B83402"/>
    <w:rsid w:val="042774DD"/>
    <w:rsid w:val="048D2705"/>
    <w:rsid w:val="04CD463F"/>
    <w:rsid w:val="04FA4431"/>
    <w:rsid w:val="053B1327"/>
    <w:rsid w:val="05C51508"/>
    <w:rsid w:val="06476E0A"/>
    <w:rsid w:val="06A046EE"/>
    <w:rsid w:val="06BAE61F"/>
    <w:rsid w:val="071C7669"/>
    <w:rsid w:val="07580619"/>
    <w:rsid w:val="0776795A"/>
    <w:rsid w:val="07DA78EE"/>
    <w:rsid w:val="08365B64"/>
    <w:rsid w:val="086E7FA8"/>
    <w:rsid w:val="087864F3"/>
    <w:rsid w:val="090B4D3A"/>
    <w:rsid w:val="09290BEC"/>
    <w:rsid w:val="09AA7B69"/>
    <w:rsid w:val="0A2F38BD"/>
    <w:rsid w:val="0A3665F0"/>
    <w:rsid w:val="0B22091D"/>
    <w:rsid w:val="0CAE6700"/>
    <w:rsid w:val="0CF71776"/>
    <w:rsid w:val="0D242541"/>
    <w:rsid w:val="0FB748D6"/>
    <w:rsid w:val="103E22C5"/>
    <w:rsid w:val="11524677"/>
    <w:rsid w:val="115320F9"/>
    <w:rsid w:val="119E3BCA"/>
    <w:rsid w:val="12DC3AAD"/>
    <w:rsid w:val="1350279A"/>
    <w:rsid w:val="14203063"/>
    <w:rsid w:val="143E1E38"/>
    <w:rsid w:val="1490670C"/>
    <w:rsid w:val="152E563E"/>
    <w:rsid w:val="15B93156"/>
    <w:rsid w:val="16D23D7F"/>
    <w:rsid w:val="18325353"/>
    <w:rsid w:val="188449CB"/>
    <w:rsid w:val="18B229B2"/>
    <w:rsid w:val="19FE4517"/>
    <w:rsid w:val="1A445924"/>
    <w:rsid w:val="1AE345F4"/>
    <w:rsid w:val="1B37398D"/>
    <w:rsid w:val="1C7339BB"/>
    <w:rsid w:val="1C7A5BA8"/>
    <w:rsid w:val="1D764A7B"/>
    <w:rsid w:val="1E664711"/>
    <w:rsid w:val="1EC222D9"/>
    <w:rsid w:val="1F2B5D07"/>
    <w:rsid w:val="1FC004DE"/>
    <w:rsid w:val="1FD31F15"/>
    <w:rsid w:val="201A3039"/>
    <w:rsid w:val="212E3259"/>
    <w:rsid w:val="22287087"/>
    <w:rsid w:val="237778B4"/>
    <w:rsid w:val="23F5677C"/>
    <w:rsid w:val="24626694"/>
    <w:rsid w:val="258D6CE0"/>
    <w:rsid w:val="27A45517"/>
    <w:rsid w:val="28A27591"/>
    <w:rsid w:val="29C21C7D"/>
    <w:rsid w:val="2B1B3EFC"/>
    <w:rsid w:val="2B2274F2"/>
    <w:rsid w:val="2CEA3815"/>
    <w:rsid w:val="2DE10173"/>
    <w:rsid w:val="2F327E79"/>
    <w:rsid w:val="2F7CE1EF"/>
    <w:rsid w:val="2F8A6913"/>
    <w:rsid w:val="30DB5683"/>
    <w:rsid w:val="30FA2F6D"/>
    <w:rsid w:val="31562B39"/>
    <w:rsid w:val="31BE0AF5"/>
    <w:rsid w:val="32CE76E8"/>
    <w:rsid w:val="3334290F"/>
    <w:rsid w:val="33740640"/>
    <w:rsid w:val="33831417"/>
    <w:rsid w:val="346C040E"/>
    <w:rsid w:val="34A15065"/>
    <w:rsid w:val="3585615B"/>
    <w:rsid w:val="359830E5"/>
    <w:rsid w:val="35E11274"/>
    <w:rsid w:val="363C12E3"/>
    <w:rsid w:val="368E5656"/>
    <w:rsid w:val="37173B70"/>
    <w:rsid w:val="377FBB27"/>
    <w:rsid w:val="37F16547"/>
    <w:rsid w:val="38A94CC9"/>
    <w:rsid w:val="38B63DA7"/>
    <w:rsid w:val="3930619F"/>
    <w:rsid w:val="39356EE1"/>
    <w:rsid w:val="3A4E178D"/>
    <w:rsid w:val="3A6E5A5C"/>
    <w:rsid w:val="3BD70954"/>
    <w:rsid w:val="3BF97ECA"/>
    <w:rsid w:val="3C2965F0"/>
    <w:rsid w:val="3D6B1177"/>
    <w:rsid w:val="3D6D1CD5"/>
    <w:rsid w:val="3E5F4AE1"/>
    <w:rsid w:val="3E853745"/>
    <w:rsid w:val="3F102A4E"/>
    <w:rsid w:val="3F2604DF"/>
    <w:rsid w:val="3F6783E4"/>
    <w:rsid w:val="3F842066"/>
    <w:rsid w:val="3FFF82D4"/>
    <w:rsid w:val="402E7C06"/>
    <w:rsid w:val="40FE5F8F"/>
    <w:rsid w:val="4159130B"/>
    <w:rsid w:val="42064804"/>
    <w:rsid w:val="425049CE"/>
    <w:rsid w:val="42BE63AF"/>
    <w:rsid w:val="439F577D"/>
    <w:rsid w:val="442B16EC"/>
    <w:rsid w:val="458F64B9"/>
    <w:rsid w:val="45C51FFB"/>
    <w:rsid w:val="46157ACD"/>
    <w:rsid w:val="47243FC5"/>
    <w:rsid w:val="47D41916"/>
    <w:rsid w:val="48C10000"/>
    <w:rsid w:val="49E87E3B"/>
    <w:rsid w:val="4A555101"/>
    <w:rsid w:val="4ADF49AE"/>
    <w:rsid w:val="4B8F0B22"/>
    <w:rsid w:val="4B9422CC"/>
    <w:rsid w:val="4C02380F"/>
    <w:rsid w:val="4C7C04B3"/>
    <w:rsid w:val="4CBE34DB"/>
    <w:rsid w:val="4CC8271B"/>
    <w:rsid w:val="4D9306AE"/>
    <w:rsid w:val="4E8950D9"/>
    <w:rsid w:val="4F722566"/>
    <w:rsid w:val="4F93378A"/>
    <w:rsid w:val="4FBD1DC4"/>
    <w:rsid w:val="503F09B5"/>
    <w:rsid w:val="516D5500"/>
    <w:rsid w:val="52802336"/>
    <w:rsid w:val="52A82516"/>
    <w:rsid w:val="532841F2"/>
    <w:rsid w:val="53A0483E"/>
    <w:rsid w:val="54451D6C"/>
    <w:rsid w:val="547C0750"/>
    <w:rsid w:val="55FE5622"/>
    <w:rsid w:val="57503162"/>
    <w:rsid w:val="58A4140A"/>
    <w:rsid w:val="591F0542"/>
    <w:rsid w:val="59A10938"/>
    <w:rsid w:val="5BA419F7"/>
    <w:rsid w:val="5BEF1DBF"/>
    <w:rsid w:val="5BF91583"/>
    <w:rsid w:val="5BFB2E57"/>
    <w:rsid w:val="5C5D2BD9"/>
    <w:rsid w:val="5DD7483B"/>
    <w:rsid w:val="5E5FAB03"/>
    <w:rsid w:val="5E605C94"/>
    <w:rsid w:val="5EA00CBE"/>
    <w:rsid w:val="5F9FEDD5"/>
    <w:rsid w:val="5FBEF003"/>
    <w:rsid w:val="5FBF3AB1"/>
    <w:rsid w:val="5FE33914"/>
    <w:rsid w:val="5FFA4D85"/>
    <w:rsid w:val="602379F5"/>
    <w:rsid w:val="602422E6"/>
    <w:rsid w:val="60B635F2"/>
    <w:rsid w:val="60C16F3B"/>
    <w:rsid w:val="612E7E8C"/>
    <w:rsid w:val="617678F3"/>
    <w:rsid w:val="61DC2B1A"/>
    <w:rsid w:val="636955DE"/>
    <w:rsid w:val="646E5E05"/>
    <w:rsid w:val="64A25DC4"/>
    <w:rsid w:val="64E43803"/>
    <w:rsid w:val="657F58CB"/>
    <w:rsid w:val="66324B2E"/>
    <w:rsid w:val="66934D57"/>
    <w:rsid w:val="69D55F3E"/>
    <w:rsid w:val="6AD7030F"/>
    <w:rsid w:val="6BA277B7"/>
    <w:rsid w:val="6BC22D75"/>
    <w:rsid w:val="6BCC1BB9"/>
    <w:rsid w:val="6C6723F1"/>
    <w:rsid w:val="6CA517CF"/>
    <w:rsid w:val="6D064CEC"/>
    <w:rsid w:val="6D6C7F13"/>
    <w:rsid w:val="6D923254"/>
    <w:rsid w:val="6DD2313B"/>
    <w:rsid w:val="6DE4435F"/>
    <w:rsid w:val="6E04767D"/>
    <w:rsid w:val="6E355D52"/>
    <w:rsid w:val="6E6950E9"/>
    <w:rsid w:val="6ED952C0"/>
    <w:rsid w:val="6F013B3F"/>
    <w:rsid w:val="6F732ABB"/>
    <w:rsid w:val="6FF58B64"/>
    <w:rsid w:val="6FF8F863"/>
    <w:rsid w:val="70CF02CA"/>
    <w:rsid w:val="70F532B7"/>
    <w:rsid w:val="70FA1472"/>
    <w:rsid w:val="71013020"/>
    <w:rsid w:val="710D7C3E"/>
    <w:rsid w:val="71FC56E7"/>
    <w:rsid w:val="7376089F"/>
    <w:rsid w:val="74E06ABE"/>
    <w:rsid w:val="75B2DA43"/>
    <w:rsid w:val="75BD90DB"/>
    <w:rsid w:val="75CC41D0"/>
    <w:rsid w:val="75F8119D"/>
    <w:rsid w:val="76222141"/>
    <w:rsid w:val="76704CDE"/>
    <w:rsid w:val="76D869B3"/>
    <w:rsid w:val="76FD0A98"/>
    <w:rsid w:val="77DF8BD4"/>
    <w:rsid w:val="77EFD5CC"/>
    <w:rsid w:val="77FFADAC"/>
    <w:rsid w:val="7835649C"/>
    <w:rsid w:val="785D32AB"/>
    <w:rsid w:val="788860C0"/>
    <w:rsid w:val="789620E4"/>
    <w:rsid w:val="78FD530C"/>
    <w:rsid w:val="7AFB4DD2"/>
    <w:rsid w:val="7B0F6E9A"/>
    <w:rsid w:val="7BA46A39"/>
    <w:rsid w:val="7BFD6076"/>
    <w:rsid w:val="7C8E43D6"/>
    <w:rsid w:val="7DA813EB"/>
    <w:rsid w:val="7DFF108F"/>
    <w:rsid w:val="7EED8AE6"/>
    <w:rsid w:val="7F5A6980"/>
    <w:rsid w:val="7FEADF5C"/>
    <w:rsid w:val="91BF8AB9"/>
    <w:rsid w:val="9FF1B21D"/>
    <w:rsid w:val="B7BFD803"/>
    <w:rsid w:val="BD5EB179"/>
    <w:rsid w:val="BD7F788E"/>
    <w:rsid w:val="DEFF1EB3"/>
    <w:rsid w:val="DF3F4C88"/>
    <w:rsid w:val="DF7A9960"/>
    <w:rsid w:val="DFBF15D5"/>
    <w:rsid w:val="DFD70EC8"/>
    <w:rsid w:val="DFFE6C63"/>
    <w:rsid w:val="E53DE605"/>
    <w:rsid w:val="E775D448"/>
    <w:rsid w:val="ECC7B000"/>
    <w:rsid w:val="F0ED2927"/>
    <w:rsid w:val="F3EF5848"/>
    <w:rsid w:val="F5A28C7E"/>
    <w:rsid w:val="F9BF6AE4"/>
    <w:rsid w:val="FB57F652"/>
    <w:rsid w:val="FBBF88F6"/>
    <w:rsid w:val="FBFEBC90"/>
    <w:rsid w:val="FCF69F69"/>
    <w:rsid w:val="FD7BEF22"/>
    <w:rsid w:val="FD8BB826"/>
    <w:rsid w:val="FD9199D6"/>
    <w:rsid w:val="FDAC17BA"/>
    <w:rsid w:val="FDDF4064"/>
    <w:rsid w:val="FDF46C9E"/>
    <w:rsid w:val="FEAFF630"/>
    <w:rsid w:val="FEDEBCAC"/>
    <w:rsid w:val="FF7F62AA"/>
    <w:rsid w:val="FFDBA3A8"/>
    <w:rsid w:val="FFDF073B"/>
    <w:rsid w:val="FFFE0A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keepNext/>
      <w:numPr>
        <w:ilvl w:val="0"/>
        <w:numId w:val="1"/>
      </w:numPr>
      <w:spacing w:before="240" w:after="120"/>
      <w:jc w:val="left"/>
      <w:outlineLvl w:val="0"/>
    </w:pPr>
    <w:rPr>
      <w:rFonts w:ascii="Times New Roman" w:hAnsi="Times New Roman" w:cs="Mangal"/>
      <w:color w:val="00000A"/>
      <w:sz w:val="24"/>
      <w:lang w:val="zh-CN" w:bidi="hi-IN"/>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3">
    <w:name w:val="Body Text"/>
    <w:basedOn w:val="1"/>
    <w:qFormat/>
    <w:uiPriority w:val="1"/>
    <w:pPr>
      <w:autoSpaceDE w:val="0"/>
      <w:autoSpaceDN w:val="0"/>
      <w:adjustRightInd w:val="0"/>
      <w:jc w:val="left"/>
    </w:pPr>
    <w:rPr>
      <w:rFonts w:ascii="Arial Unicode MS" w:hAnsi="Times New Roman" w:eastAsia="Arial Unicode MS"/>
      <w:kern w:val="0"/>
      <w:sz w:val="32"/>
      <w:szCs w:val="32"/>
    </w:rPr>
  </w:style>
  <w:style w:type="paragraph" w:styleId="4">
    <w:name w:val="footer"/>
    <w:basedOn w:val="1"/>
    <w:unhideWhenUsed/>
    <w:qFormat/>
    <w:uiPriority w:val="99"/>
    <w:pPr>
      <w:tabs>
        <w:tab w:val="center" w:pos="4153"/>
        <w:tab w:val="right" w:pos="8306"/>
      </w:tabs>
      <w:snapToGrid w:val="0"/>
      <w:jc w:val="left"/>
    </w:pPr>
    <w:rPr>
      <w:rFonts w:ascii="Calibri" w:hAnsi="Calibri" w:eastAsia="宋体" w:cs="Times New Roman"/>
      <w:sz w:val="18"/>
      <w:szCs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439</Words>
  <Characters>439</Characters>
  <Lines>0</Lines>
  <Paragraphs>0</Paragraphs>
  <TotalTime>1</TotalTime>
  <ScaleCrop>false</ScaleCrop>
  <LinksUpToDate>false</LinksUpToDate>
  <CharactersWithSpaces>1173</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2021-08-02T10:04:00Z</dcterms:created>
  <dc:creator>胖林宝宝噜啦噜～</dc:creator>
  <cp:lastModifiedBy>Administrator</cp:lastModifiedBy>
  <dcterms:modified xsi:type="dcterms:W3CDTF">2026-07-13T03:47:56Z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526F4C53292B48849053E71A59849707</vt:lpwstr>
  </property>
</Properties>
</file>