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959A0">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156E3097">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6A42836">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融水市监处罚〔2026〕110号</w:t>
      </w:r>
      <w:bookmarkEnd w:id="2"/>
    </w:p>
    <w:p w14:paraId="05314174">
      <w:pPr>
        <w:keepNext w:val="0"/>
        <w:keepLines w:val="0"/>
        <w:pageBreakBefore w:val="0"/>
        <w:kinsoku/>
        <w:wordWrap/>
        <w:overflowPunct/>
        <w:bidi w:val="0"/>
        <w:snapToGrid/>
        <w:spacing w:before="315" w:beforeLines="100" w:line="540" w:lineRule="exact"/>
        <w:ind w:left="142" w:hanging="142"/>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r>
        <w:rPr>
          <w:rFonts w:hint="eastAsia" w:ascii="仿宋_GB2312" w:hAnsi="Times New Roman" w:eastAsia="仿宋_GB2312" w:cs="仿宋_GB2312"/>
          <w:color w:val="000000"/>
          <w:sz w:val="32"/>
          <w:u w:val="none"/>
          <w:lang w:val="en-US" w:eastAsia="zh-CN"/>
        </w:rPr>
        <w:t>融水县义熙便利超市</w:t>
      </w:r>
      <w:r>
        <w:rPr>
          <w:rFonts w:hint="eastAsia" w:ascii="仿宋_GB2312" w:hAnsi="仿宋_GB2312" w:eastAsia="仿宋_GB2312" w:cs="仿宋_GB2312"/>
          <w:b w:val="0"/>
          <w:color w:val="000000"/>
          <w:sz w:val="32"/>
          <w:u w:val="none"/>
        </w:rPr>
        <w:t>（个体工商户）</w:t>
      </w:r>
      <w:r>
        <w:rPr>
          <w:rFonts w:hint="eastAsia" w:ascii="仿宋_GB2312" w:hAnsi="仿宋_GB2312" w:eastAsia="仿宋_GB2312" w:cs="仿宋_GB2312"/>
          <w:b w:val="0"/>
          <w:bCs/>
          <w:color w:val="000000"/>
          <w:kern w:val="1"/>
          <w:sz w:val="32"/>
          <w:szCs w:val="32"/>
          <w:u w:val="none"/>
        </w:rPr>
        <w:t xml:space="preserve">                                           </w:t>
      </w:r>
    </w:p>
    <w:p w14:paraId="06E1D1FF">
      <w:pPr>
        <w:keepNext w:val="0"/>
        <w:keepLines w:val="0"/>
        <w:pageBreakBefore w:val="0"/>
        <w:kinsoku/>
        <w:wordWrap/>
        <w:overflowPunct/>
        <w:bidi w:val="0"/>
        <w:snapToGrid/>
        <w:spacing w:line="540" w:lineRule="exact"/>
        <w:ind w:left="140" w:hanging="140"/>
        <w:textAlignment w:val="auto"/>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000000"/>
          <w:kern w:val="1"/>
          <w:sz w:val="32"/>
          <w:szCs w:val="32"/>
          <w:u w:val="none"/>
        </w:rPr>
        <w:t>主体资格证照名称：</w:t>
      </w:r>
      <w:bookmarkStart w:id="3" w:name="CALCULATE—DSR—tAjDsrs_cZtzgzzmc"/>
      <w:r>
        <w:rPr>
          <w:rFonts w:hint="eastAsia" w:ascii="仿宋_GB2312" w:hAnsi="仿宋_GB2312" w:eastAsia="仿宋_GB2312" w:cs="仿宋_GB2312"/>
          <w:b w:val="0"/>
          <w:color w:val="000000"/>
          <w:sz w:val="32"/>
          <w:u w:val="none"/>
        </w:rPr>
        <w:t>营业执照</w:t>
      </w:r>
      <w:bookmarkEnd w:id="3"/>
      <w:r>
        <w:rPr>
          <w:rFonts w:hint="eastAsia" w:ascii="仿宋_GB2312" w:hAnsi="仿宋_GB2312" w:eastAsia="仿宋_GB2312" w:cs="仿宋_GB2312"/>
          <w:b w:val="0"/>
          <w:bCs/>
          <w:color w:val="000000"/>
          <w:kern w:val="1"/>
          <w:sz w:val="32"/>
          <w:szCs w:val="32"/>
          <w:u w:val="none"/>
        </w:rPr>
        <w:t xml:space="preserve">                                  </w:t>
      </w:r>
    </w:p>
    <w:p w14:paraId="66E41D4C">
      <w:pPr>
        <w:keepNext w:val="0"/>
        <w:keepLines w:val="0"/>
        <w:pageBreakBefore w:val="0"/>
        <w:kinsoku/>
        <w:wordWrap/>
        <w:overflowPunct/>
        <w:bidi w:val="0"/>
        <w:snapToGrid/>
        <w:spacing w:line="540" w:lineRule="exact"/>
        <w:ind w:left="140" w:hanging="140"/>
        <w:textAlignment w:val="auto"/>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r>
        <w:rPr>
          <w:rFonts w:hint="eastAsia" w:ascii="仿宋_GB2312" w:hAnsi="Times New Roman" w:eastAsia="仿宋_GB2312" w:cs="仿宋_GB2312"/>
          <w:color w:val="000000"/>
          <w:sz w:val="32"/>
          <w:u w:val="none"/>
          <w:lang w:val="en-US" w:eastAsia="zh-CN"/>
        </w:rPr>
        <w:t>92450225MAK42QAJ8M</w:t>
      </w:r>
      <w:r>
        <w:rPr>
          <w:rFonts w:hint="eastAsia" w:ascii="仿宋_GB2312" w:hAnsi="仿宋_GB2312" w:eastAsia="仿宋_GB2312" w:cs="仿宋_GB2312"/>
          <w:b w:val="0"/>
          <w:bCs/>
          <w:color w:val="000000"/>
          <w:kern w:val="1"/>
          <w:sz w:val="32"/>
          <w:szCs w:val="32"/>
          <w:u w:val="none"/>
        </w:rPr>
        <w:t xml:space="preserve">                                  </w:t>
      </w:r>
    </w:p>
    <w:p w14:paraId="32F5A58E">
      <w:pPr>
        <w:keepNext w:val="0"/>
        <w:keepLines w:val="0"/>
        <w:pageBreakBefore w:val="0"/>
        <w:kinsoku/>
        <w:wordWrap/>
        <w:overflowPunct/>
        <w:bidi w:val="0"/>
        <w:snapToGrid/>
        <w:spacing w:line="540" w:lineRule="exact"/>
        <w:ind w:left="140" w:hanging="140"/>
        <w:textAlignment w:val="auto"/>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r>
        <w:rPr>
          <w:rFonts w:hint="eastAsia" w:ascii="仿宋_GB2312" w:hAnsi="Times New Roman" w:eastAsia="仿宋_GB2312" w:cs="仿宋_GB2312"/>
          <w:color w:val="000000"/>
          <w:sz w:val="32"/>
          <w:u w:val="none"/>
          <w:lang w:val="en-US" w:eastAsia="zh-CN"/>
        </w:rPr>
        <w:t>柳州市融水县融水镇依山路******</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77C649C9">
      <w:pPr>
        <w:keepNext w:val="0"/>
        <w:keepLines w:val="0"/>
        <w:pageBreakBefore w:val="0"/>
        <w:kinsoku/>
        <w:wordWrap/>
        <w:overflowPunct/>
        <w:bidi w:val="0"/>
        <w:snapToGrid/>
        <w:spacing w:line="540" w:lineRule="exact"/>
        <w:textAlignment w:val="auto"/>
        <w:rPr>
          <w:rFonts w:hint="eastAsia" w:ascii="仿宋_GB2312" w:hAnsi="Times New Roman" w:eastAsia="仿宋_GB2312" w:cs="仿宋_GB2312"/>
          <w:sz w:val="32"/>
          <w:u w:val="none"/>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r>
        <w:rPr>
          <w:rFonts w:hint="eastAsia" w:ascii="仿宋_GB2312" w:hAnsi="Times New Roman" w:eastAsia="仿宋_GB2312" w:cs="仿宋_GB2312"/>
          <w:color w:val="000000"/>
          <w:sz w:val="32"/>
          <w:u w:val="none"/>
          <w:lang w:val="en-US" w:eastAsia="zh-CN"/>
        </w:rPr>
        <w:t>赖禹豪</w:t>
      </w:r>
    </w:p>
    <w:p w14:paraId="6D91F53C">
      <w:pPr>
        <w:keepNext w:val="0"/>
        <w:keepLines w:val="0"/>
        <w:pageBreakBefore w:val="0"/>
        <w:kinsoku/>
        <w:wordWrap/>
        <w:overflowPunct/>
        <w:bidi w:val="0"/>
        <w:snapToGrid/>
        <w:spacing w:line="540" w:lineRule="exact"/>
        <w:textAlignment w:val="auto"/>
        <w:rPr>
          <w:rFonts w:hint="eastAsia" w:ascii="仿宋_GB2312" w:hAnsi="仿宋_GB2312" w:eastAsia="仿宋_GB2312" w:cs="仿宋_GB2312"/>
          <w:b w:val="0"/>
          <w:bCs/>
          <w:color w:val="auto"/>
          <w:kern w:val="1"/>
          <w:sz w:val="32"/>
          <w:szCs w:val="32"/>
          <w:lang w:val="en-US" w:eastAsia="zh-CN"/>
        </w:rPr>
      </w:pPr>
      <w:r>
        <w:rPr>
          <w:rFonts w:hint="eastAsia" w:ascii="仿宋_GB2312" w:hAnsi="Times New Roman" w:eastAsia="仿宋_GB2312" w:cs="仿宋_GB2312"/>
          <w:color w:val="000000"/>
          <w:sz w:val="32"/>
          <w:u w:val="none"/>
        </w:rPr>
        <w:t>身份证件号码:</w:t>
      </w:r>
      <w:r>
        <w:rPr>
          <w:rFonts w:hint="eastAsia" w:ascii="仿宋_GB2312" w:hAnsi="仿宋_GB2312" w:eastAsia="仿宋_GB2312" w:cs="仿宋_GB2312"/>
          <w:color w:val="000000"/>
          <w:sz w:val="32"/>
          <w:szCs w:val="32"/>
          <w:highlight w:val="none"/>
          <w:u w:val="none"/>
          <w:lang w:val="en-US" w:eastAsia="zh-CN"/>
        </w:rPr>
        <w:t>430626200111******</w:t>
      </w:r>
      <w:r>
        <w:rPr>
          <w:rFonts w:hint="eastAsia" w:ascii="仿宋_GB2312" w:hAnsi="仿宋_GB2312" w:eastAsia="仿宋_GB2312" w:cs="仿宋_GB2312"/>
          <w:b w:val="0"/>
          <w:bCs/>
          <w:color w:val="000000"/>
          <w:kern w:val="1"/>
          <w:sz w:val="32"/>
          <w:szCs w:val="32"/>
          <w:u w:val="none"/>
        </w:rPr>
        <w:t xml:space="preserve">                       </w:t>
      </w:r>
    </w:p>
    <w:p w14:paraId="268D920D">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jc w:val="left"/>
        <w:textAlignment w:val="baseline"/>
        <w:rPr>
          <w:rFonts w:hint="default" w:ascii="仿宋_GB2312" w:hAnsi="仿宋_GB2312" w:eastAsia="仿宋_GB2312" w:cs="仿宋_GB2312"/>
          <w:color w:val="auto"/>
          <w:sz w:val="32"/>
          <w:szCs w:val="32"/>
          <w:lang w:val="en-US" w:eastAsia="zh-CN"/>
        </w:rPr>
      </w:pPr>
      <w:r>
        <w:rPr>
          <w:rFonts w:hint="eastAsia" w:ascii="仿宋_GB2312" w:hAnsi="仿宋" w:eastAsia="仿宋_GB2312"/>
          <w:color w:val="000000"/>
          <w:sz w:val="32"/>
          <w:szCs w:val="32"/>
          <w:highlight w:val="none"/>
          <w:u w:val="none"/>
          <w:lang w:val="en-US" w:eastAsia="zh-CN"/>
        </w:rPr>
        <w:t>2026年4月27日，本局执法人员收到县消保中心转来《举报分送通知书》（融水市监〔2026〕第26057号），举报者称融水县义熙便利超市在淘宝闪购店铺销售水龙头，产品未依据发改环资规〔2026〕1516号、《水效标识管理办法》中的规定在网页未标注水效标识，不符合相关规定。2026年5月13日，执法人员到柳州市融水县融水镇依山路******</w:t>
      </w:r>
      <w:bookmarkStart w:id="10" w:name="_GoBack"/>
      <w:bookmarkEnd w:id="10"/>
      <w:r>
        <w:rPr>
          <w:rFonts w:hint="eastAsia" w:ascii="仿宋_GB2312" w:hAnsi="仿宋" w:eastAsia="仿宋_GB2312"/>
          <w:color w:val="000000"/>
          <w:sz w:val="32"/>
          <w:szCs w:val="32"/>
          <w:highlight w:val="none"/>
          <w:u w:val="none"/>
          <w:lang w:val="en-US" w:eastAsia="zh-CN"/>
        </w:rPr>
        <w:t>的融水县义熙便利超市开展现场核查，在该便利超市货架上发现有举报者所举报的“90000003单冷弯曲水龙头厨房浴室家用洗脸盆厨房菜盆卫生间水龙头”一个，该水龙头未有外包装盒及相关标识标签；该超市现场未能提供上述水龙头的进货票据及供货商相关资质证明材料和该水龙头的标识标签；执法人员现场与该超市店员陈艳妮登录超市网店，进入全部商品页面，搜索90000003产品，显示“单冷弯曲水龙头厨房浴室家用洗脸盆厨房菜盆卫生间水龙头90000003”已售罄，网页无相应水效标识。</w:t>
      </w:r>
      <w:r>
        <w:rPr>
          <w:rFonts w:hint="eastAsia" w:ascii="仿宋_GB2312" w:hAnsi="仿宋_GB2312" w:eastAsia="仿宋_GB2312" w:cs="仿宋_GB2312"/>
          <w:color w:val="000000"/>
          <w:sz w:val="32"/>
          <w:szCs w:val="32"/>
          <w:u w:val="none"/>
        </w:rPr>
        <w:t>202</w:t>
      </w:r>
      <w:r>
        <w:rPr>
          <w:rFonts w:hint="eastAsia" w:ascii="仿宋_GB2312" w:hAnsi="仿宋_GB2312"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rPr>
        <w:t>年</w:t>
      </w:r>
      <w:r>
        <w:rPr>
          <w:rFonts w:hint="eastAsia" w:ascii="仿宋_GB2312" w:hAnsi="仿宋_GB2312" w:eastAsia="仿宋_GB2312" w:cs="仿宋_GB2312"/>
          <w:color w:val="000000"/>
          <w:sz w:val="32"/>
          <w:szCs w:val="32"/>
          <w:u w:val="none"/>
          <w:lang w:val="en-US" w:eastAsia="zh-CN"/>
        </w:rPr>
        <w:t>5</w:t>
      </w:r>
      <w:r>
        <w:rPr>
          <w:rFonts w:hint="eastAsia" w:ascii="仿宋_GB2312" w:hAnsi="仿宋_GB2312" w:eastAsia="仿宋_GB2312" w:cs="仿宋_GB2312"/>
          <w:color w:val="000000"/>
          <w:sz w:val="32"/>
          <w:szCs w:val="32"/>
          <w:u w:val="none"/>
        </w:rPr>
        <w:t>月</w:t>
      </w:r>
      <w:r>
        <w:rPr>
          <w:rFonts w:hint="eastAsia" w:ascii="仿宋_GB2312" w:hAnsi="仿宋_GB2312" w:eastAsia="仿宋_GB2312" w:cs="仿宋_GB2312"/>
          <w:color w:val="000000"/>
          <w:sz w:val="32"/>
          <w:szCs w:val="32"/>
          <w:u w:val="none"/>
          <w:lang w:val="en-US" w:eastAsia="zh-CN"/>
        </w:rPr>
        <w:t>14</w:t>
      </w:r>
      <w:r>
        <w:rPr>
          <w:rFonts w:hint="eastAsia" w:ascii="仿宋_GB2312" w:hAnsi="仿宋_GB2312" w:eastAsia="仿宋_GB2312" w:cs="仿宋_GB2312"/>
          <w:color w:val="000000"/>
          <w:sz w:val="32"/>
          <w:szCs w:val="32"/>
          <w:u w:val="none"/>
        </w:rPr>
        <w:t>日</w:t>
      </w:r>
      <w:r>
        <w:rPr>
          <w:rFonts w:hint="eastAsia" w:ascii="仿宋_GB2312" w:hAnsi="仿宋_GB2312" w:eastAsia="仿宋_GB2312" w:cs="仿宋_GB2312"/>
          <w:color w:val="000000"/>
          <w:sz w:val="32"/>
          <w:szCs w:val="32"/>
          <w:u w:val="none"/>
          <w:lang w:eastAsia="zh-CN"/>
        </w:rPr>
        <w:t>，</w:t>
      </w:r>
      <w:r>
        <w:rPr>
          <w:rFonts w:hint="eastAsia" w:ascii="仿宋_GB2312" w:hAnsi="Times New Roman" w:eastAsia="仿宋_GB2312" w:cs="仿宋_GB2312"/>
          <w:color w:val="000000"/>
          <w:sz w:val="32"/>
          <w:u w:val="none"/>
          <w:lang w:eastAsia="zh-CN"/>
        </w:rPr>
        <w:t>经局领导审批同意，</w:t>
      </w:r>
      <w:r>
        <w:rPr>
          <w:rFonts w:hint="eastAsia" w:ascii="仿宋_GB2312" w:hAnsi="Times New Roman" w:eastAsia="仿宋_GB2312" w:cs="仿宋_GB2312"/>
          <w:color w:val="000000"/>
          <w:sz w:val="32"/>
          <w:u w:val="none"/>
        </w:rPr>
        <w:t>依据《市场监督管理行政处罚程序规定》第十九条的规定</w:t>
      </w:r>
      <w:r>
        <w:rPr>
          <w:rFonts w:hint="eastAsia" w:ascii="仿宋_GB2312" w:hAnsi="Times New Roman" w:eastAsia="仿宋_GB2312" w:cs="仿宋_GB2312"/>
          <w:color w:val="000000"/>
          <w:sz w:val="32"/>
          <w:u w:val="none"/>
          <w:lang w:eastAsia="zh-CN"/>
        </w:rPr>
        <w:t>对当事人</w:t>
      </w:r>
      <w:r>
        <w:rPr>
          <w:rFonts w:hint="eastAsia" w:ascii="仿宋_GB2312" w:hAnsi="Times New Roman" w:eastAsia="仿宋_GB2312" w:cs="仿宋_GB2312"/>
          <w:color w:val="000000"/>
          <w:sz w:val="32"/>
          <w:u w:val="none"/>
        </w:rPr>
        <w:t>立案</w:t>
      </w:r>
      <w:r>
        <w:rPr>
          <w:rFonts w:hint="eastAsia" w:ascii="仿宋_GB2312" w:hAnsi="Times New Roman" w:eastAsia="仿宋_GB2312" w:cs="仿宋_GB2312"/>
          <w:color w:val="000000"/>
          <w:sz w:val="32"/>
          <w:u w:val="none"/>
          <w:lang w:eastAsia="zh-CN"/>
        </w:rPr>
        <w:t>调查</w:t>
      </w:r>
      <w:r>
        <w:rPr>
          <w:rFonts w:hint="eastAsia" w:ascii="仿宋_GB2312" w:hAnsi="Times New Roman" w:eastAsia="仿宋_GB2312" w:cs="仿宋_GB2312"/>
          <w:color w:val="000000"/>
          <w:sz w:val="32"/>
          <w:u w:val="none"/>
        </w:rPr>
        <w:t>。</w:t>
      </w:r>
      <w:r>
        <w:rPr>
          <w:rFonts w:hint="eastAsia" w:ascii="仿宋_GB2312" w:hAnsi="仿宋_GB2312" w:eastAsia="仿宋_GB2312" w:cs="仿宋_GB2312"/>
          <w:color w:val="000000"/>
          <w:sz w:val="32"/>
          <w:szCs w:val="32"/>
          <w:u w:val="none"/>
          <w:lang w:val="en-US" w:eastAsia="zh-CN"/>
        </w:rPr>
        <w:t>2026年5月26日</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val="en-US" w:eastAsia="zh-CN"/>
        </w:rPr>
        <w:t>当事人经营者赖禹豪到本局接受</w:t>
      </w:r>
      <w:r>
        <w:rPr>
          <w:rFonts w:hint="eastAsia" w:ascii="仿宋_GB2312" w:hAnsi="仿宋_GB2312" w:eastAsia="仿宋_GB2312" w:cs="仿宋_GB2312"/>
          <w:color w:val="000000"/>
          <w:sz w:val="32"/>
          <w:szCs w:val="32"/>
          <w:u w:val="none"/>
        </w:rPr>
        <w:t>询问调查</w:t>
      </w:r>
      <w:r>
        <w:rPr>
          <w:rFonts w:hint="eastAsia" w:ascii="仿宋_GB2312" w:hAnsi="仿宋_GB2312" w:eastAsia="仿宋_GB2312" w:cs="仿宋_GB2312"/>
          <w:color w:val="000000"/>
          <w:sz w:val="32"/>
          <w:szCs w:val="32"/>
          <w:u w:val="none"/>
          <w:lang w:eastAsia="zh-CN"/>
        </w:rPr>
        <w:t>，提供了相关证据材料。</w:t>
      </w:r>
    </w:p>
    <w:p w14:paraId="4CDDFE11">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baseline"/>
        <w:rPr>
          <w:rFonts w:hint="eastAsia" w:ascii="仿宋_GB2312" w:hAnsi="仿宋" w:eastAsia="仿宋_GB2312"/>
          <w:color w:val="000000"/>
          <w:sz w:val="32"/>
          <w:szCs w:val="32"/>
          <w:highlight w:val="none"/>
          <w:lang w:val="en-US" w:eastAsia="zh-CN"/>
        </w:rPr>
      </w:pPr>
      <w:r>
        <w:rPr>
          <w:rFonts w:hint="eastAsia" w:ascii="仿宋_GB2312" w:hAnsi="仿宋_GB2312" w:eastAsia="仿宋_GB2312" w:cs="仿宋_GB2312"/>
          <w:color w:val="000000"/>
          <w:sz w:val="32"/>
          <w:szCs w:val="32"/>
          <w:u w:val="none"/>
          <w:lang w:val="en-US" w:eastAsia="zh-CN"/>
        </w:rPr>
        <w:t>经查，当事人取得《营业执照》在</w:t>
      </w:r>
      <w:r>
        <w:rPr>
          <w:rFonts w:hint="eastAsia" w:ascii="仿宋_GB2312" w:hAnsi="Times New Roman" w:eastAsia="仿宋_GB2312" w:cs="仿宋_GB2312"/>
          <w:color w:val="000000"/>
          <w:sz w:val="32"/>
          <w:u w:val="none"/>
          <w:lang w:val="en-US" w:eastAsia="zh-CN"/>
        </w:rPr>
        <w:t>柳州市融水县融水镇依山路******</w:t>
      </w:r>
      <w:r>
        <w:rPr>
          <w:rFonts w:hint="eastAsia" w:ascii="仿宋_GB2312" w:hAnsi="仿宋_GB2312" w:eastAsia="仿宋_GB2312" w:cs="仿宋_GB2312"/>
          <w:color w:val="000000"/>
          <w:sz w:val="32"/>
          <w:szCs w:val="32"/>
          <w:u w:val="none"/>
          <w:lang w:val="en-US" w:eastAsia="zh-CN"/>
        </w:rPr>
        <w:t>从事日用百货销售；日用品销售；食品销售；卫生洁具销售等经营活动，并于2026年1月1日用该《营业执照》注册了名为“青屿便利超市（融水店）”的网店。</w:t>
      </w:r>
      <w:r>
        <w:rPr>
          <w:rFonts w:hint="eastAsia" w:ascii="仿宋_GB2312" w:hAnsi="仿宋" w:eastAsia="仿宋_GB2312"/>
          <w:color w:val="000000"/>
          <w:sz w:val="32"/>
          <w:szCs w:val="32"/>
          <w:highlight w:val="none"/>
          <w:u w:val="none"/>
          <w:lang w:val="en-US" w:eastAsia="zh-CN"/>
        </w:rPr>
        <w:t>举报材料显示，融水县义熙便利超市在淘宝闪购店铺销售水龙头，产品未依据发改环资规〔2026〕1516号、《水效标识管理办法》中的规定在产品信息展示主页面醒目位置展示相应的水效标识。本局执法人员到融水县义熙便利超市开展现场核查时，在该便利超市货架上发现有举报者所举报的水龙头一个，该水龙头未有外包装盒及相关标识标签，同时登录当事人网店进入全部商品页面，搜索同款水龙头产品编号90000003，显示“单冷弯曲水龙头厨房浴室家用洗脸盆厨房菜盆卫生间水龙头90000003”已售罄，网页无相应水效标识。</w:t>
      </w:r>
    </w:p>
    <w:p w14:paraId="6CE9B03E">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baseline"/>
        <w:rPr>
          <w:rFonts w:hint="default" w:ascii="仿宋_GB2312" w:hAnsi="仿宋" w:eastAsia="仿宋_GB2312"/>
          <w:color w:val="000000"/>
          <w:sz w:val="32"/>
          <w:szCs w:val="32"/>
          <w:highlight w:val="none"/>
          <w:lang w:val="en-US" w:eastAsia="zh-CN"/>
        </w:rPr>
      </w:pPr>
      <w:r>
        <w:rPr>
          <w:rFonts w:hint="eastAsia" w:ascii="仿宋_GB2312" w:hAnsi="仿宋" w:eastAsia="仿宋_GB2312"/>
          <w:color w:val="000000"/>
          <w:sz w:val="32"/>
          <w:szCs w:val="32"/>
          <w:highlight w:val="none"/>
          <w:u w:val="none"/>
          <w:lang w:val="en-US" w:eastAsia="zh-CN"/>
        </w:rPr>
        <w:t>另查明，当事人以12元/个从广西信之杰商贸有限公司购进该款水龙头3个，并以17.13元/个销售了2个，剩余1个水龙头已下架退还销售商。当事人销售该批不符合《水效标识管理办法》要求的水龙头货值金额为51.39元，利润（即违法所得）为15.39元。</w:t>
      </w:r>
    </w:p>
    <w:p w14:paraId="772537F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上述事实，主要有以下证据证明：</w:t>
      </w:r>
      <w:bookmarkStart w:id="4" w:name="CALCULATE—ZJCL—tajCltjes_zjclxx"/>
    </w:p>
    <w:bookmarkEnd w:id="4"/>
    <w:p w14:paraId="0A30B02F">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《转办单及投诉举报材料》1份共5页，证明案件来源登记、投诉举报者供提的证据材料、转办等情况；</w:t>
      </w:r>
    </w:p>
    <w:p w14:paraId="32E8A2E6">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《行政检查通知书及行政检查审批表》1份共2页，证明执法人员开展处置投诉举报检查时已经过领导审批同意和检查前通知当事人情况；</w:t>
      </w:r>
    </w:p>
    <w:p w14:paraId="122C8F03">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《现场笔录》1份共3页，证明现场检查记录及现场记录当事人具体行为事实情况；</w:t>
      </w:r>
    </w:p>
    <w:p w14:paraId="03AC0466">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《送达地址确认书》1份共1页，证明当事人确认文书送达的地址和方式；</w:t>
      </w:r>
    </w:p>
    <w:p w14:paraId="51CB91EC">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送达回证（行政检查通知书、送达地址确认书），证明本局依法向当事人送达相关文书；</w:t>
      </w:r>
    </w:p>
    <w:p w14:paraId="36342457">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《证据提取单（营业执照、居民身份证）》1份共2页，证明当事人的主体资质及当事人身份符合承担法律责任的主体资格；</w:t>
      </w:r>
    </w:p>
    <w:p w14:paraId="37AC3552">
      <w:pPr>
        <w:pStyle w:val="4"/>
        <w:keepNext w:val="0"/>
        <w:keepLines w:val="0"/>
        <w:pageBreakBefore w:val="0"/>
        <w:numPr>
          <w:ilvl w:val="0"/>
          <w:numId w:val="3"/>
        </w:numPr>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《证据提取单（现场检查照片）》1份共3页，证明执法人员现场检查情况；</w:t>
      </w:r>
    </w:p>
    <w:p w14:paraId="71FF5143">
      <w:pPr>
        <w:pStyle w:val="4"/>
        <w:keepNext w:val="0"/>
        <w:keepLines w:val="0"/>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8、《证据提取单（涉案产品照片）》1份共1页，证明涉案产品无相关标识标签信息；</w:t>
      </w:r>
    </w:p>
    <w:p w14:paraId="770FBA42">
      <w:pPr>
        <w:pStyle w:val="4"/>
        <w:keepNext w:val="0"/>
        <w:keepLines w:val="0"/>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9、《询问通知书》（融水市监询通﹝2026﹞9号），证明本局依法通知当事人进行询问的事实；</w:t>
      </w:r>
    </w:p>
    <w:p w14:paraId="36121E0C">
      <w:pPr>
        <w:pStyle w:val="10"/>
        <w:keepNext w:val="0"/>
        <w:keepLines w:val="0"/>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hAnsi="仿宋_GB2312" w:cs="仿宋_GB2312"/>
          <w:b w:val="0"/>
          <w:bCs w:val="0"/>
          <w:color w:val="000000"/>
          <w:sz w:val="32"/>
          <w:szCs w:val="32"/>
          <w:u w:val="none"/>
          <w:lang w:val="en-US" w:eastAsia="zh-CN"/>
        </w:rPr>
        <w:t>10</w:t>
      </w:r>
      <w:r>
        <w:rPr>
          <w:rFonts w:hint="eastAsia" w:ascii="仿宋_GB2312" w:hAnsi="仿宋_GB2312" w:eastAsia="仿宋_GB2312" w:cs="仿宋_GB2312"/>
          <w:b w:val="0"/>
          <w:bCs w:val="0"/>
          <w:color w:val="000000"/>
          <w:sz w:val="32"/>
          <w:szCs w:val="32"/>
          <w:u w:val="none"/>
          <w:lang w:val="en-US" w:eastAsia="zh-CN"/>
        </w:rPr>
        <w:t>、《</w:t>
      </w:r>
      <w:r>
        <w:rPr>
          <w:rFonts w:hint="eastAsia" w:hAnsi="仿宋_GB2312" w:cs="仿宋_GB2312"/>
          <w:b w:val="0"/>
          <w:bCs w:val="0"/>
          <w:color w:val="000000"/>
          <w:sz w:val="32"/>
          <w:szCs w:val="32"/>
          <w:u w:val="none"/>
          <w:lang w:val="en-US" w:eastAsia="zh-CN"/>
        </w:rPr>
        <w:t>限期提供材料通知书</w:t>
      </w:r>
      <w:r>
        <w:rPr>
          <w:rFonts w:hint="eastAsia" w:ascii="仿宋_GB2312" w:hAnsi="仿宋_GB2312" w:eastAsia="仿宋_GB2312" w:cs="仿宋_GB2312"/>
          <w:b w:val="0"/>
          <w:bCs w:val="0"/>
          <w:color w:val="000000"/>
          <w:sz w:val="32"/>
          <w:szCs w:val="32"/>
          <w:u w:val="none"/>
          <w:lang w:val="en-US" w:eastAsia="zh-CN"/>
        </w:rPr>
        <w:t>》</w:t>
      </w:r>
      <w:r>
        <w:rPr>
          <w:rFonts w:hint="eastAsia" w:ascii="仿宋_GB2312" w:hAnsi="仿宋_GB2312" w:eastAsia="仿宋_GB2312" w:cs="仿宋_GB2312"/>
          <w:b w:val="0"/>
          <w:bCs w:val="0"/>
          <w:color w:val="000000"/>
          <w:kern w:val="2"/>
          <w:sz w:val="32"/>
          <w:szCs w:val="32"/>
          <w:u w:val="none"/>
          <w:lang w:val="en-US" w:eastAsia="zh-CN" w:bidi="ar-SA"/>
        </w:rPr>
        <w:t>（融水市监</w:t>
      </w:r>
      <w:r>
        <w:rPr>
          <w:rFonts w:hint="eastAsia" w:hAnsi="仿宋_GB2312" w:cs="仿宋_GB2312"/>
          <w:b w:val="0"/>
          <w:bCs w:val="0"/>
          <w:color w:val="000000"/>
          <w:kern w:val="2"/>
          <w:sz w:val="32"/>
          <w:szCs w:val="32"/>
          <w:u w:val="none"/>
          <w:lang w:val="en-US" w:eastAsia="zh-CN" w:bidi="ar-SA"/>
        </w:rPr>
        <w:t>限提</w:t>
      </w:r>
      <w:r>
        <w:rPr>
          <w:rFonts w:hint="eastAsia" w:ascii="仿宋_GB2312" w:hAnsi="仿宋_GB2312" w:eastAsia="仿宋_GB2312" w:cs="仿宋_GB2312"/>
          <w:b w:val="0"/>
          <w:bCs w:val="0"/>
          <w:color w:val="000000"/>
          <w:kern w:val="2"/>
          <w:sz w:val="32"/>
          <w:szCs w:val="32"/>
          <w:u w:val="none"/>
          <w:lang w:val="en-US" w:eastAsia="zh-CN" w:bidi="ar-SA"/>
        </w:rPr>
        <w:t>﹝2026﹞</w:t>
      </w:r>
      <w:r>
        <w:rPr>
          <w:rFonts w:hint="eastAsia" w:hAnsi="仿宋_GB2312" w:cs="仿宋_GB2312"/>
          <w:b w:val="0"/>
          <w:bCs w:val="0"/>
          <w:color w:val="000000"/>
          <w:kern w:val="2"/>
          <w:sz w:val="32"/>
          <w:szCs w:val="32"/>
          <w:u w:val="none"/>
          <w:lang w:val="en-US" w:eastAsia="zh-CN" w:bidi="ar-SA"/>
        </w:rPr>
        <w:t>8</w:t>
      </w:r>
      <w:r>
        <w:rPr>
          <w:rFonts w:hint="eastAsia" w:ascii="仿宋_GB2312" w:hAnsi="仿宋_GB2312" w:eastAsia="仿宋_GB2312" w:cs="仿宋_GB2312"/>
          <w:b w:val="0"/>
          <w:bCs w:val="0"/>
          <w:color w:val="000000"/>
          <w:kern w:val="2"/>
          <w:sz w:val="32"/>
          <w:szCs w:val="32"/>
          <w:u w:val="none"/>
          <w:lang w:val="en-US" w:eastAsia="zh-CN" w:bidi="ar-SA"/>
        </w:rPr>
        <w:t>号）</w:t>
      </w:r>
      <w:r>
        <w:rPr>
          <w:rFonts w:hint="eastAsia" w:ascii="仿宋_GB2312" w:hAnsi="仿宋_GB2312" w:eastAsia="仿宋_GB2312" w:cs="仿宋_GB2312"/>
          <w:b w:val="0"/>
          <w:bCs w:val="0"/>
          <w:color w:val="000000"/>
          <w:sz w:val="32"/>
          <w:szCs w:val="32"/>
          <w:u w:val="none"/>
          <w:lang w:val="en-US" w:eastAsia="zh-CN"/>
        </w:rPr>
        <w:t>，证明</w:t>
      </w:r>
      <w:r>
        <w:rPr>
          <w:rFonts w:hint="eastAsia" w:hAnsi="仿宋_GB2312" w:cs="仿宋_GB2312"/>
          <w:b w:val="0"/>
          <w:bCs w:val="0"/>
          <w:color w:val="000000"/>
          <w:sz w:val="32"/>
          <w:szCs w:val="32"/>
          <w:u w:val="none"/>
          <w:lang w:val="en-US" w:eastAsia="zh-CN"/>
        </w:rPr>
        <w:t>本局依法要求</w:t>
      </w:r>
      <w:r>
        <w:rPr>
          <w:rFonts w:hint="eastAsia" w:ascii="仿宋_GB2312" w:hAnsi="仿宋_GB2312" w:eastAsia="仿宋_GB2312" w:cs="仿宋_GB2312"/>
          <w:b w:val="0"/>
          <w:bCs w:val="0"/>
          <w:color w:val="000000"/>
          <w:sz w:val="32"/>
          <w:szCs w:val="32"/>
          <w:u w:val="none"/>
          <w:lang w:val="en-US" w:eastAsia="zh-CN"/>
        </w:rPr>
        <w:t>当事人</w:t>
      </w:r>
      <w:r>
        <w:rPr>
          <w:rFonts w:hint="eastAsia" w:ascii="仿宋_GB2312" w:hAnsi="仿宋_GB2312" w:eastAsia="仿宋_GB2312" w:cs="仿宋_GB2312"/>
          <w:b w:val="0"/>
          <w:bCs w:val="0"/>
          <w:color w:val="000000"/>
          <w:kern w:val="2"/>
          <w:sz w:val="32"/>
          <w:szCs w:val="32"/>
          <w:u w:val="none"/>
          <w:lang w:val="en-US" w:eastAsia="zh-CN" w:bidi="ar-SA"/>
        </w:rPr>
        <w:t>提供</w:t>
      </w:r>
      <w:r>
        <w:rPr>
          <w:rFonts w:hint="eastAsia" w:hAnsi="仿宋_GB2312" w:cs="仿宋_GB2312"/>
          <w:b w:val="0"/>
          <w:bCs w:val="0"/>
          <w:color w:val="000000"/>
          <w:kern w:val="2"/>
          <w:sz w:val="32"/>
          <w:szCs w:val="32"/>
          <w:u w:val="none"/>
          <w:lang w:val="en-US" w:eastAsia="zh-CN" w:bidi="ar-SA"/>
        </w:rPr>
        <w:t>相关</w:t>
      </w:r>
      <w:r>
        <w:rPr>
          <w:rFonts w:hint="eastAsia" w:ascii="仿宋_GB2312" w:hAnsi="仿宋_GB2312" w:eastAsia="仿宋_GB2312" w:cs="仿宋_GB2312"/>
          <w:b w:val="0"/>
          <w:bCs w:val="0"/>
          <w:color w:val="000000"/>
          <w:kern w:val="2"/>
          <w:sz w:val="32"/>
          <w:szCs w:val="32"/>
          <w:u w:val="none"/>
          <w:lang w:val="en-US" w:eastAsia="zh-CN" w:bidi="ar-SA"/>
        </w:rPr>
        <w:t>证明材料</w:t>
      </w:r>
      <w:r>
        <w:rPr>
          <w:rFonts w:hint="eastAsia" w:hAnsi="仿宋_GB2312" w:cs="仿宋_GB2312"/>
          <w:b w:val="0"/>
          <w:bCs w:val="0"/>
          <w:color w:val="000000"/>
          <w:kern w:val="2"/>
          <w:sz w:val="32"/>
          <w:szCs w:val="32"/>
          <w:u w:val="none"/>
          <w:lang w:val="en-US" w:eastAsia="zh-CN" w:bidi="ar-SA"/>
        </w:rPr>
        <w:t>的事实</w:t>
      </w:r>
      <w:r>
        <w:rPr>
          <w:rFonts w:hint="eastAsia" w:ascii="仿宋_GB2312" w:hAnsi="仿宋_GB2312" w:eastAsia="仿宋_GB2312" w:cs="仿宋_GB2312"/>
          <w:b w:val="0"/>
          <w:bCs w:val="0"/>
          <w:color w:val="000000"/>
          <w:sz w:val="32"/>
          <w:szCs w:val="32"/>
          <w:u w:val="none"/>
          <w:lang w:val="en-US" w:eastAsia="zh-CN"/>
        </w:rPr>
        <w:t>；</w:t>
      </w:r>
    </w:p>
    <w:p w14:paraId="4638814D">
      <w:pPr>
        <w:pStyle w:val="10"/>
        <w:keepNext w:val="0"/>
        <w:keepLines w:val="0"/>
        <w:pageBreakBefore w:val="0"/>
        <w:kinsoku/>
        <w:wordWrap/>
        <w:overflowPunct/>
        <w:topLinePunct w:val="0"/>
        <w:bidi w:val="0"/>
        <w:snapToGrid/>
        <w:spacing w:line="540" w:lineRule="exact"/>
        <w:ind w:firstLine="640" w:firstLineChars="200"/>
        <w:textAlignment w:val="auto"/>
        <w:rPr>
          <w:rFonts w:hint="eastAsia" w:hAnsi="仿宋_GB2312" w:cs="仿宋_GB2312"/>
          <w:b w:val="0"/>
          <w:bCs w:val="0"/>
          <w:color w:val="auto"/>
          <w:kern w:val="2"/>
          <w:sz w:val="32"/>
          <w:szCs w:val="32"/>
          <w:u w:val="none"/>
          <w:lang w:val="en-US" w:eastAsia="zh-CN" w:bidi="ar-SA"/>
        </w:rPr>
      </w:pPr>
      <w:r>
        <w:rPr>
          <w:rFonts w:hint="eastAsia" w:hAnsi="仿宋_GB2312" w:cs="仿宋_GB2312"/>
          <w:b w:val="0"/>
          <w:bCs w:val="0"/>
          <w:color w:val="000000"/>
          <w:sz w:val="32"/>
          <w:szCs w:val="32"/>
          <w:u w:val="none"/>
          <w:lang w:val="en-US" w:eastAsia="zh-CN"/>
        </w:rPr>
        <w:t>11、</w:t>
      </w:r>
      <w:r>
        <w:rPr>
          <w:rFonts w:hint="eastAsia" w:hAnsi="仿宋_GB2312" w:cs="仿宋_GB2312"/>
          <w:b w:val="0"/>
          <w:bCs w:val="0"/>
          <w:color w:val="000000"/>
          <w:kern w:val="2"/>
          <w:sz w:val="32"/>
          <w:szCs w:val="32"/>
          <w:u w:val="none"/>
          <w:lang w:val="en-US" w:eastAsia="zh-CN" w:bidi="ar-SA"/>
        </w:rPr>
        <w:t>送达回证（</w:t>
      </w:r>
      <w:r>
        <w:rPr>
          <w:rFonts w:hint="eastAsia" w:ascii="仿宋_GB2312" w:hAnsi="仿宋_GB2312" w:eastAsia="仿宋_GB2312" w:cs="仿宋_GB2312"/>
          <w:b w:val="0"/>
          <w:bCs w:val="0"/>
          <w:color w:val="000000"/>
          <w:kern w:val="2"/>
          <w:sz w:val="32"/>
          <w:szCs w:val="32"/>
          <w:u w:val="none"/>
          <w:lang w:val="en-US" w:eastAsia="zh-CN" w:bidi="ar-SA"/>
        </w:rPr>
        <w:t>融水市监询通﹝2026﹞9号</w:t>
      </w:r>
      <w:r>
        <w:rPr>
          <w:rFonts w:hint="eastAsia" w:hAnsi="仿宋_GB2312" w:cs="仿宋_GB2312"/>
          <w:b w:val="0"/>
          <w:bCs w:val="0"/>
          <w:color w:val="000000"/>
          <w:kern w:val="2"/>
          <w:sz w:val="32"/>
          <w:szCs w:val="32"/>
          <w:u w:val="none"/>
          <w:lang w:val="en-US" w:eastAsia="zh-CN" w:bidi="ar-SA"/>
        </w:rPr>
        <w:t>、</w:t>
      </w:r>
      <w:r>
        <w:rPr>
          <w:rFonts w:hint="eastAsia" w:ascii="仿宋_GB2312" w:hAnsi="仿宋_GB2312" w:eastAsia="仿宋_GB2312" w:cs="仿宋_GB2312"/>
          <w:b w:val="0"/>
          <w:bCs w:val="0"/>
          <w:color w:val="000000"/>
          <w:kern w:val="2"/>
          <w:sz w:val="32"/>
          <w:szCs w:val="32"/>
          <w:u w:val="none"/>
          <w:lang w:val="en-US" w:eastAsia="zh-CN" w:bidi="ar-SA"/>
        </w:rPr>
        <w:t>融水市监</w:t>
      </w:r>
      <w:r>
        <w:rPr>
          <w:rFonts w:hint="eastAsia" w:hAnsi="仿宋_GB2312" w:cs="仿宋_GB2312"/>
          <w:b w:val="0"/>
          <w:bCs w:val="0"/>
          <w:color w:val="000000"/>
          <w:kern w:val="2"/>
          <w:sz w:val="32"/>
          <w:szCs w:val="32"/>
          <w:u w:val="none"/>
          <w:lang w:val="en-US" w:eastAsia="zh-CN" w:bidi="ar-SA"/>
        </w:rPr>
        <w:t>限提</w:t>
      </w:r>
      <w:r>
        <w:rPr>
          <w:rFonts w:hint="eastAsia" w:ascii="仿宋_GB2312" w:hAnsi="仿宋_GB2312" w:eastAsia="仿宋_GB2312" w:cs="仿宋_GB2312"/>
          <w:b w:val="0"/>
          <w:bCs w:val="0"/>
          <w:color w:val="000000"/>
          <w:kern w:val="2"/>
          <w:sz w:val="32"/>
          <w:szCs w:val="32"/>
          <w:u w:val="none"/>
          <w:lang w:val="en-US" w:eastAsia="zh-CN" w:bidi="ar-SA"/>
        </w:rPr>
        <w:t>﹝2026﹞</w:t>
      </w:r>
      <w:r>
        <w:rPr>
          <w:rFonts w:hint="eastAsia" w:hAnsi="仿宋_GB2312" w:cs="仿宋_GB2312"/>
          <w:b w:val="0"/>
          <w:bCs w:val="0"/>
          <w:color w:val="000000"/>
          <w:kern w:val="2"/>
          <w:sz w:val="32"/>
          <w:szCs w:val="32"/>
          <w:u w:val="none"/>
          <w:lang w:val="en-US" w:eastAsia="zh-CN" w:bidi="ar-SA"/>
        </w:rPr>
        <w:t>8</w:t>
      </w:r>
      <w:r>
        <w:rPr>
          <w:rFonts w:hint="eastAsia" w:ascii="仿宋_GB2312" w:hAnsi="仿宋_GB2312" w:eastAsia="仿宋_GB2312" w:cs="仿宋_GB2312"/>
          <w:b w:val="0"/>
          <w:bCs w:val="0"/>
          <w:color w:val="000000"/>
          <w:kern w:val="2"/>
          <w:sz w:val="32"/>
          <w:szCs w:val="32"/>
          <w:u w:val="none"/>
          <w:lang w:val="en-US" w:eastAsia="zh-CN" w:bidi="ar-SA"/>
        </w:rPr>
        <w:t>号</w:t>
      </w:r>
      <w:r>
        <w:rPr>
          <w:rFonts w:hint="eastAsia" w:hAnsi="仿宋_GB2312" w:cs="仿宋_GB2312"/>
          <w:b w:val="0"/>
          <w:bCs w:val="0"/>
          <w:color w:val="000000"/>
          <w:kern w:val="2"/>
          <w:sz w:val="32"/>
          <w:szCs w:val="32"/>
          <w:u w:val="none"/>
          <w:lang w:val="en-US" w:eastAsia="zh-CN" w:bidi="ar-SA"/>
        </w:rPr>
        <w:t>），证明本局依法向当事人送达相关文书；</w:t>
      </w:r>
    </w:p>
    <w:p w14:paraId="39E33F8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000000"/>
          <w:sz w:val="32"/>
          <w:szCs w:val="32"/>
          <w:u w:val="none"/>
          <w:lang w:val="en-US" w:eastAsia="zh-CN"/>
        </w:rPr>
        <w:t>12、《询问笔录》1份共</w:t>
      </w:r>
      <w:r>
        <w:rPr>
          <w:rFonts w:hint="eastAsia" w:hAnsi="仿宋_GB2312" w:cs="仿宋_GB2312"/>
          <w:b w:val="0"/>
          <w:bCs w:val="0"/>
          <w:color w:val="000000"/>
          <w:sz w:val="32"/>
          <w:szCs w:val="32"/>
          <w:u w:val="none"/>
          <w:lang w:val="en-US" w:eastAsia="zh-CN"/>
        </w:rPr>
        <w:t>4</w:t>
      </w:r>
      <w:r>
        <w:rPr>
          <w:rFonts w:hint="eastAsia" w:ascii="仿宋_GB2312" w:hAnsi="仿宋_GB2312" w:eastAsia="仿宋_GB2312" w:cs="仿宋_GB2312"/>
          <w:b w:val="0"/>
          <w:bCs w:val="0"/>
          <w:color w:val="000000"/>
          <w:sz w:val="32"/>
          <w:szCs w:val="32"/>
          <w:u w:val="none"/>
          <w:lang w:val="en-US" w:eastAsia="zh-CN"/>
        </w:rPr>
        <w:t>页，</w:t>
      </w:r>
      <w:r>
        <w:rPr>
          <w:rFonts w:hint="eastAsia" w:ascii="仿宋_GB2312" w:hAnsi="仿宋_GB2312" w:eastAsia="仿宋_GB2312" w:cs="仿宋_GB2312"/>
          <w:color w:val="000000"/>
          <w:sz w:val="32"/>
          <w:szCs w:val="32"/>
          <w:u w:val="none"/>
        </w:rPr>
        <w:t>证明当事人的违法事实及涉案货值、违法所得等</w:t>
      </w:r>
      <w:r>
        <w:rPr>
          <w:rFonts w:hint="eastAsia" w:ascii="仿宋_GB2312" w:hAnsi="仿宋_GB2312" w:eastAsia="仿宋_GB2312" w:cs="仿宋_GB2312"/>
          <w:color w:val="000000"/>
          <w:sz w:val="32"/>
          <w:szCs w:val="32"/>
          <w:u w:val="none"/>
          <w:lang w:eastAsia="zh-CN"/>
        </w:rPr>
        <w:t>；</w:t>
      </w:r>
    </w:p>
    <w:p w14:paraId="1A03B6C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13、《检验报告》1份共3页，证明被举报水龙头的检验结果；</w:t>
      </w:r>
    </w:p>
    <w:p w14:paraId="4F7803D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u w:val="none"/>
          <w:lang w:val="en-US" w:eastAsia="zh-CN"/>
        </w:rPr>
        <w:t>14、供货商营业执照，证明被举报水龙头的进货来源；</w:t>
      </w:r>
    </w:p>
    <w:p w14:paraId="1787F7C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u w:val="none"/>
          <w:lang w:val="en-US" w:eastAsia="zh-CN"/>
        </w:rPr>
        <w:t>15、商品出库单，证明被举报水龙头的出入库及库存信息；</w:t>
      </w:r>
    </w:p>
    <w:p w14:paraId="6B4E19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u w:val="none"/>
          <w:lang w:val="en-US" w:eastAsia="zh-CN"/>
        </w:rPr>
        <w:t>16、《情况说明》，证明淘宝闪购互联网平台无法出具商家具体销售情况。</w:t>
      </w:r>
    </w:p>
    <w:p w14:paraId="54FBC0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000000"/>
          <w:sz w:val="32"/>
          <w:szCs w:val="32"/>
          <w:u w:val="none"/>
          <w:lang w:val="en-US" w:eastAsia="zh-CN"/>
        </w:rPr>
        <w:t>上述证据相互认证，并由出证人在相关材料上签字确认</w:t>
      </w:r>
      <w:r>
        <w:rPr>
          <w:rFonts w:hint="eastAsia" w:ascii="仿宋_GB2312" w:hAnsi="仿宋_GB2312" w:eastAsia="仿宋_GB2312" w:cs="仿宋_GB2312"/>
          <w:b w:val="0"/>
          <w:bCs w:val="0"/>
          <w:color w:val="000000"/>
          <w:sz w:val="32"/>
          <w:szCs w:val="32"/>
          <w:u w:val="none"/>
          <w:lang w:eastAsia="zh-CN"/>
        </w:rPr>
        <w:t>。</w:t>
      </w:r>
    </w:p>
    <w:p w14:paraId="670F651C">
      <w:pPr>
        <w:pStyle w:val="3"/>
        <w:keepNext w:val="0"/>
        <w:keepLines w:val="0"/>
        <w:pageBreakBefore w:val="0"/>
        <w:tabs>
          <w:tab w:val="left" w:pos="9060"/>
        </w:tabs>
        <w:kinsoku/>
        <w:wordWrap/>
        <w:overflowPunct/>
        <w:topLinePunct/>
        <w:autoSpaceDE/>
        <w:autoSpaceDN/>
        <w:bidi w:val="0"/>
        <w:snapToGrid/>
        <w:spacing w:line="540" w:lineRule="exact"/>
        <w:ind w:firstLine="640" w:firstLineChars="200"/>
        <w:textAlignment w:val="auto"/>
        <w:rPr>
          <w:rFonts w:hint="default"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2026年6月18日，本局向当事人送达《行政处罚告知书》（融水市监罚告〔2026〕107号），其在规定期限内没有提出陈述、申辩，视为放弃此权利。</w:t>
      </w:r>
    </w:p>
    <w:p w14:paraId="221AFA83">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baseline"/>
        <w:rPr>
          <w:rFonts w:hint="eastAsia" w:ascii="仿宋_GB2312" w:hAnsi="仿宋" w:eastAsia="仿宋_GB2312"/>
          <w:color w:val="000000"/>
          <w:sz w:val="32"/>
          <w:szCs w:val="32"/>
          <w:highlight w:val="none"/>
          <w:lang w:val="en-US" w:eastAsia="zh-CN"/>
        </w:rPr>
      </w:pPr>
      <w:r>
        <w:rPr>
          <w:rFonts w:hint="eastAsia" w:ascii="仿宋_GB2312" w:hAnsi="仿宋" w:eastAsia="仿宋_GB2312" w:cs="Times New Roman"/>
          <w:color w:val="000000"/>
          <w:sz w:val="32"/>
          <w:szCs w:val="32"/>
          <w:highlight w:val="none"/>
          <w:u w:val="none"/>
          <w:lang w:val="en-US" w:eastAsia="zh-CN"/>
        </w:rPr>
        <w:t>本局认为，</w:t>
      </w:r>
      <w:bookmarkStart w:id="5" w:name="OLE_LINK2"/>
      <w:r>
        <w:rPr>
          <w:rFonts w:hint="eastAsia" w:ascii="仿宋_GB2312" w:hAnsi="仿宋" w:eastAsia="仿宋_GB2312" w:cs="Times New Roman"/>
          <w:color w:val="000000"/>
          <w:sz w:val="32"/>
          <w:szCs w:val="32"/>
          <w:highlight w:val="none"/>
          <w:u w:val="none"/>
          <w:lang w:val="en-US" w:eastAsia="zh-CN"/>
        </w:rPr>
        <w:t>当事人销售未标注水效标识水龙头的行为，违反了《水效</w:t>
      </w:r>
      <w:r>
        <w:rPr>
          <w:rFonts w:hint="eastAsia" w:ascii="仿宋_GB2312" w:hAnsi="仿宋" w:eastAsia="仿宋_GB2312"/>
          <w:color w:val="000000"/>
          <w:sz w:val="32"/>
          <w:szCs w:val="32"/>
          <w:highlight w:val="none"/>
          <w:u w:val="none"/>
          <w:lang w:val="en-US" w:eastAsia="zh-CN"/>
        </w:rPr>
        <w:t>标识管理办法》第八条第一款“凡列入《目录》的产品，应当在产品或者产品最小包装的明显部位标注水效标识，并在产品使用说明书中予以说明。对于网络交易，销售者应当在产品信息展示主页面醒目位置展示相应的水效标识。”的规定</w:t>
      </w:r>
      <w:bookmarkEnd w:id="5"/>
      <w:r>
        <w:rPr>
          <w:rFonts w:hint="eastAsia" w:ascii="仿宋_GB2312" w:hAnsi="仿宋" w:eastAsia="仿宋_GB2312"/>
          <w:color w:val="000000"/>
          <w:sz w:val="32"/>
          <w:szCs w:val="32"/>
          <w:highlight w:val="none"/>
          <w:u w:val="none"/>
          <w:lang w:val="en-US" w:eastAsia="zh-CN"/>
        </w:rPr>
        <w:t>，构成了销售不符合《水效标识管理办法》规定水龙头的违法行为。</w:t>
      </w:r>
    </w:p>
    <w:p w14:paraId="17C5A2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bookmarkStart w:id="6" w:name="OLE_LINK18"/>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在本案调查过程中，</w:t>
      </w:r>
      <w:r>
        <w:rPr>
          <w:rFonts w:hint="eastAsia" w:ascii="仿宋_GB2312" w:hAnsi="仿宋_GB2312" w:eastAsia="仿宋_GB2312" w:cs="仿宋_GB2312"/>
          <w:b w:val="0"/>
          <w:bCs w:val="0"/>
          <w:i w:val="0"/>
          <w:iCs w:val="0"/>
          <w:caps w:val="0"/>
          <w:color w:val="000000"/>
          <w:spacing w:val="0"/>
          <w:sz w:val="32"/>
          <w:szCs w:val="32"/>
          <w:u w:val="none"/>
          <w:shd w:val="clear" w:fill="FFFFFF"/>
        </w:rPr>
        <w:t>当事人能积极配合</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本</w:t>
      </w:r>
      <w:r>
        <w:rPr>
          <w:rFonts w:hint="eastAsia" w:ascii="仿宋_GB2312" w:hAnsi="仿宋_GB2312" w:eastAsia="仿宋_GB2312" w:cs="仿宋_GB2312"/>
          <w:b w:val="0"/>
          <w:bCs w:val="0"/>
          <w:i w:val="0"/>
          <w:iCs w:val="0"/>
          <w:caps w:val="0"/>
          <w:color w:val="000000"/>
          <w:spacing w:val="0"/>
          <w:sz w:val="32"/>
          <w:szCs w:val="32"/>
          <w:u w:val="none"/>
          <w:shd w:val="clear" w:fill="FFFFFF"/>
        </w:rPr>
        <w:t>局执法人员开展调查,如实陈述违法事实并主动提供相关证据材料</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，且本案涉案金额小，</w:t>
      </w:r>
      <w:r>
        <w:rPr>
          <w:rFonts w:hint="eastAsia" w:ascii="仿宋_GB2312" w:hAnsi="仿宋" w:eastAsia="仿宋_GB2312"/>
          <w:color w:val="000000"/>
          <w:sz w:val="32"/>
          <w:szCs w:val="32"/>
          <w:highlight w:val="none"/>
          <w:u w:val="none"/>
          <w:lang w:val="en-US" w:eastAsia="zh-CN"/>
        </w:rPr>
        <w:t>案发后能主动整改并及时对不符合要求的水龙头进行下架处</w:t>
      </w:r>
      <w:r>
        <w:rPr>
          <w:rFonts w:hint="eastAsia" w:ascii="仿宋_GB2312" w:hAnsi="仿宋" w:eastAsia="仿宋_GB2312" w:cs="Times New Roman"/>
          <w:color w:val="000000"/>
          <w:sz w:val="32"/>
          <w:szCs w:val="32"/>
          <w:highlight w:val="none"/>
          <w:u w:val="none"/>
          <w:lang w:val="en-US" w:eastAsia="zh-CN"/>
        </w:rPr>
        <w:t>理，违法行为轻微，社会危害性较小。</w:t>
      </w:r>
      <w:bookmarkEnd w:id="6"/>
      <w:r>
        <w:rPr>
          <w:rFonts w:hint="eastAsia" w:ascii="仿宋_GB2312" w:hAnsi="仿宋_GB2312" w:eastAsia="仿宋_GB2312" w:cs="仿宋_GB2312"/>
          <w:b w:val="0"/>
          <w:bCs w:val="0"/>
          <w:i w:val="0"/>
          <w:iCs w:val="0"/>
          <w:caps w:val="0"/>
          <w:color w:val="000000"/>
          <w:spacing w:val="0"/>
          <w:sz w:val="32"/>
          <w:szCs w:val="32"/>
          <w:u w:val="none"/>
          <w:shd w:val="clear" w:fill="FFFFFF"/>
        </w:rPr>
        <w:t>依据《中华人民共和国行政处罚法》第三十二条第五项:“</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当事人有下列情形之一，应当从轻或者减轻行政处罚：</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 ...</w:t>
      </w:r>
      <w:r>
        <w:rPr>
          <w:rFonts w:hint="eastAsia" w:ascii="仿宋_GB2312" w:hAnsi="仿宋_GB2312" w:eastAsia="仿宋_GB2312" w:cs="仿宋_GB2312"/>
          <w:b w:val="0"/>
          <w:bCs w:val="0"/>
          <w:i w:val="0"/>
          <w:iCs w:val="0"/>
          <w:caps w:val="0"/>
          <w:color w:val="000000"/>
          <w:spacing w:val="0"/>
          <w:sz w:val="32"/>
          <w:szCs w:val="32"/>
          <w:u w:val="none"/>
          <w:shd w:val="clear" w:fill="FFFFFF"/>
        </w:rPr>
        <w:t>(五)法律、法规、规章规定其他应当从轻或者减轻行政处罚的”的规定</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，参照</w:t>
      </w:r>
      <w:r>
        <w:rPr>
          <w:rFonts w:hint="eastAsia" w:ascii="仿宋_GB2312" w:hAnsi="仿宋_GB2312" w:eastAsia="仿宋_GB2312" w:cs="仿宋_GB2312"/>
          <w:b w:val="0"/>
          <w:bCs w:val="0"/>
          <w:color w:val="000000"/>
          <w:sz w:val="32"/>
          <w:szCs w:val="32"/>
          <w:u w:val="none"/>
          <w:lang w:val="en-US" w:eastAsia="zh-CN"/>
        </w:rPr>
        <w:t>《关于规范市场监督管理行政处罚裁量权的指导意见》（国市监法规〔2022〕2号）第十四条第（二）、（三）项“有下列情形之一的，可以依法从轻或者减轻行政处罚：......（二）积极配合市场监管部门调查并主动提供证据材料的；（三）违法行为轻微，社会危害性较小的；”的规定</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当事人的违法行为情节符合</w:t>
      </w:r>
      <w:r>
        <w:rPr>
          <w:rFonts w:hint="eastAsia" w:ascii="仿宋_GB2312" w:hAnsi="仿宋_GB2312" w:eastAsia="仿宋_GB2312" w:cs="仿宋_GB2312"/>
          <w:b w:val="0"/>
          <w:bCs w:val="0"/>
          <w:i w:val="0"/>
          <w:iCs w:val="0"/>
          <w:caps w:val="0"/>
          <w:color w:val="000000"/>
          <w:spacing w:val="0"/>
          <w:sz w:val="32"/>
          <w:szCs w:val="32"/>
          <w:u w:val="none"/>
          <w:shd w:val="clear" w:fill="FFFFFF"/>
        </w:rPr>
        <w:t>给予</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减</w:t>
      </w:r>
      <w:r>
        <w:rPr>
          <w:rFonts w:hint="eastAsia" w:ascii="仿宋_GB2312" w:hAnsi="仿宋_GB2312" w:eastAsia="仿宋_GB2312" w:cs="仿宋_GB2312"/>
          <w:b w:val="0"/>
          <w:bCs w:val="0"/>
          <w:i w:val="0"/>
          <w:iCs w:val="0"/>
          <w:caps w:val="0"/>
          <w:color w:val="000000"/>
          <w:spacing w:val="0"/>
          <w:sz w:val="32"/>
          <w:szCs w:val="32"/>
          <w:u w:val="none"/>
          <w:shd w:val="clear" w:fill="FFFFFF"/>
        </w:rPr>
        <w:t>轻</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行政</w:t>
      </w:r>
      <w:r>
        <w:rPr>
          <w:rFonts w:hint="eastAsia" w:ascii="仿宋_GB2312" w:hAnsi="仿宋_GB2312" w:eastAsia="仿宋_GB2312" w:cs="仿宋_GB2312"/>
          <w:b w:val="0"/>
          <w:bCs w:val="0"/>
          <w:i w:val="0"/>
          <w:iCs w:val="0"/>
          <w:caps w:val="0"/>
          <w:color w:val="000000"/>
          <w:spacing w:val="0"/>
          <w:sz w:val="32"/>
          <w:szCs w:val="32"/>
          <w:u w:val="none"/>
          <w:shd w:val="clear" w:fill="FFFFFF"/>
        </w:rPr>
        <w:t>处罚</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的情形</w:t>
      </w:r>
      <w:r>
        <w:rPr>
          <w:rFonts w:hint="eastAsia" w:ascii="仿宋_GB2312" w:hAnsi="仿宋_GB2312" w:eastAsia="仿宋_GB2312" w:cs="仿宋_GB2312"/>
          <w:b w:val="0"/>
          <w:bCs w:val="0"/>
          <w:i w:val="0"/>
          <w:iCs w:val="0"/>
          <w:caps w:val="0"/>
          <w:color w:val="000000"/>
          <w:spacing w:val="0"/>
          <w:sz w:val="32"/>
          <w:szCs w:val="32"/>
          <w:u w:val="none"/>
          <w:shd w:val="clear" w:fill="FFFFFF"/>
        </w:rPr>
        <w:t>。</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 xml:space="preserve"> </w:t>
      </w:r>
    </w:p>
    <w:p w14:paraId="4093C8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bidi w:val="0"/>
        <w:snapToGrid/>
        <w:spacing w:before="0" w:beforeAutospacing="0" w:after="0" w:afterAutospacing="0" w:line="540" w:lineRule="exact"/>
        <w:ind w:left="0" w:right="0" w:firstLine="640" w:firstLineChars="200"/>
        <w:rPr>
          <w:rFonts w:hint="eastAsia" w:ascii="仿宋_GB2312" w:hAnsi="仿宋_GB2312" w:eastAsia="仿宋_GB2312" w:cs="仿宋_GB2312"/>
          <w:bCs/>
          <w:sz w:val="32"/>
          <w:szCs w:val="32"/>
          <w:u w:val="none"/>
          <w:lang w:val="en-US" w:eastAsia="zh-CN"/>
        </w:rPr>
      </w:pPr>
      <w:r>
        <w:rPr>
          <w:rFonts w:hint="eastAsia" w:ascii="仿宋_GB2312" w:hAnsi="仿宋" w:eastAsia="仿宋_GB2312"/>
          <w:color w:val="000000"/>
          <w:sz w:val="32"/>
          <w:szCs w:val="32"/>
          <w:highlight w:val="none"/>
          <w:u w:val="none"/>
          <w:lang w:val="en-US" w:eastAsia="zh-CN"/>
        </w:rPr>
        <w:t>当事人销售未标注水效标识水龙头的行为，违反了《水效标识管理办法》第八条第一款“凡列入《目录》的产品，应当在产品或者产品最小包装的明显部位标注水效标识，并在产品使用说明书中予以说明。对于网络交易，销售者应当在产品信息展示主页面醒目位置展示相应的水效标识。”的规定。依据《水效标识管理办法》第二十八条第一款第一项“ 违反本办法规定，销售者（含网络商品经营者）有下列情形之一的，予以通报，并处一万元以上三万元以下罚款：（一）销售应当标注但未标注水效标识的产品的；</w:t>
      </w:r>
      <w:r>
        <w:rPr>
          <w:rFonts w:hint="eastAsia" w:ascii="仿宋_GB2312" w:hAnsi="仿宋_GB2312" w:eastAsia="仿宋_GB2312" w:cs="仿宋_GB2312"/>
          <w:color w:val="000000"/>
          <w:sz w:val="32"/>
          <w:szCs w:val="32"/>
          <w:u w:val="none"/>
          <w:lang w:eastAsia="zh-CN"/>
        </w:rPr>
        <w:t>”的规定进行处罚。</w:t>
      </w:r>
      <w:r>
        <w:rPr>
          <w:rFonts w:hint="eastAsia" w:ascii="仿宋_GB2312" w:hAnsi="仿宋_GB2312" w:eastAsia="仿宋_GB2312" w:cs="仿宋_GB2312"/>
          <w:b w:val="0"/>
          <w:bCs w:val="0"/>
          <w:color w:val="000000"/>
          <w:sz w:val="32"/>
          <w:szCs w:val="32"/>
          <w:u w:val="none"/>
        </w:rPr>
        <w:t>鉴于</w:t>
      </w:r>
      <w:bookmarkStart w:id="7" w:name="OLE_LINK15"/>
      <w:r>
        <w:rPr>
          <w:rFonts w:hint="eastAsia" w:ascii="仿宋_GB2312" w:hAnsi="仿宋_GB2312" w:eastAsia="仿宋_GB2312" w:cs="仿宋_GB2312"/>
          <w:b w:val="0"/>
          <w:bCs w:val="0"/>
          <w:color w:val="000000"/>
          <w:sz w:val="32"/>
          <w:szCs w:val="32"/>
          <w:u w:val="none"/>
        </w:rPr>
        <w:t>当事人</w:t>
      </w:r>
      <w:bookmarkEnd w:id="7"/>
      <w:r>
        <w:rPr>
          <w:rFonts w:hint="eastAsia" w:ascii="仿宋_GB2312" w:hAnsi="仿宋_GB2312" w:eastAsia="仿宋_GB2312" w:cs="仿宋_GB2312"/>
          <w:bCs/>
          <w:color w:val="000000"/>
          <w:sz w:val="32"/>
          <w:szCs w:val="32"/>
          <w:u w:val="none"/>
          <w:lang w:val="en-US" w:eastAsia="zh-CN"/>
        </w:rPr>
        <w:t>符合减轻行政处罚的情形，</w:t>
      </w:r>
      <w:r>
        <w:rPr>
          <w:rFonts w:hint="eastAsia" w:ascii="仿宋_GB2312" w:hAnsi="仿宋" w:eastAsia="仿宋_GB2312" w:cs="Times New Roman"/>
          <w:color w:val="000000"/>
          <w:sz w:val="32"/>
          <w:szCs w:val="32"/>
          <w:highlight w:val="none"/>
          <w:u w:val="none"/>
          <w:lang w:val="en-US" w:eastAsia="zh-CN"/>
        </w:rPr>
        <w:t>参照《关于规范市场监督管理行政处罚裁量权的指导意见》（国市监法规〔2022〕2号）第十条第（二）项“本意见中下列用语的含义如下：（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的规定，本局责令当事人改</w:t>
      </w:r>
      <w:r>
        <w:rPr>
          <w:rFonts w:hint="eastAsia" w:ascii="仿宋_GB2312" w:hAnsi="仿宋_GB2312" w:eastAsia="仿宋_GB2312" w:cs="仿宋_GB2312"/>
          <w:bCs/>
          <w:color w:val="000000"/>
          <w:sz w:val="32"/>
          <w:szCs w:val="32"/>
          <w:u w:val="none"/>
          <w:lang w:val="en-US" w:eastAsia="zh-CN"/>
        </w:rPr>
        <w:t>正违法行为，并对当事人予以行政处罚如下：</w:t>
      </w:r>
    </w:p>
    <w:p w14:paraId="6D63E75B">
      <w:pPr>
        <w:keepNext w:val="0"/>
        <w:keepLines w:val="0"/>
        <w:pageBreakBefore w:val="0"/>
        <w:kinsoku/>
        <w:wordWrap/>
        <w:overflowPunct/>
        <w:bidi w:val="0"/>
        <w:snapToGrid/>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u w:val="none"/>
          <w:lang w:val="en-US" w:eastAsia="zh-CN"/>
        </w:rPr>
        <w:t>罚款：人民币贰仟元整（¥2000元），上缴国库。</w:t>
      </w:r>
      <w:r>
        <w:rPr>
          <w:rFonts w:hint="eastAsia" w:ascii="仿宋_GB2312" w:hAnsi="仿宋_GB2312" w:eastAsia="仿宋_GB2312" w:cs="仿宋_GB2312"/>
          <w:color w:val="000000"/>
          <w:sz w:val="32"/>
          <w:szCs w:val="32"/>
          <w:u w:val="none"/>
        </w:rPr>
        <w:t xml:space="preserve">      </w:t>
      </w:r>
    </w:p>
    <w:p w14:paraId="0D22F836">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u w:val="none"/>
          <w:lang w:val="en-US" w:eastAsia="zh-CN" w:bidi="ar"/>
        </w:rPr>
        <w:t>当事人应当自收到本行政处罚决定之日起十五日内到</w:t>
      </w:r>
      <w:r>
        <w:rPr>
          <w:rFonts w:hint="eastAsia" w:ascii="仿宋_GB2312" w:hAnsi="宋体" w:eastAsia="仿宋_GB2312" w:cs="仿宋_GB2312"/>
          <w:color w:val="000000"/>
          <w:kern w:val="0"/>
          <w:sz w:val="31"/>
          <w:szCs w:val="31"/>
          <w:u w:val="none"/>
          <w:lang w:val="en-US" w:eastAsia="zh-CN" w:bidi="ar"/>
        </w:rPr>
        <w:t>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66F26D0B">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120ED299">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u w:val="none"/>
          <w:lang w:val="en-US" w:eastAsia="zh-CN" w:bidi="ar"/>
        </w:rPr>
      </w:pPr>
    </w:p>
    <w:p w14:paraId="4719007A">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u w:val="none"/>
          <w:lang w:val="en-US" w:eastAsia="zh-CN" w:bidi="ar"/>
        </w:rPr>
      </w:pPr>
    </w:p>
    <w:p w14:paraId="7638C93B">
      <w:pPr>
        <w:keepNext w:val="0"/>
        <w:keepLines w:val="0"/>
        <w:pageBreakBefore w:val="0"/>
        <w:widowControl/>
        <w:kinsoku/>
        <w:wordWrap/>
        <w:overflowPunct/>
        <w:bidi w:val="0"/>
        <w:snapToGrid w:val="0"/>
        <w:spacing w:line="540" w:lineRule="exact"/>
        <w:ind w:firstLine="6240" w:firstLineChars="1950"/>
        <w:jc w:val="left"/>
        <w:textAlignment w:val="auto"/>
        <w:rPr>
          <w:rFonts w:hint="eastAsia" w:ascii="Times New Roman" w:hAnsi="Times New Roman" w:eastAsia="仿宋_GB2312" w:cs="仿宋_GB2312"/>
          <w:color w:val="auto"/>
          <w:sz w:val="32"/>
          <w:szCs w:val="32"/>
          <w:lang w:val="en-US" w:eastAsia="zh-Hans"/>
        </w:rPr>
      </w:pPr>
    </w:p>
    <w:p w14:paraId="1DA994F7">
      <w:pPr>
        <w:keepNext w:val="0"/>
        <w:keepLines w:val="0"/>
        <w:pageBreakBefore w:val="0"/>
        <w:kinsoku/>
        <w:wordWrap/>
        <w:overflowPunct/>
        <w:bidi w:val="0"/>
        <w:spacing w:line="540" w:lineRule="exact"/>
        <w:ind w:right="640" w:firstLine="601"/>
        <w:jc w:val="right"/>
        <w:textAlignment w:val="auto"/>
        <w:rPr>
          <w:rFonts w:ascii="Times New Roman" w:hAnsi="Times New Roman" w:eastAsia="仿宋_GB2312" w:cs="仿宋"/>
          <w:color w:val="auto"/>
          <w:sz w:val="32"/>
          <w:szCs w:val="32"/>
        </w:rPr>
      </w:pPr>
      <w:bookmarkStart w:id="8" w:name="DYNAMIC—DWXX—tAj_dwmc—2"/>
      <w:r>
        <w:rPr>
          <w:rFonts w:hint="eastAsia" w:ascii="Times New Roman" w:hAnsi="Times New Roman" w:eastAsia="仿宋_GB2312" w:cs="仿宋"/>
          <w:color w:val="000000"/>
          <w:sz w:val="32"/>
          <w:u w:val="none"/>
        </w:rPr>
        <w:t>融水苗族自治县市场监督管理局</w:t>
      </w:r>
      <w:bookmarkEnd w:id="8"/>
      <w:r>
        <w:rPr>
          <w:rFonts w:hint="eastAsia" w:ascii="Times New Roman" w:hAnsi="Times New Roman" w:eastAsia="仿宋_GB2312" w:cs="仿宋"/>
          <w:color w:val="000000"/>
          <w:sz w:val="32"/>
          <w:szCs w:val="32"/>
          <w:u w:val="none"/>
        </w:rPr>
        <w:t xml:space="preserve">    </w:t>
      </w:r>
    </w:p>
    <w:p w14:paraId="1C7BCDA8">
      <w:pPr>
        <w:keepNext w:val="0"/>
        <w:keepLines w:val="0"/>
        <w:pageBreakBefore w:val="0"/>
        <w:widowControl w:val="0"/>
        <w:kinsoku/>
        <w:wordWrap/>
        <w:overflowPunct/>
        <w:topLinePunct w:val="0"/>
        <w:autoSpaceDE/>
        <w:autoSpaceDN/>
        <w:bidi w:val="0"/>
        <w:adjustRightInd/>
        <w:snapToGrid/>
        <w:spacing w:line="540" w:lineRule="exact"/>
        <w:ind w:left="0" w:leftChars="0" w:right="630" w:rightChars="300" w:firstLine="600" w:firstLineChars="0"/>
        <w:jc w:val="center"/>
        <w:textAlignment w:val="auto"/>
        <w:outlineLvl w:val="9"/>
        <w:rPr>
          <w:rFonts w:hint="eastAsia" w:ascii="Times New Roman" w:hAnsi="Times New Roman" w:eastAsia="仿宋_GB2312" w:cs="仿宋_GB2312"/>
          <w:color w:val="000000"/>
          <w:sz w:val="32"/>
          <w:szCs w:val="32"/>
          <w:u w:val="none"/>
        </w:rPr>
      </w:pPr>
      <w:bookmarkStart w:id="9" w:name="CALCULATE—TIME—NOW"/>
      <w:r>
        <w:rPr>
          <w:rFonts w:ascii="仿宋_GB2312" w:hAnsi="仿宋_GB2312" w:eastAsia="仿宋_GB2312" w:cs="仿宋_GB2312"/>
          <w:sz w:val="32"/>
        </w:rPr>
        <w:t>2026年06月30日</w:t>
      </w:r>
      <w:bookmarkEnd w:id="9"/>
      <w:r>
        <w:rPr>
          <w:rFonts w:hint="eastAsia" w:ascii="Times New Roman" w:hAnsi="Times New Roman" w:eastAsia="仿宋_GB2312" w:cs="仿宋_GB2312"/>
          <w:color w:val="000000"/>
          <w:sz w:val="32"/>
          <w:szCs w:val="32"/>
          <w:u w:val="none"/>
        </w:rPr>
        <w:t xml:space="preserve">  </w:t>
      </w:r>
    </w:p>
    <w:p w14:paraId="76740BF8">
      <w:pPr>
        <w:widowControl/>
        <w:snapToGrid w:val="0"/>
        <w:spacing w:line="520" w:lineRule="exact"/>
        <w:jc w:val="right"/>
        <w:rPr>
          <w:rFonts w:ascii="Times New Roman" w:hAnsi="Times New Roman" w:eastAsia="仿宋_GB2312" w:cs="Mongolian Baiti"/>
          <w:color w:val="auto"/>
          <w:sz w:val="32"/>
          <w:szCs w:val="32"/>
        </w:rPr>
      </w:pPr>
    </w:p>
    <w:p w14:paraId="7D32DC46">
      <w:pPr>
        <w:widowControl/>
        <w:snapToGrid w:val="0"/>
        <w:spacing w:line="520" w:lineRule="exact"/>
        <w:jc w:val="right"/>
        <w:rPr>
          <w:rFonts w:ascii="Times New Roman" w:hAnsi="Times New Roman" w:eastAsia="仿宋_GB2312" w:cs="Mongolian Baiti"/>
          <w:color w:val="auto"/>
          <w:sz w:val="32"/>
          <w:szCs w:val="32"/>
        </w:rPr>
      </w:pPr>
    </w:p>
    <w:p w14:paraId="738759B7">
      <w:pPr>
        <w:widowControl/>
        <w:snapToGrid w:val="0"/>
        <w:spacing w:line="520" w:lineRule="exact"/>
        <w:jc w:val="right"/>
        <w:rPr>
          <w:rFonts w:ascii="Times New Roman" w:hAnsi="Times New Roman" w:eastAsia="仿宋_GB2312" w:cs="Mongolian Baiti"/>
          <w:color w:val="auto"/>
          <w:sz w:val="32"/>
          <w:szCs w:val="32"/>
        </w:rPr>
      </w:pPr>
    </w:p>
    <w:p w14:paraId="30DB5832">
      <w:pPr>
        <w:widowControl/>
        <w:snapToGrid w:val="0"/>
        <w:spacing w:line="520" w:lineRule="exact"/>
        <w:jc w:val="right"/>
        <w:rPr>
          <w:rFonts w:ascii="Times New Roman" w:hAnsi="Times New Roman" w:eastAsia="仿宋_GB2312" w:cs="Mongolian Baiti"/>
          <w:color w:val="auto"/>
          <w:sz w:val="32"/>
          <w:szCs w:val="32"/>
        </w:rPr>
      </w:pPr>
    </w:p>
    <w:p w14:paraId="29AB7EAC">
      <w:pPr>
        <w:widowControl/>
        <w:snapToGrid w:val="0"/>
        <w:spacing w:line="520" w:lineRule="exact"/>
        <w:jc w:val="right"/>
        <w:rPr>
          <w:rFonts w:ascii="Times New Roman" w:hAnsi="Times New Roman" w:eastAsia="仿宋_GB2312" w:cs="Mongolian Baiti"/>
          <w:color w:val="auto"/>
          <w:sz w:val="32"/>
          <w:szCs w:val="32"/>
        </w:rPr>
      </w:pPr>
    </w:p>
    <w:p w14:paraId="15F30544">
      <w:pPr>
        <w:widowControl/>
        <w:snapToGrid w:val="0"/>
        <w:spacing w:line="520" w:lineRule="exact"/>
        <w:jc w:val="right"/>
        <w:rPr>
          <w:rFonts w:ascii="Times New Roman" w:hAnsi="Times New Roman" w:eastAsia="仿宋_GB2312" w:cs="Mongolian Baiti"/>
          <w:color w:val="auto"/>
          <w:sz w:val="32"/>
          <w:szCs w:val="32"/>
        </w:rPr>
      </w:pPr>
    </w:p>
    <w:p w14:paraId="7C5836B6">
      <w:pPr>
        <w:widowControl/>
        <w:snapToGrid w:val="0"/>
        <w:spacing w:line="520" w:lineRule="exact"/>
        <w:jc w:val="right"/>
        <w:rPr>
          <w:rFonts w:ascii="Times New Roman" w:hAnsi="Times New Roman" w:eastAsia="仿宋_GB2312" w:cs="Mongolian Baiti"/>
          <w:color w:val="auto"/>
          <w:sz w:val="32"/>
          <w:szCs w:val="32"/>
        </w:rPr>
      </w:pPr>
    </w:p>
    <w:p w14:paraId="7AE35856">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715584C9">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29A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50960">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350960">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54DF4"/>
    <w:multiLevelType w:val="singleLevel"/>
    <w:tmpl w:val="8D154DF4"/>
    <w:lvl w:ilvl="0" w:tentative="0">
      <w:start w:val="1"/>
      <w:numFmt w:val="decimal"/>
      <w:suff w:val="nothing"/>
      <w:lvlText w:val="%1、"/>
      <w:lvlJc w:val="left"/>
    </w:lvl>
  </w:abstractNum>
  <w:abstractNum w:abstractNumId="1">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6E756E"/>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B99210B"/>
    <w:rsid w:val="1C7339BB"/>
    <w:rsid w:val="1C7A5BA8"/>
    <w:rsid w:val="1E664711"/>
    <w:rsid w:val="1EC222D9"/>
    <w:rsid w:val="1F2B5D07"/>
    <w:rsid w:val="1FC004DE"/>
    <w:rsid w:val="1FD31F15"/>
    <w:rsid w:val="212E3259"/>
    <w:rsid w:val="22287087"/>
    <w:rsid w:val="23095379"/>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5D71FD"/>
    <w:rsid w:val="368E5656"/>
    <w:rsid w:val="377FBB27"/>
    <w:rsid w:val="37F16547"/>
    <w:rsid w:val="38B63DA7"/>
    <w:rsid w:val="3930619F"/>
    <w:rsid w:val="3A4E178D"/>
    <w:rsid w:val="3BF97ECA"/>
    <w:rsid w:val="3C2965F0"/>
    <w:rsid w:val="3D6B1177"/>
    <w:rsid w:val="3DE808EA"/>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455E4"/>
    <w:rsid w:val="55FE5622"/>
    <w:rsid w:val="57503162"/>
    <w:rsid w:val="58A4140A"/>
    <w:rsid w:val="591F0542"/>
    <w:rsid w:val="59A10938"/>
    <w:rsid w:val="5A057FE3"/>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5A433A"/>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02BFB"/>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A46A39"/>
    <w:rsid w:val="7BFD6076"/>
    <w:rsid w:val="7C8E43D6"/>
    <w:rsid w:val="7D3A4C0E"/>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Plain Text"/>
    <w:basedOn w:val="1"/>
    <w:qFormat/>
    <w:uiPriority w:val="0"/>
    <w:rPr>
      <w:rFonts w:ascii="宋体" w:hAnsi="Courier New"/>
      <w:szCs w:val="21"/>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439</Words>
  <Characters>439</Characters>
  <Lines>0</Lines>
  <Paragraphs>0</Paragraphs>
  <TotalTime>4</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2026-07-13T03:40:16Z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