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0BB3C7">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000000"/>
          <w:sz w:val="44"/>
          <w:u w:val="none"/>
        </w:rPr>
        <w:t>融水苗族自治县市场监督管理局</w:t>
      </w:r>
      <w:bookmarkEnd w:id="0"/>
    </w:p>
    <w:p w14:paraId="53139428">
      <w:pPr>
        <w:pStyle w:val="2"/>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w:t>
      </w:r>
      <w:r>
        <w:rPr>
          <w:rFonts w:hint="eastAsia" w:hAnsi="方正小标宋简体" w:eastAsia="方正小标宋简体" w:cs="方正小标宋简体"/>
          <w:color w:val="000000"/>
          <w:sz w:val="44"/>
          <w:szCs w:val="44"/>
          <w:u w:val="none"/>
          <w:lang w:val="en-US" w:eastAsia="zh-Hans"/>
        </w:rPr>
        <w:t>决定</w:t>
      </w:r>
      <w:r>
        <w:rPr>
          <w:rFonts w:hint="eastAsia" w:hAnsi="方正小标宋简体" w:eastAsia="方正小标宋简体" w:cs="方正小标宋简体"/>
          <w:color w:val="000000"/>
          <w:sz w:val="44"/>
          <w:szCs w:val="44"/>
          <w:u w:val="none"/>
          <w:lang w:val="en-US"/>
        </w:rPr>
        <w:t>书</w:t>
      </w:r>
      <w:bookmarkEnd w:id="1"/>
    </w:p>
    <w:p w14:paraId="3915C6E5">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000000"/>
          <w:sz w:val="32"/>
          <w:u w:val="none"/>
        </w:rPr>
        <w:t>融水市监处罚〔2026〕105号</w:t>
      </w:r>
      <w:bookmarkEnd w:id="2"/>
    </w:p>
    <w:p w14:paraId="1E644D27">
      <w:pPr>
        <w:spacing w:before="315" w:beforeLines="100" w:line="540" w:lineRule="exact"/>
        <w:ind w:left="142" w:hanging="142"/>
        <w:rPr>
          <w:rFonts w:hint="eastAsia" w:ascii="仿宋_GB2312" w:hAnsi="仿宋_GB2312" w:eastAsia="仿宋_GB2312" w:cs="仿宋_GB2312"/>
          <w:b w:val="0"/>
          <w:bCs/>
          <w:color w:val="auto"/>
          <w:sz w:val="32"/>
          <w:szCs w:val="32"/>
          <w:u w:val="none"/>
          <w:lang w:val="en-US" w:eastAsia="zh-CN"/>
        </w:rPr>
      </w:pPr>
      <w:r>
        <w:rPr>
          <w:rFonts w:hint="eastAsia" w:ascii="仿宋_GB2312" w:hAnsi="仿宋_GB2312" w:eastAsia="仿宋_GB2312" w:cs="仿宋_GB2312"/>
          <w:b w:val="0"/>
          <w:bCs/>
          <w:color w:val="000000"/>
          <w:kern w:val="1"/>
          <w:sz w:val="32"/>
          <w:szCs w:val="32"/>
          <w:u w:val="none"/>
        </w:rPr>
        <w:t>当事人：</w:t>
      </w:r>
      <w:bookmarkStart w:id="3" w:name="CALCULATE—DSR—tAjDsrs_cMc"/>
      <w:r>
        <w:rPr>
          <w:rFonts w:hint="eastAsia" w:ascii="仿宋_GB2312" w:hAnsi="仿宋_GB2312" w:eastAsia="仿宋_GB2312" w:cs="仿宋_GB2312"/>
          <w:b w:val="0"/>
          <w:color w:val="000000"/>
          <w:sz w:val="32"/>
          <w:u w:val="none"/>
        </w:rPr>
        <w:t>区丽梅</w:t>
      </w:r>
      <w:bookmarkEnd w:id="3"/>
      <w:r>
        <w:rPr>
          <w:rFonts w:hint="eastAsia" w:ascii="仿宋_GB2312" w:hAnsi="仿宋_GB2312" w:eastAsia="仿宋_GB2312" w:cs="仿宋_GB2312"/>
          <w:b w:val="0"/>
          <w:bCs/>
          <w:color w:val="000000"/>
          <w:kern w:val="1"/>
          <w:sz w:val="32"/>
          <w:szCs w:val="32"/>
          <w:u w:val="none"/>
        </w:rPr>
        <w:t xml:space="preserve">                                            </w:t>
      </w:r>
    </w:p>
    <w:p w14:paraId="232950EE">
      <w:pPr>
        <w:spacing w:line="540" w:lineRule="exact"/>
        <w:ind w:left="140" w:hanging="140"/>
        <w:rPr>
          <w:rFonts w:hint="eastAsia" w:ascii="仿宋_GB2312" w:hAnsi="仿宋_GB2312" w:eastAsia="仿宋_GB2312" w:cs="仿宋_GB2312"/>
          <w:b w:val="0"/>
          <w:bCs/>
          <w:color w:val="auto"/>
          <w:kern w:val="1"/>
          <w:sz w:val="32"/>
          <w:szCs w:val="32"/>
          <w:u w:val="none"/>
          <w:lang w:val="en-US" w:eastAsia="zh-CN"/>
        </w:rPr>
      </w:pPr>
      <w:r>
        <w:rPr>
          <w:rFonts w:hint="eastAsia" w:ascii="仿宋_GB2312" w:hAnsi="仿宋_GB2312" w:eastAsia="仿宋_GB2312" w:cs="仿宋_GB2312"/>
          <w:b w:val="0"/>
          <w:bCs/>
          <w:color w:val="000000"/>
          <w:kern w:val="1"/>
          <w:sz w:val="32"/>
          <w:szCs w:val="32"/>
          <w:u w:val="none"/>
        </w:rPr>
        <w:t>住所（住址）：</w:t>
      </w:r>
      <w:bookmarkStart w:id="4" w:name="CALCULATE—DSR—tAjDsrs_cLxdzSheng"/>
      <w:r>
        <w:rPr>
          <w:rFonts w:hint="eastAsia" w:ascii="仿宋_GB2312" w:hAnsi="仿宋_GB2312" w:eastAsia="仿宋_GB2312" w:cs="仿宋_GB2312"/>
          <w:b w:val="0"/>
          <w:color w:val="000000"/>
          <w:sz w:val="32"/>
          <w:u w:val="none"/>
        </w:rPr>
        <w:t>广西壮族自治区河池市罗城仫佬族自治县龙岸镇珠江村</w:t>
      </w:r>
      <w:bookmarkEnd w:id="4"/>
      <w:r>
        <w:rPr>
          <w:rFonts w:hint="eastAsia" w:ascii="仿宋_GB2312" w:hAnsi="仿宋_GB2312" w:eastAsia="仿宋_GB2312" w:cs="仿宋_GB2312"/>
          <w:b w:val="0"/>
          <w:color w:val="000000"/>
          <w:sz w:val="32"/>
          <w:u w:val="none"/>
          <w:lang w:val="en-US" w:eastAsia="zh-CN"/>
        </w:rPr>
        <w:t>******</w:t>
      </w:r>
      <w:r>
        <w:rPr>
          <w:rFonts w:hint="eastAsia" w:ascii="仿宋_GB2312" w:hAnsi="仿宋_GB2312" w:eastAsia="仿宋_GB2312" w:cs="仿宋_GB2312"/>
          <w:b w:val="0"/>
          <w:bCs/>
          <w:color w:val="000000"/>
          <w:kern w:val="1"/>
          <w:sz w:val="32"/>
          <w:szCs w:val="32"/>
          <w:u w:val="none"/>
        </w:rPr>
        <w:t xml:space="preserve">                                      </w:t>
      </w:r>
      <w:r>
        <w:rPr>
          <w:rFonts w:hint="eastAsia" w:ascii="仿宋_GB2312" w:hAnsi="仿宋_GB2312" w:eastAsia="仿宋_GB2312" w:cs="仿宋_GB2312"/>
          <w:b w:val="0"/>
          <w:bCs/>
          <w:color w:val="000000"/>
          <w:kern w:val="1"/>
          <w:sz w:val="32"/>
          <w:szCs w:val="32"/>
          <w:u w:val="none"/>
          <w:lang w:val="en-US" w:eastAsia="zh-CN"/>
        </w:rPr>
        <w:t xml:space="preserve"> </w:t>
      </w:r>
    </w:p>
    <w:p w14:paraId="71F4DEC6">
      <w:pPr>
        <w:spacing w:line="540" w:lineRule="exact"/>
        <w:rPr>
          <w:rFonts w:hint="eastAsia" w:ascii="仿宋_GB2312" w:hAnsi="仿宋_GB2312" w:eastAsia="仿宋_GB2312" w:cs="仿宋_GB2312"/>
          <w:b w:val="0"/>
          <w:bCs/>
          <w:color w:val="auto"/>
          <w:kern w:val="1"/>
          <w:sz w:val="32"/>
          <w:szCs w:val="32"/>
          <w:lang w:val="en-US" w:eastAsia="zh-CN"/>
        </w:rPr>
      </w:pPr>
      <w:r>
        <w:rPr>
          <w:rFonts w:hint="eastAsia" w:ascii="仿宋_GB2312" w:hAnsi="仿宋_GB2312" w:eastAsia="仿宋_GB2312" w:cs="仿宋_GB2312"/>
          <w:b w:val="0"/>
          <w:bCs/>
          <w:color w:val="000000"/>
          <w:kern w:val="1"/>
          <w:sz w:val="32"/>
          <w:szCs w:val="32"/>
          <w:u w:val="none"/>
          <w:lang w:eastAsia="zh-CN"/>
        </w:rPr>
        <w:t>经营者</w:t>
      </w:r>
      <w:r>
        <w:rPr>
          <w:rFonts w:hint="eastAsia" w:ascii="仿宋_GB2312" w:hAnsi="仿宋_GB2312" w:eastAsia="仿宋_GB2312" w:cs="仿宋_GB2312"/>
          <w:b w:val="0"/>
          <w:bCs/>
          <w:color w:val="000000"/>
          <w:kern w:val="1"/>
          <w:sz w:val="32"/>
          <w:szCs w:val="32"/>
          <w:u w:val="none"/>
        </w:rPr>
        <w:t>：</w:t>
      </w:r>
      <w:r>
        <w:rPr>
          <w:rFonts w:hint="eastAsia" w:ascii="仿宋_GB2312" w:hAnsi="仿宋_GB2312" w:eastAsia="仿宋_GB2312" w:cs="仿宋_GB2312"/>
          <w:b w:val="0"/>
          <w:color w:val="000000"/>
          <w:sz w:val="32"/>
          <w:u w:val="none"/>
        </w:rPr>
        <w:t>区丽梅</w:t>
      </w:r>
      <w:r>
        <w:rPr>
          <w:rFonts w:hint="eastAsia" w:ascii="仿宋_GB2312" w:hAnsi="仿宋_GB2312" w:eastAsia="仿宋_GB2312" w:cs="仿宋_GB2312"/>
          <w:b w:val="0"/>
          <w:bCs/>
          <w:color w:val="000000"/>
          <w:kern w:val="1"/>
          <w:sz w:val="32"/>
          <w:szCs w:val="32"/>
          <w:u w:val="none"/>
        </w:rPr>
        <w:t xml:space="preserve">              </w:t>
      </w:r>
    </w:p>
    <w:p w14:paraId="7DDFDF75">
      <w:pPr>
        <w:spacing w:line="540" w:lineRule="exact"/>
        <w:ind w:left="140" w:hanging="140"/>
        <w:rPr>
          <w:rFonts w:hint="eastAsia" w:ascii="仿宋_GB2312" w:hAnsi="仿宋_GB2312" w:eastAsia="仿宋_GB2312" w:cs="仿宋_GB2312"/>
          <w:b w:val="0"/>
          <w:bCs/>
          <w:color w:val="auto"/>
          <w:sz w:val="32"/>
          <w:szCs w:val="32"/>
          <w:u w:val="single" w:color="231F20"/>
          <w:lang w:val="en-US" w:eastAsia="zh-CN"/>
        </w:rPr>
      </w:pPr>
      <w:r>
        <w:rPr>
          <w:rFonts w:hint="eastAsia" w:ascii="仿宋_GB2312" w:hAnsi="仿宋_GB2312" w:eastAsia="仿宋_GB2312" w:cs="仿宋_GB2312"/>
          <w:b w:val="0"/>
          <w:bCs/>
          <w:color w:val="000000"/>
          <w:kern w:val="1"/>
          <w:sz w:val="32"/>
          <w:szCs w:val="32"/>
          <w:u w:val="none"/>
        </w:rPr>
        <w:t>身份证件号码：</w:t>
      </w:r>
      <w:bookmarkStart w:id="5" w:name="CALCULATE—DSR—tAjDsrs_cZjhm"/>
      <w:r>
        <w:rPr>
          <w:rFonts w:hint="eastAsia" w:ascii="仿宋_GB2312" w:hAnsi="仿宋_GB2312" w:eastAsia="仿宋_GB2312" w:cs="仿宋_GB2312"/>
          <w:b w:val="0"/>
          <w:color w:val="000000"/>
          <w:sz w:val="32"/>
          <w:u w:val="none"/>
        </w:rPr>
        <w:t>441203197505</w:t>
      </w:r>
      <w:bookmarkEnd w:id="5"/>
      <w:r>
        <w:rPr>
          <w:rFonts w:hint="eastAsia" w:ascii="仿宋_GB2312" w:hAnsi="仿宋_GB2312" w:eastAsia="仿宋_GB2312" w:cs="仿宋_GB2312"/>
          <w:b w:val="0"/>
          <w:color w:val="000000"/>
          <w:sz w:val="32"/>
          <w:u w:val="none"/>
          <w:lang w:val="en-US" w:eastAsia="zh-CN"/>
        </w:rPr>
        <w:t>******</w:t>
      </w:r>
      <w:r>
        <w:rPr>
          <w:rFonts w:hint="eastAsia" w:ascii="仿宋_GB2312" w:hAnsi="仿宋_GB2312" w:eastAsia="仿宋_GB2312" w:cs="仿宋_GB2312"/>
          <w:b w:val="0"/>
          <w:bCs/>
          <w:color w:val="000000"/>
          <w:kern w:val="1"/>
          <w:sz w:val="32"/>
          <w:szCs w:val="32"/>
          <w:u w:val="none"/>
        </w:rPr>
        <w:t xml:space="preserve">                                     </w:t>
      </w:r>
    </w:p>
    <w:p w14:paraId="6D4D0875">
      <w:pPr>
        <w:pStyle w:val="3"/>
        <w:keepNext w:val="0"/>
        <w:keepLines w:val="0"/>
        <w:pageBreakBefore w:val="0"/>
        <w:tabs>
          <w:tab w:val="left" w:pos="8240"/>
        </w:tabs>
        <w:kinsoku/>
        <w:overflowPunct/>
        <w:topLinePunct w:val="0"/>
        <w:bidi w:val="0"/>
        <w:snapToGrid/>
        <w:spacing w:line="260" w:lineRule="atLeast"/>
        <w:ind w:firstLine="640" w:firstLineChars="200"/>
        <w:textAlignment w:val="auto"/>
        <w:rPr>
          <w:rFonts w:hint="eastAsia" w:ascii="仿宋_GB2312" w:hAnsi="仿宋_GB2312" w:eastAsia="仿宋_GB2312" w:cs="仿宋_GB2312"/>
          <w:b w:val="0"/>
          <w:color w:val="auto"/>
          <w:sz w:val="32"/>
          <w:u w:val="none" w:color="auto"/>
        </w:rPr>
      </w:pPr>
      <w:bookmarkStart w:id="6" w:name="CALCULATE—AJCF—tAjCfes_cAjss"/>
      <w:r>
        <w:rPr>
          <w:rFonts w:hint="eastAsia" w:ascii="仿宋_GB2312" w:hAnsi="仿宋_GB2312" w:eastAsia="仿宋_GB2312" w:cs="仿宋_GB2312"/>
          <w:b w:val="0"/>
          <w:color w:val="000000"/>
          <w:sz w:val="32"/>
          <w:u w:val="none" w:color="auto"/>
        </w:rPr>
        <w:t>2026年03月26日，</w:t>
      </w:r>
      <w:r>
        <w:rPr>
          <w:rFonts w:hint="eastAsia" w:ascii="仿宋_GB2312" w:hAnsi="仿宋_GB2312" w:eastAsia="仿宋_GB2312" w:cs="仿宋_GB2312"/>
          <w:b w:val="0"/>
          <w:color w:val="000000"/>
          <w:sz w:val="32"/>
          <w:u w:val="none" w:color="auto"/>
          <w:lang w:eastAsia="zh-CN"/>
        </w:rPr>
        <w:t>本</w:t>
      </w:r>
      <w:r>
        <w:rPr>
          <w:rFonts w:hint="eastAsia" w:ascii="仿宋_GB2312" w:hAnsi="仿宋_GB2312" w:eastAsia="仿宋_GB2312" w:cs="仿宋_GB2312"/>
          <w:b w:val="0"/>
          <w:color w:val="000000"/>
          <w:sz w:val="32"/>
          <w:u w:val="none" w:color="auto"/>
        </w:rPr>
        <w:t>局和融水县烟草专卖局执法人员依法对区丽梅(以下简称当事人)经营的位于融水县永乐镇永乐街新农村市场摊位进行监督检查，执法人员在当事人的陪同检査下发现该摊位销售没有注册商标的卷烟29条、有包装的烟丝12.84斤，上述烟草制品均没有注册商标且当事人未办理有《烟草专卖零售许可证》。经领导批准执法人员现场对检查发现的上述烟草制品采取先行登记保存措施，下达《先行登记保存证据通知书》(融水市监先登〔2026〕56号)，由当事人签收。</w:t>
      </w:r>
      <w:r>
        <w:rPr>
          <w:rFonts w:hint="eastAsia" w:ascii="仿宋_GB2312" w:hAnsi="仿宋_GB2312" w:eastAsia="仿宋_GB2312" w:cs="仿宋_GB2312"/>
          <w:b w:val="0"/>
          <w:color w:val="000000"/>
          <w:sz w:val="32"/>
          <w:u w:val="none" w:color="auto"/>
          <w:lang w:val="en-US" w:eastAsia="zh-CN"/>
        </w:rPr>
        <w:t>当事人</w:t>
      </w:r>
      <w:r>
        <w:rPr>
          <w:rFonts w:hint="eastAsia" w:ascii="仿宋_GB2312" w:hAnsi="仿宋_GB2312" w:eastAsia="仿宋_GB2312" w:cs="仿宋_GB2312"/>
          <w:b w:val="0"/>
          <w:color w:val="000000"/>
          <w:sz w:val="32"/>
          <w:u w:val="none" w:color="auto"/>
        </w:rPr>
        <w:t>无烟草专卖零售许可证经营烟草制品的行为涉嫌违反了《中华人民共和国烟草专卖法实施条例》第六条第一款的规定，2026年03月30日，经局领导审批同意对当事人立案调查。2026年04月01日，当事人到永乐市场监督管理所接受询问调査，提交了相关证据材料。当事人未能提供有效《烟草专卖零售许可证》及烟草制品的供货者资质证明材料、购货票据及购销台帐。</w:t>
      </w:r>
      <w:r>
        <w:rPr>
          <w:rFonts w:hint="eastAsia" w:ascii="仿宋_GB2312" w:hAnsi="仿宋_GB2312" w:eastAsia="仿宋_GB2312" w:cs="仿宋_GB2312"/>
          <w:b w:val="0"/>
          <w:color w:val="000000"/>
          <w:sz w:val="32"/>
          <w:u w:val="none" w:color="auto"/>
        </w:rPr>
        <w:br w:type="textWrapping"/>
      </w:r>
      <w:r>
        <w:rPr>
          <w:rFonts w:hint="eastAsia" w:ascii="仿宋_GB2312" w:hAnsi="仿宋_GB2312" w:eastAsia="仿宋_GB2312" w:cs="仿宋_GB2312"/>
          <w:b w:val="0"/>
          <w:color w:val="000000"/>
          <w:sz w:val="32"/>
          <w:u w:val="none" w:color="auto"/>
          <w:lang w:val="en-US" w:eastAsia="zh-CN"/>
        </w:rPr>
        <w:t xml:space="preserve">    </w:t>
      </w:r>
      <w:r>
        <w:rPr>
          <w:rFonts w:hint="eastAsia" w:ascii="仿宋_GB2312" w:hAnsi="仿宋_GB2312" w:eastAsia="仿宋_GB2312" w:cs="仿宋_GB2312"/>
          <w:b w:val="0"/>
          <w:color w:val="000000"/>
          <w:sz w:val="32"/>
          <w:u w:val="none" w:color="auto"/>
        </w:rPr>
        <w:t>执法人员在当事人的经营摊位上检查发现的烟草制品有:无注册商标的卷烟29条（200支/条）、有包装的烟丝12.84斤（6.42公斤）,经融水苗族自治县烟草专卖局依据《广西壮族自治区烟草专卖局关于印发2025年度全区涉案烟草制品零售价格的通知》文件规定对上述涉案烟草制品进行</w:t>
      </w:r>
      <w:bookmarkStart w:id="11" w:name="_GoBack"/>
      <w:bookmarkEnd w:id="11"/>
      <w:r>
        <w:rPr>
          <w:rFonts w:hint="eastAsia" w:ascii="仿宋_GB2312" w:hAnsi="仿宋_GB2312" w:eastAsia="仿宋_GB2312" w:cs="仿宋_GB2312"/>
          <w:b w:val="0"/>
          <w:color w:val="000000"/>
          <w:sz w:val="32"/>
          <w:u w:val="none" w:color="auto"/>
        </w:rPr>
        <w:t>货值定价和金额计算得货值金额共计5181.15元。</w:t>
      </w:r>
    </w:p>
    <w:p w14:paraId="4125D64F">
      <w:pPr>
        <w:pStyle w:val="3"/>
        <w:keepNext w:val="0"/>
        <w:keepLines w:val="0"/>
        <w:pageBreakBefore w:val="0"/>
        <w:tabs>
          <w:tab w:val="left" w:pos="8240"/>
        </w:tabs>
        <w:kinsoku/>
        <w:overflowPunct/>
        <w:topLinePunct w:val="0"/>
        <w:bidi w:val="0"/>
        <w:snapToGrid/>
        <w:spacing w:line="260" w:lineRule="atLeast"/>
        <w:ind w:firstLine="640" w:firstLineChars="200"/>
        <w:textAlignment w:val="auto"/>
        <w:rPr>
          <w:rFonts w:hint="eastAsia" w:ascii="仿宋_GB2312" w:hAnsi="仿宋_GB2312" w:eastAsia="仿宋_GB2312" w:cs="仿宋_GB2312"/>
          <w:b w:val="0"/>
          <w:color w:val="auto"/>
          <w:sz w:val="32"/>
          <w:u w:val="none" w:color="auto"/>
          <w:lang w:val="en-US" w:eastAsia="zh-CN"/>
        </w:rPr>
      </w:pPr>
      <w:r>
        <w:rPr>
          <w:rFonts w:hint="eastAsia" w:ascii="仿宋_GB2312" w:hAnsi="仿宋_GB2312" w:eastAsia="仿宋_GB2312" w:cs="仿宋_GB2312"/>
          <w:b w:val="0"/>
          <w:color w:val="000000"/>
          <w:sz w:val="32"/>
          <w:u w:val="none" w:color="auto"/>
        </w:rPr>
        <w:t>经核实，当事人用于零售的烟草制品是零散购进，未建立有购销登记台账，同时未索要供货商的资质证明材料和进货单据，无法核实当事人购进和销售烟草制品的具体数量，违法所得无法认定，所以本案无违法所得，同时本案应以现场检查发现待销售的烟草制品的货值金额为本案的涉案货值金额。</w:t>
      </w:r>
      <w:bookmarkEnd w:id="6"/>
      <w:r>
        <w:rPr>
          <w:rFonts w:hint="eastAsia" w:ascii="仿宋_GB2312" w:hAnsi="仿宋_GB2312" w:eastAsia="仿宋_GB2312" w:cs="仿宋_GB2312"/>
          <w:b w:val="0"/>
          <w:color w:val="000000"/>
          <w:sz w:val="32"/>
          <w:u w:val="none" w:color="auto"/>
          <w:lang w:val="en-US" w:eastAsia="zh-CN"/>
        </w:rPr>
        <w:t xml:space="preserve"> </w:t>
      </w:r>
    </w:p>
    <w:p w14:paraId="4DE58494">
      <w:pPr>
        <w:pStyle w:val="3"/>
        <w:keepNext w:val="0"/>
        <w:keepLines w:val="0"/>
        <w:pageBreakBefore w:val="0"/>
        <w:tabs>
          <w:tab w:val="left" w:pos="8285"/>
        </w:tabs>
        <w:kinsoku/>
        <w:overflowPunct/>
        <w:topLinePunct w:val="0"/>
        <w:bidi w:val="0"/>
        <w:snapToGrid/>
        <w:spacing w:line="260" w:lineRule="atLeast"/>
        <w:ind w:firstLine="640" w:firstLineChars="200"/>
        <w:textAlignment w:val="auto"/>
        <w:rPr>
          <w:rFonts w:hint="eastAsia" w:ascii="仿宋_GB2312" w:hAnsi="仿宋_GB2312" w:eastAsia="仿宋_GB2312" w:cs="仿宋_GB2312"/>
          <w:b w:val="0"/>
          <w:bCs/>
          <w:color w:val="auto"/>
          <w:kern w:val="1"/>
          <w:sz w:val="32"/>
          <w:szCs w:val="32"/>
        </w:rPr>
      </w:pPr>
      <w:r>
        <w:rPr>
          <w:rFonts w:hint="eastAsia" w:ascii="仿宋_GB2312" w:hAnsi="仿宋_GB2312" w:eastAsia="仿宋_GB2312" w:cs="仿宋_GB2312"/>
          <w:b w:val="0"/>
          <w:bCs/>
          <w:color w:val="000000"/>
          <w:kern w:val="1"/>
          <w:sz w:val="32"/>
          <w:szCs w:val="32"/>
          <w:u w:val="none"/>
        </w:rPr>
        <w:t>上述事实，主要有以下证据证明：</w:t>
      </w:r>
    </w:p>
    <w:p w14:paraId="2D3197C0">
      <w:pPr>
        <w:keepNext w:val="0"/>
        <w:keepLines w:val="0"/>
        <w:pageBreakBefore w:val="0"/>
        <w:widowControl/>
        <w:kinsoku/>
        <w:wordWrap/>
        <w:overflowPunct/>
        <w:topLinePunct w:val="0"/>
        <w:autoSpaceDE/>
        <w:autoSpaceDN/>
        <w:bidi w:val="0"/>
        <w:adjustRightInd/>
        <w:snapToGrid/>
        <w:spacing w:beforeLines="0" w:afterLines="0" w:line="260" w:lineRule="atLeast"/>
        <w:ind w:firstLine="640"/>
        <w:jc w:val="left"/>
        <w:textAlignment w:val="auto"/>
        <w:rPr>
          <w:rFonts w:hint="default" w:ascii="仿宋_GB2312" w:hAnsi="仿宋_GB2312" w:eastAsia="仿宋_GB2312"/>
          <w:sz w:val="32"/>
          <w:szCs w:val="24"/>
          <w:highlight w:val="none"/>
          <w:u w:val="none"/>
          <w:lang w:val="en-US" w:eastAsia="zh-CN"/>
        </w:rPr>
      </w:pPr>
      <w:r>
        <w:rPr>
          <w:rFonts w:hint="eastAsia" w:ascii="仿宋_GB2312" w:hAnsi="仿宋_GB2312" w:eastAsia="仿宋_GB2312"/>
          <w:color w:val="000000"/>
          <w:sz w:val="32"/>
          <w:szCs w:val="24"/>
          <w:highlight w:val="none"/>
          <w:u w:val="none"/>
          <w:lang w:val="zh-CN"/>
        </w:rPr>
        <w:t>1.现场笔录，证明执法人员现场检查发现当事人无证经营烟草制品的事实以及采取先行登记保存措施情况；</w:t>
      </w:r>
      <w:r>
        <w:rPr>
          <w:rFonts w:hint="eastAsia" w:ascii="仿宋_GB2312" w:hAnsi="仿宋_GB2312" w:eastAsia="仿宋_GB2312"/>
          <w:color w:val="000000"/>
          <w:sz w:val="32"/>
          <w:szCs w:val="24"/>
          <w:highlight w:val="none"/>
          <w:u w:val="none"/>
          <w:lang w:val="zh-CN"/>
        </w:rPr>
        <w:br w:type="textWrapping"/>
      </w:r>
      <w:r>
        <w:rPr>
          <w:rFonts w:hint="eastAsia" w:ascii="仿宋_GB2312" w:hAnsi="仿宋_GB2312" w:eastAsia="仿宋_GB2312"/>
          <w:color w:val="000000"/>
          <w:sz w:val="32"/>
          <w:szCs w:val="24"/>
          <w:highlight w:val="none"/>
          <w:u w:val="none"/>
          <w:lang w:val="zh-CN"/>
        </w:rPr>
        <w:t>　　2.询问笔录，证明</w:t>
      </w:r>
      <w:r>
        <w:rPr>
          <w:rFonts w:hint="eastAsia" w:ascii="仿宋_GB2312" w:hAnsi="仿宋_GB2312" w:eastAsia="仿宋_GB2312"/>
          <w:color w:val="000000"/>
          <w:sz w:val="32"/>
          <w:szCs w:val="24"/>
          <w:highlight w:val="none"/>
          <w:u w:val="none"/>
          <w:lang w:val="en-US" w:eastAsia="zh-CN"/>
        </w:rPr>
        <w:t>经营者区丽梅的违法行为及涉案货值金额等事项；</w:t>
      </w:r>
    </w:p>
    <w:p w14:paraId="70022167">
      <w:pPr>
        <w:keepNext w:val="0"/>
        <w:keepLines w:val="0"/>
        <w:pageBreakBefore w:val="0"/>
        <w:widowControl/>
        <w:kinsoku/>
        <w:wordWrap/>
        <w:overflowPunct/>
        <w:topLinePunct w:val="0"/>
        <w:autoSpaceDE/>
        <w:autoSpaceDN/>
        <w:bidi w:val="0"/>
        <w:adjustRightInd/>
        <w:snapToGrid/>
        <w:spacing w:beforeLines="0" w:afterLines="0" w:line="260" w:lineRule="atLeast"/>
        <w:ind w:firstLine="640"/>
        <w:jc w:val="left"/>
        <w:textAlignment w:val="auto"/>
        <w:rPr>
          <w:rFonts w:hint="eastAsia" w:ascii="仿宋_GB2312" w:hAnsi="仿宋_GB2312" w:eastAsia="仿宋_GB2312"/>
          <w:sz w:val="32"/>
          <w:szCs w:val="24"/>
          <w:highlight w:val="none"/>
          <w:u w:val="none"/>
          <w:lang w:val="zh-CN"/>
        </w:rPr>
      </w:pPr>
      <w:r>
        <w:rPr>
          <w:rFonts w:hint="eastAsia" w:ascii="仿宋_GB2312" w:hAnsi="仿宋_GB2312" w:eastAsia="仿宋_GB2312"/>
          <w:color w:val="000000"/>
          <w:sz w:val="32"/>
          <w:szCs w:val="24"/>
          <w:highlight w:val="none"/>
          <w:u w:val="none"/>
          <w:lang w:val="zh-CN"/>
        </w:rPr>
        <w:t>3.</w:t>
      </w:r>
      <w:r>
        <w:rPr>
          <w:rFonts w:hint="eastAsia" w:ascii="仿宋_GB2312" w:hAnsi="仿宋_GB2312" w:eastAsia="仿宋_GB2312"/>
          <w:color w:val="000000"/>
          <w:sz w:val="32"/>
          <w:szCs w:val="24"/>
          <w:highlight w:val="none"/>
          <w:u w:val="none"/>
          <w:lang w:val="en-US" w:eastAsia="zh-CN"/>
        </w:rPr>
        <w:t>区丽梅</w:t>
      </w:r>
      <w:r>
        <w:rPr>
          <w:rFonts w:hint="eastAsia" w:ascii="仿宋_GB2312" w:hAnsi="仿宋_GB2312" w:eastAsia="仿宋_GB2312"/>
          <w:color w:val="000000"/>
          <w:sz w:val="32"/>
          <w:szCs w:val="24"/>
          <w:highlight w:val="none"/>
          <w:u w:val="none"/>
          <w:lang w:val="zh-CN"/>
        </w:rPr>
        <w:t>身份证复印件，证明合法身份信息；</w:t>
      </w:r>
      <w:r>
        <w:rPr>
          <w:rFonts w:hint="eastAsia" w:ascii="仿宋_GB2312" w:hAnsi="仿宋_GB2312" w:eastAsia="仿宋_GB2312"/>
          <w:color w:val="000000"/>
          <w:sz w:val="32"/>
          <w:szCs w:val="24"/>
          <w:highlight w:val="none"/>
          <w:u w:val="none"/>
          <w:lang w:val="zh-CN"/>
        </w:rPr>
        <w:br w:type="textWrapping"/>
      </w:r>
      <w:r>
        <w:rPr>
          <w:rFonts w:hint="eastAsia" w:ascii="仿宋_GB2312" w:hAnsi="仿宋_GB2312" w:eastAsia="仿宋_GB2312"/>
          <w:color w:val="000000"/>
          <w:sz w:val="32"/>
          <w:szCs w:val="24"/>
          <w:highlight w:val="none"/>
          <w:u w:val="none"/>
          <w:lang w:val="zh-CN"/>
        </w:rPr>
        <w:t>　　4.证据提取单（现场检查图片），证明执法人员开展现场检查的事实；</w:t>
      </w:r>
      <w:r>
        <w:rPr>
          <w:rFonts w:hint="eastAsia" w:ascii="仿宋_GB2312" w:hAnsi="仿宋_GB2312" w:eastAsia="仿宋_GB2312"/>
          <w:color w:val="000000"/>
          <w:sz w:val="32"/>
          <w:szCs w:val="24"/>
          <w:highlight w:val="none"/>
          <w:u w:val="none"/>
          <w:lang w:val="zh-CN"/>
        </w:rPr>
        <w:br w:type="textWrapping"/>
      </w:r>
      <w:r>
        <w:rPr>
          <w:rFonts w:hint="eastAsia" w:ascii="仿宋_GB2312" w:hAnsi="仿宋_GB2312" w:eastAsia="仿宋_GB2312"/>
          <w:color w:val="000000"/>
          <w:sz w:val="32"/>
          <w:szCs w:val="24"/>
          <w:highlight w:val="none"/>
          <w:u w:val="none"/>
          <w:lang w:val="zh-CN"/>
        </w:rPr>
        <w:t>　　5.涉案烟草专卖品核价表，证明涉案烟草制品市场销售单价</w:t>
      </w:r>
      <w:r>
        <w:rPr>
          <w:rFonts w:hint="eastAsia" w:ascii="仿宋_GB2312" w:hAnsi="仿宋_GB2312" w:eastAsia="仿宋_GB2312" w:cs="Times New Roman"/>
          <w:color w:val="000000"/>
          <w:kern w:val="2"/>
          <w:sz w:val="32"/>
          <w:szCs w:val="24"/>
          <w:highlight w:val="none"/>
          <w:u w:val="none"/>
          <w:lang w:val="zh-CN" w:eastAsia="zh-CN" w:bidi="ar-SA"/>
        </w:rPr>
        <w:t>；</w:t>
      </w:r>
    </w:p>
    <w:p w14:paraId="12E025C4">
      <w:pPr>
        <w:pStyle w:val="3"/>
        <w:keepNext w:val="0"/>
        <w:keepLines w:val="0"/>
        <w:pageBreakBefore w:val="0"/>
        <w:tabs>
          <w:tab w:val="left" w:pos="8285"/>
        </w:tabs>
        <w:kinsoku/>
        <w:overflowPunct/>
        <w:topLinePunct w:val="0"/>
        <w:bidi w:val="0"/>
        <w:snapToGrid/>
        <w:spacing w:line="260" w:lineRule="atLeast"/>
        <w:ind w:firstLine="640" w:firstLineChars="200"/>
        <w:textAlignment w:val="auto"/>
        <w:rPr>
          <w:rFonts w:hint="eastAsia" w:ascii="仿宋_GB2312" w:hAnsi="仿宋_GB2312" w:eastAsia="仿宋_GB2312" w:cs="Times New Roman"/>
          <w:kern w:val="2"/>
          <w:sz w:val="32"/>
          <w:szCs w:val="24"/>
          <w:highlight w:val="none"/>
          <w:u w:val="none"/>
          <w:lang w:val="zh-CN" w:eastAsia="zh-CN" w:bidi="ar-SA"/>
        </w:rPr>
      </w:pPr>
      <w:r>
        <w:rPr>
          <w:rFonts w:hint="eastAsia" w:ascii="仿宋_GB2312" w:hAnsi="仿宋_GB2312" w:eastAsia="仿宋_GB2312"/>
          <w:color w:val="000000"/>
          <w:sz w:val="32"/>
          <w:szCs w:val="32"/>
          <w:u w:val="none"/>
          <w:lang w:val="en-US" w:eastAsia="zh-CN"/>
        </w:rPr>
        <w:t>6、《先行登记保存证据通知书》（融水市监先登【2026】56号）及《财务清单》</w:t>
      </w:r>
      <w:r>
        <w:rPr>
          <w:rFonts w:hint="eastAsia" w:ascii="仿宋_GB2312" w:hAnsi="仿宋_GB2312" w:eastAsia="仿宋_GB2312" w:cs="Times New Roman"/>
          <w:color w:val="000000"/>
          <w:kern w:val="2"/>
          <w:sz w:val="32"/>
          <w:szCs w:val="24"/>
          <w:highlight w:val="none"/>
          <w:u w:val="none"/>
          <w:lang w:val="zh-CN" w:eastAsia="zh-CN" w:bidi="ar-SA"/>
        </w:rPr>
        <w:t>；</w:t>
      </w:r>
    </w:p>
    <w:p w14:paraId="275DE24A">
      <w:pPr>
        <w:pStyle w:val="3"/>
        <w:keepNext w:val="0"/>
        <w:keepLines w:val="0"/>
        <w:pageBreakBefore w:val="0"/>
        <w:tabs>
          <w:tab w:val="left" w:pos="8285"/>
        </w:tabs>
        <w:kinsoku/>
        <w:overflowPunct/>
        <w:topLinePunct w:val="0"/>
        <w:bidi w:val="0"/>
        <w:snapToGrid/>
        <w:spacing w:line="260" w:lineRule="atLeast"/>
        <w:ind w:firstLine="640" w:firstLineChars="200"/>
        <w:textAlignment w:val="auto"/>
        <w:rPr>
          <w:rFonts w:hint="eastAsia" w:ascii="仿宋_GB2312" w:hAnsi="仿宋_GB2312" w:eastAsia="仿宋_GB2312" w:cs="Times New Roman"/>
          <w:kern w:val="2"/>
          <w:sz w:val="32"/>
          <w:szCs w:val="24"/>
          <w:highlight w:val="none"/>
          <w:u w:val="none"/>
          <w:lang w:val="zh-CN" w:eastAsia="zh-CN" w:bidi="ar-SA"/>
        </w:rPr>
      </w:pPr>
      <w:r>
        <w:rPr>
          <w:rFonts w:hint="eastAsia" w:ascii="仿宋_GB2312" w:hAnsi="仿宋_GB2312" w:eastAsia="仿宋_GB2312" w:cs="Times New Roman"/>
          <w:color w:val="000000"/>
          <w:kern w:val="2"/>
          <w:sz w:val="32"/>
          <w:szCs w:val="24"/>
          <w:highlight w:val="none"/>
          <w:u w:val="none"/>
          <w:lang w:val="en-US" w:eastAsia="zh-CN" w:bidi="ar-SA"/>
        </w:rPr>
        <w:t>7</w:t>
      </w:r>
      <w:r>
        <w:rPr>
          <w:rFonts w:hint="eastAsia" w:ascii="仿宋_GB2312" w:hAnsi="仿宋_GB2312" w:eastAsia="仿宋_GB2312" w:cs="Times New Roman"/>
          <w:color w:val="000000"/>
          <w:kern w:val="2"/>
          <w:sz w:val="32"/>
          <w:szCs w:val="24"/>
          <w:highlight w:val="none"/>
          <w:u w:val="none"/>
          <w:lang w:val="zh-CN" w:eastAsia="zh-CN" w:bidi="ar-SA"/>
        </w:rPr>
        <w:t>.行政检查审批表及通知书，证明执法人员依法对当事人开展执法检查；</w:t>
      </w:r>
      <w:r>
        <w:rPr>
          <w:rFonts w:hint="eastAsia" w:ascii="仿宋_GB2312" w:hAnsi="仿宋_GB2312" w:eastAsia="仿宋_GB2312" w:cs="Times New Roman"/>
          <w:color w:val="000000"/>
          <w:kern w:val="2"/>
          <w:sz w:val="32"/>
          <w:szCs w:val="24"/>
          <w:highlight w:val="none"/>
          <w:u w:val="none"/>
          <w:lang w:val="zh-CN" w:eastAsia="zh-CN" w:bidi="ar-SA"/>
        </w:rPr>
        <w:br w:type="textWrapping"/>
      </w:r>
      <w:r>
        <w:rPr>
          <w:rFonts w:hint="eastAsia" w:ascii="仿宋_GB2312" w:hAnsi="仿宋_GB2312" w:eastAsia="仿宋_GB2312" w:cs="Times New Roman"/>
          <w:color w:val="000000"/>
          <w:kern w:val="2"/>
          <w:sz w:val="32"/>
          <w:szCs w:val="24"/>
          <w:highlight w:val="none"/>
          <w:u w:val="none"/>
          <w:lang w:val="zh-CN" w:eastAsia="zh-CN" w:bidi="ar-SA"/>
        </w:rPr>
        <w:t>　　</w:t>
      </w:r>
      <w:r>
        <w:rPr>
          <w:rFonts w:hint="eastAsia" w:ascii="仿宋_GB2312" w:hAnsi="仿宋_GB2312" w:eastAsia="仿宋_GB2312" w:cs="Times New Roman"/>
          <w:color w:val="000000"/>
          <w:kern w:val="2"/>
          <w:sz w:val="32"/>
          <w:szCs w:val="24"/>
          <w:highlight w:val="none"/>
          <w:u w:val="none"/>
          <w:lang w:val="en-US" w:eastAsia="zh-CN" w:bidi="ar-SA"/>
        </w:rPr>
        <w:t>8</w:t>
      </w:r>
      <w:r>
        <w:rPr>
          <w:rFonts w:hint="eastAsia" w:ascii="仿宋_GB2312" w:hAnsi="仿宋_GB2312" w:eastAsia="仿宋_GB2312" w:cs="Times New Roman"/>
          <w:color w:val="000000"/>
          <w:kern w:val="2"/>
          <w:sz w:val="32"/>
          <w:szCs w:val="24"/>
          <w:highlight w:val="none"/>
          <w:u w:val="none"/>
          <w:lang w:val="zh-CN" w:eastAsia="zh-CN" w:bidi="ar-SA"/>
        </w:rPr>
        <w:t>.送达地址确认书，</w:t>
      </w:r>
      <w:r>
        <w:rPr>
          <w:rFonts w:hint="eastAsia" w:ascii="仿宋_GB2312" w:hAnsi="仿宋_GB2312" w:eastAsia="仿宋_GB2312" w:cs="Times New Roman"/>
          <w:color w:val="000000"/>
          <w:kern w:val="2"/>
          <w:sz w:val="32"/>
          <w:szCs w:val="24"/>
          <w:highlight w:val="none"/>
          <w:u w:val="none"/>
          <w:lang w:val="en-US" w:eastAsia="zh-CN" w:bidi="ar-SA"/>
        </w:rPr>
        <w:t>证明当事人确认文书送达的地址和方式</w:t>
      </w:r>
      <w:r>
        <w:rPr>
          <w:rFonts w:hint="eastAsia" w:ascii="仿宋_GB2312" w:hAnsi="仿宋_GB2312" w:eastAsia="仿宋_GB2312" w:cs="Times New Roman"/>
          <w:color w:val="000000"/>
          <w:kern w:val="2"/>
          <w:sz w:val="32"/>
          <w:szCs w:val="24"/>
          <w:highlight w:val="none"/>
          <w:u w:val="none"/>
          <w:lang w:val="zh-CN" w:eastAsia="zh-CN" w:bidi="ar-SA"/>
        </w:rPr>
        <w:t>。</w:t>
      </w:r>
    </w:p>
    <w:p w14:paraId="46BB774E">
      <w:pPr>
        <w:keepNext w:val="0"/>
        <w:keepLines w:val="0"/>
        <w:pageBreakBefore w:val="0"/>
        <w:kinsoku/>
        <w:overflowPunct/>
        <w:topLinePunct w:val="0"/>
        <w:bidi w:val="0"/>
        <w:snapToGrid/>
        <w:spacing w:line="260" w:lineRule="atLeast"/>
        <w:ind w:firstLine="640" w:firstLineChars="200"/>
        <w:jc w:val="both"/>
        <w:textAlignment w:val="auto"/>
        <w:rPr>
          <w:rFonts w:hint="eastAsia" w:ascii="仿宋_GB2312" w:hAnsi="仿宋_GB2312" w:eastAsia="仿宋_GB2312" w:cs="Times New Roman"/>
          <w:kern w:val="2"/>
          <w:sz w:val="32"/>
          <w:szCs w:val="24"/>
          <w:highlight w:val="none"/>
          <w:u w:val="none"/>
          <w:lang w:val="zh-CN" w:eastAsia="zh-CN" w:bidi="ar-SA"/>
        </w:rPr>
      </w:pPr>
      <w:r>
        <w:rPr>
          <w:rFonts w:hint="eastAsia" w:ascii="仿宋_GB2312" w:hAnsi="仿宋_GB2312" w:eastAsia="仿宋_GB2312" w:cs="仿宋_GB2312"/>
          <w:color w:val="000000"/>
          <w:sz w:val="32"/>
          <w:u w:val="none"/>
          <w:lang w:val="en-US" w:eastAsia="zh-CN"/>
        </w:rPr>
        <w:t>2026年4月11日，本局执法人员向当事人送达了本案《行政处罚告知书》（融水市监罚告〔2026〕105号），当事人在法定期限内未提出任何陈述、申辩要求。</w:t>
      </w:r>
    </w:p>
    <w:p w14:paraId="77F98330">
      <w:pPr>
        <w:keepNext w:val="0"/>
        <w:keepLines w:val="0"/>
        <w:pageBreakBefore w:val="0"/>
        <w:kinsoku/>
        <w:overflowPunct/>
        <w:topLinePunct w:val="0"/>
        <w:bidi w:val="0"/>
        <w:snapToGrid/>
        <w:spacing w:line="260" w:lineRule="atLeas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lang w:val="en-US" w:eastAsia="zh-CN"/>
        </w:rPr>
        <w:t>本局认为，</w:t>
      </w:r>
      <w:r>
        <w:rPr>
          <w:rFonts w:hint="eastAsia" w:ascii="仿宋_GB2312" w:hAnsi="仿宋_GB2312" w:eastAsia="仿宋_GB2312" w:cs="仿宋_GB2312"/>
          <w:color w:val="000000"/>
          <w:sz w:val="32"/>
          <w:szCs w:val="32"/>
          <w:u w:val="none"/>
          <w:lang w:eastAsia="zh-CN"/>
        </w:rPr>
        <w:t>当事人未取得《烟草专卖零售许可证》从事烟草制品零售业务的行为，违反了</w:t>
      </w:r>
      <w:r>
        <w:rPr>
          <w:rFonts w:hint="eastAsia" w:ascii="仿宋_GB2312" w:hAnsi="仿宋_GB2312" w:eastAsia="仿宋_GB2312" w:cs="仿宋_GB2312"/>
          <w:color w:val="000000"/>
          <w:sz w:val="32"/>
          <w:szCs w:val="32"/>
          <w:u w:val="none"/>
        </w:rPr>
        <w:t>《中华人民共和国烟草专卖法实施条例（2023修订）》第六条第一款</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从事烟草专卖品的生产、批发、零售业务，以及经营烟草专卖品进出口业务和经营外国烟草制品购销业务的，必须依照《烟草专卖法》和本条例的规定，申请领取烟草专卖许可证</w:t>
      </w:r>
      <w:r>
        <w:rPr>
          <w:rFonts w:hint="eastAsia" w:ascii="仿宋_GB2312" w:hAnsi="仿宋_GB2312" w:eastAsia="仿宋_GB2312" w:cs="仿宋_GB2312"/>
          <w:color w:val="000000"/>
          <w:sz w:val="32"/>
          <w:szCs w:val="32"/>
          <w:u w:val="none"/>
          <w:lang w:eastAsia="zh-CN"/>
        </w:rPr>
        <w:t>”的规定，构成了无证经营烟草制品的违法行为。</w:t>
      </w:r>
    </w:p>
    <w:p w14:paraId="679EA35A">
      <w:pPr>
        <w:keepNext w:val="0"/>
        <w:keepLines w:val="0"/>
        <w:pageBreakBefore w:val="0"/>
        <w:numPr>
          <w:ilvl w:val="0"/>
          <w:numId w:val="0"/>
        </w:numPr>
        <w:kinsoku/>
        <w:overflowPunct/>
        <w:topLinePunct w:val="0"/>
        <w:bidi w:val="0"/>
        <w:snapToGrid/>
        <w:spacing w:line="260" w:lineRule="atLeast"/>
        <w:ind w:firstLine="640" w:firstLineChars="200"/>
        <w:textAlignment w:val="auto"/>
        <w:rPr>
          <w:rFonts w:hint="eastAsia" w:ascii="Times New Roman" w:hAnsi="Times New Roman" w:eastAsia="仿宋_GB2312" w:cs="仿宋_GB2312"/>
          <w:sz w:val="32"/>
          <w:u w:val="single"/>
        </w:rPr>
      </w:pPr>
      <w:bookmarkStart w:id="7" w:name="CALCULATE—AJCF—tAjCfes_cZyclsshly"/>
      <w:r>
        <w:rPr>
          <w:rFonts w:hint="eastAsia" w:ascii="Times New Roman" w:hAnsi="Times New Roman" w:eastAsia="仿宋_GB2312" w:cs="仿宋_GB2312"/>
          <w:color w:val="000000"/>
          <w:sz w:val="32"/>
          <w:u w:val="none"/>
        </w:rPr>
        <w:t>在整个案件的调查过程中，当事人能够积极配合调査，如实交代违法事实。当事人未取得《烟草专卖零售许可证》从事烟草制品经营业务的违法经营额为</w:t>
      </w:r>
      <w:r>
        <w:rPr>
          <w:rFonts w:hint="eastAsia" w:ascii="Times New Roman" w:hAnsi="Times New Roman" w:eastAsia="仿宋_GB2312" w:cs="仿宋_GB2312"/>
          <w:color w:val="000000"/>
          <w:sz w:val="32"/>
          <w:u w:val="none"/>
          <w:lang w:val="en-US" w:eastAsia="zh-CN"/>
        </w:rPr>
        <w:t>5181.15</w:t>
      </w:r>
      <w:r>
        <w:rPr>
          <w:rFonts w:hint="eastAsia" w:ascii="Times New Roman" w:hAnsi="Times New Roman" w:eastAsia="仿宋_GB2312" w:cs="仿宋_GB2312"/>
          <w:color w:val="000000"/>
          <w:sz w:val="32"/>
          <w:u w:val="none"/>
        </w:rPr>
        <w:t>元，符合《广西壮族自治区市场监督管理行政处罚裁量基准(2023版)》一百二十八</w:t>
      </w:r>
      <w:r>
        <w:rPr>
          <w:rFonts w:hint="eastAsia" w:ascii="仿宋_GB2312" w:hAnsi="仿宋_GB2312" w:eastAsia="仿宋_GB2312"/>
          <w:color w:val="000000"/>
          <w:sz w:val="32"/>
          <w:szCs w:val="24"/>
          <w:highlight w:val="none"/>
          <w:u w:val="none"/>
          <w:lang w:val="zh-CN"/>
        </w:rPr>
        <w:t>、《中华人民共和国烟草专卖法实施条例》行政处罚裁量基准</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序号1</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中的</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违法行为</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为</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无证经营烟草制品的违法行为</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适用情形</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中</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从轻（违法经营额1万元以下的。）</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 xml:space="preserve"> 的</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裁量标准（责令停止经营烟草制品零售业务，没收违法所得，处以违法经营总额 20%以上29%以下的罚款。）</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的规定，</w:t>
      </w:r>
      <w:r>
        <w:rPr>
          <w:rFonts w:hint="eastAsia" w:ascii="仿宋_GB2312" w:hAnsi="仿宋_GB2312" w:eastAsia="仿宋_GB2312"/>
          <w:color w:val="000000"/>
          <w:sz w:val="32"/>
          <w:szCs w:val="24"/>
          <w:highlight w:val="none"/>
          <w:u w:val="none"/>
          <w:lang w:val="zh-CN" w:eastAsia="zh-CN"/>
        </w:rPr>
        <w:t>当事人</w:t>
      </w:r>
      <w:r>
        <w:rPr>
          <w:rFonts w:hint="eastAsia" w:ascii="仿宋_GB2312" w:hAnsi="仿宋_GB2312" w:eastAsia="仿宋_GB2312"/>
          <w:color w:val="000000"/>
          <w:sz w:val="32"/>
          <w:szCs w:val="24"/>
          <w:highlight w:val="none"/>
          <w:u w:val="none"/>
          <w:lang w:val="zh-CN"/>
        </w:rPr>
        <w:t>的违法情节符合从轻行政处罚</w:t>
      </w:r>
      <w:r>
        <w:rPr>
          <w:rFonts w:hint="eastAsia" w:ascii="仿宋_GB2312" w:hAnsi="仿宋_GB2312" w:eastAsia="仿宋_GB2312"/>
          <w:color w:val="000000"/>
          <w:sz w:val="32"/>
          <w:szCs w:val="24"/>
          <w:highlight w:val="none"/>
          <w:u w:val="none"/>
          <w:lang w:val="en-US" w:eastAsia="zh-CN"/>
        </w:rPr>
        <w:t>的</w:t>
      </w:r>
      <w:r>
        <w:rPr>
          <w:rFonts w:hint="eastAsia" w:ascii="仿宋_GB2312" w:hAnsi="仿宋_GB2312" w:eastAsia="仿宋_GB2312"/>
          <w:color w:val="000000"/>
          <w:sz w:val="32"/>
          <w:szCs w:val="24"/>
          <w:highlight w:val="none"/>
          <w:u w:val="none"/>
          <w:lang w:val="zh-CN"/>
        </w:rPr>
        <w:t>情形。</w:t>
      </w:r>
    </w:p>
    <w:bookmarkEnd w:id="7"/>
    <w:p w14:paraId="1C9D6C5B">
      <w:pPr>
        <w:pStyle w:val="3"/>
        <w:keepNext w:val="0"/>
        <w:keepLines w:val="0"/>
        <w:pageBreakBefore w:val="0"/>
        <w:tabs>
          <w:tab w:val="left" w:pos="8285"/>
        </w:tabs>
        <w:kinsoku/>
        <w:overflowPunct/>
        <w:topLinePunct w:val="0"/>
        <w:bidi w:val="0"/>
        <w:snapToGrid/>
        <w:spacing w:line="260" w:lineRule="atLeast"/>
        <w:ind w:firstLine="640" w:firstLineChars="200"/>
        <w:textAlignment w:val="auto"/>
        <w:rPr>
          <w:rFonts w:hint="eastAsia" w:ascii="仿宋_GB2312" w:hAnsi="仿宋_GB2312" w:eastAsia="仿宋_GB2312" w:cs="仿宋_GB2312"/>
          <w:b w:val="0"/>
          <w:bCs/>
          <w:color w:val="auto"/>
          <w:sz w:val="32"/>
          <w:szCs w:val="32"/>
          <w:u w:val="single" w:color="auto"/>
          <w:lang w:val="en-US" w:eastAsia="zh-CN"/>
        </w:rPr>
      </w:pPr>
      <w:bookmarkStart w:id="8" w:name="CALCULATE—WFFLFGXX—tAjCfes_cCfyj"/>
      <w:r>
        <w:rPr>
          <w:rFonts w:hint="eastAsia" w:ascii="仿宋_GB2312" w:hAnsi="仿宋_GB2312" w:eastAsia="仿宋_GB2312" w:cs="仿宋_GB2312"/>
          <w:color w:val="000000"/>
          <w:sz w:val="32"/>
          <w:szCs w:val="32"/>
          <w:u w:val="none"/>
          <w:lang w:eastAsia="zh-CN"/>
        </w:rPr>
        <w:t>依据</w:t>
      </w:r>
      <w:r>
        <w:rPr>
          <w:rFonts w:hint="eastAsia" w:ascii="仿宋_GB2312" w:hAnsi="仿宋_GB2312" w:eastAsia="仿宋_GB2312" w:cs="仿宋_GB2312"/>
          <w:color w:val="000000"/>
          <w:sz w:val="32"/>
          <w:szCs w:val="32"/>
          <w:u w:val="none"/>
        </w:rPr>
        <w:t>《中华人民共和国烟草专卖法(2015修正)》第三十二条</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无烟草专卖零售许可证经营烟草制品零售业务的，由工商行政管理部门责令停止经营烟草制品零售业务，没收违法所得，并处罚款</w:t>
      </w:r>
      <w:r>
        <w:rPr>
          <w:rFonts w:hint="eastAsia" w:ascii="仿宋_GB2312" w:hAnsi="仿宋_GB2312" w:eastAsia="仿宋_GB2312" w:cs="仿宋_GB2312"/>
          <w:color w:val="000000"/>
          <w:sz w:val="32"/>
          <w:szCs w:val="32"/>
          <w:u w:val="none"/>
          <w:lang w:eastAsia="zh-CN"/>
        </w:rPr>
        <w:t>”和</w:t>
      </w:r>
      <w:r>
        <w:rPr>
          <w:rFonts w:hint="eastAsia" w:ascii="仿宋_GB2312" w:hAnsi="仿宋_GB2312" w:eastAsia="仿宋_GB2312" w:cs="仿宋_GB2312"/>
          <w:color w:val="000000"/>
          <w:sz w:val="32"/>
          <w:szCs w:val="32"/>
          <w:u w:val="none"/>
        </w:rPr>
        <w:t>《中华人民共和国烟草专卖法实施条例》第五十七条</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无烟草专卖零售许可证经营烟草制品零售业务的，由工商行政管理部门或者由工商行政管理部门根据烟草专卖行政主管部门的意见，责令停止经营烟草制品零售业务，没收违法所得，处以违法经营总额20％以上50％以下的罚款</w:t>
      </w:r>
      <w:r>
        <w:rPr>
          <w:rFonts w:hint="eastAsia" w:ascii="仿宋_GB2312" w:hAnsi="仿宋_GB2312" w:eastAsia="仿宋_GB2312" w:cs="仿宋_GB2312"/>
          <w:color w:val="000000"/>
          <w:sz w:val="32"/>
          <w:szCs w:val="32"/>
          <w:u w:val="none"/>
          <w:lang w:eastAsia="zh-CN"/>
        </w:rPr>
        <w:t>”的规定，结合当事人符合从轻处罚的情形，</w:t>
      </w:r>
      <w:r>
        <w:rPr>
          <w:rFonts w:hint="eastAsia" w:ascii="仿宋_GB2312" w:hAnsi="仿宋_GB2312" w:eastAsia="仿宋_GB2312" w:cs="仿宋_GB2312"/>
          <w:color w:val="000000"/>
          <w:sz w:val="32"/>
          <w:szCs w:val="32"/>
          <w:u w:val="none"/>
          <w:lang w:val="en-US" w:eastAsia="zh-CN"/>
        </w:rPr>
        <w:t>参照《广西壮族自治区市场监督管理行政处罚裁量基准（2023版）》一百二十八、《烟草专卖法实施条例》行政处罚裁量基准“序号1”的“适用情形”中“从轻”的“裁量标准（责令停止经营烟草制品零售业务，没收违法所得，处以违法经营总额 20% 以上 29%以下的罚款）”，本局责令当事人立即停止从事烟草制品零售业务活动，并</w:t>
      </w:r>
      <w:r>
        <w:rPr>
          <w:rFonts w:hint="eastAsia" w:ascii="仿宋_GB2312" w:hAnsi="仿宋_GB2312" w:eastAsia="仿宋_GB2312" w:cs="仿宋_GB2312"/>
          <w:color w:val="000000"/>
          <w:sz w:val="32"/>
          <w:szCs w:val="32"/>
          <w:u w:val="none"/>
          <w:lang w:eastAsia="zh-CN"/>
        </w:rPr>
        <w:t>对当事人</w:t>
      </w:r>
      <w:r>
        <w:rPr>
          <w:rFonts w:hint="eastAsia" w:ascii="仿宋_GB2312" w:hAnsi="仿宋_GB2312" w:eastAsia="仿宋_GB2312" w:cs="仿宋_GB2312"/>
          <w:color w:val="000000"/>
          <w:sz w:val="32"/>
          <w:szCs w:val="32"/>
          <w:u w:val="none"/>
        </w:rPr>
        <w:t>处货值金额2</w:t>
      </w:r>
      <w:r>
        <w:rPr>
          <w:rFonts w:hint="eastAsia" w:ascii="仿宋_GB2312" w:hAnsi="仿宋_GB2312" w:eastAsia="仿宋_GB2312" w:cs="仿宋_GB2312"/>
          <w:color w:val="000000"/>
          <w:sz w:val="32"/>
          <w:szCs w:val="32"/>
          <w:u w:val="none"/>
          <w:lang w:val="en-US" w:eastAsia="zh-CN"/>
        </w:rPr>
        <w:t>0</w:t>
      </w:r>
      <w:r>
        <w:rPr>
          <w:rFonts w:hint="eastAsia" w:ascii="仿宋_GB2312" w:hAnsi="仿宋_GB2312" w:eastAsia="仿宋_GB2312" w:cs="仿宋_GB2312"/>
          <w:color w:val="000000"/>
          <w:sz w:val="32"/>
          <w:szCs w:val="32"/>
          <w:u w:val="none"/>
        </w:rPr>
        <w:t>%的罚款</w:t>
      </w:r>
      <w:r>
        <w:rPr>
          <w:rFonts w:hint="eastAsia"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en-US" w:eastAsia="zh-CN"/>
        </w:rPr>
        <w:t>1036.23元</w:t>
      </w:r>
      <w:r>
        <w:rPr>
          <w:rFonts w:hint="eastAsia" w:ascii="仿宋_GB2312" w:hAnsi="仿宋_GB2312" w:eastAsia="仿宋_GB2312"/>
          <w:color w:val="000000"/>
          <w:sz w:val="32"/>
          <w:szCs w:val="24"/>
          <w:highlight w:val="none"/>
          <w:u w:val="none"/>
          <w:lang w:val="zh-CN"/>
        </w:rPr>
        <w:t>）。</w:t>
      </w:r>
      <w:bookmarkEnd w:id="8"/>
    </w:p>
    <w:p w14:paraId="75666DE3">
      <w:pPr>
        <w:keepNext w:val="0"/>
        <w:keepLines w:val="0"/>
        <w:pageBreakBefore w:val="0"/>
        <w:numPr>
          <w:ilvl w:val="0"/>
          <w:numId w:val="0"/>
        </w:numPr>
        <w:kinsoku/>
        <w:overflowPunct/>
        <w:topLinePunct w:val="0"/>
        <w:bidi w:val="0"/>
        <w:snapToGrid/>
        <w:spacing w:line="260" w:lineRule="atLeast"/>
        <w:ind w:firstLine="640" w:firstLineChars="200"/>
        <w:textAlignment w:val="auto"/>
        <w:rPr>
          <w:rFonts w:hint="eastAsia" w:ascii="仿宋_GB2312" w:hAnsi="仿宋_GB2312" w:eastAsia="仿宋_GB2312" w:cs="仿宋_GB2312"/>
          <w:b w:val="0"/>
          <w:bCs/>
          <w:color w:val="auto"/>
          <w:sz w:val="32"/>
          <w:szCs w:val="32"/>
          <w:u w:val="none" w:color="auto"/>
        </w:rPr>
      </w:pPr>
      <w:r>
        <w:rPr>
          <w:rFonts w:hint="eastAsia" w:ascii="仿宋_GB2312" w:hAnsi="仿宋_GB2312" w:eastAsia="仿宋_GB2312" w:cs="仿宋_GB2312"/>
          <w:b w:val="0"/>
          <w:bCs/>
          <w:color w:val="000000"/>
          <w:kern w:val="2"/>
          <w:sz w:val="32"/>
          <w:szCs w:val="32"/>
          <w:u w:val="none" w:color="auto"/>
          <w:lang w:val="en-US" w:eastAsia="zh-CN" w:bidi="ar-SA"/>
        </w:rPr>
        <w:t>当事人应当自收到本行政处罚决定之日起十五日内到融水苗族自治县市场监督管理局财务股开具《广西壮族自治区非税收入电子缴款通知书》，持此缴款通知书到相应银行缴纳罚款，到期不缴纳罚款的，依据《中华人民共和国行政处罚法》第</w:t>
      </w:r>
      <w:r>
        <w:rPr>
          <w:rFonts w:hint="eastAsia" w:ascii="仿宋_GB2312" w:hAnsi="仿宋_GB2312" w:eastAsia="仿宋_GB2312" w:cs="仿宋_GB2312"/>
          <w:b w:val="0"/>
          <w:bCs/>
          <w:color w:val="000000"/>
          <w:kern w:val="2"/>
          <w:sz w:val="32"/>
          <w:szCs w:val="32"/>
          <w:u w:val="none" w:color="auto"/>
          <w:lang w:val="en-US" w:eastAsia="zh-Hans" w:bidi="ar-SA"/>
        </w:rPr>
        <w:t>七十二</w:t>
      </w:r>
      <w:r>
        <w:rPr>
          <w:rFonts w:hint="eastAsia" w:ascii="仿宋_GB2312" w:hAnsi="仿宋_GB2312" w:eastAsia="仿宋_GB2312" w:cs="仿宋_GB2312"/>
          <w:b w:val="0"/>
          <w:bCs/>
          <w:color w:val="000000"/>
          <w:kern w:val="2"/>
          <w:sz w:val="32"/>
          <w:szCs w:val="32"/>
          <w:u w:val="none" w:color="auto"/>
          <w:lang w:val="en-US" w:eastAsia="zh-CN" w:bidi="ar-SA"/>
        </w:rPr>
        <w:t xml:space="preserve">条的规定，本局将每日按罚款数额的百分之三加处罚款，并依法申请人民法院强制执行。 </w:t>
      </w:r>
      <w:r>
        <w:rPr>
          <w:rFonts w:hint="eastAsia" w:ascii="仿宋_GB2312" w:hAnsi="仿宋_GB2312" w:eastAsia="仿宋_GB2312" w:cs="仿宋_GB2312"/>
          <w:b w:val="0"/>
          <w:bCs/>
          <w:color w:val="000000"/>
          <w:sz w:val="32"/>
          <w:szCs w:val="32"/>
          <w:u w:val="none" w:color="auto"/>
        </w:rPr>
        <w:t xml:space="preserve">                                                </w:t>
      </w:r>
    </w:p>
    <w:p w14:paraId="5F1D80F1">
      <w:pPr>
        <w:pStyle w:val="3"/>
        <w:keepNext w:val="0"/>
        <w:keepLines w:val="0"/>
        <w:pageBreakBefore w:val="0"/>
        <w:widowControl w:val="0"/>
        <w:tabs>
          <w:tab w:val="left" w:pos="8395"/>
        </w:tabs>
        <w:kinsoku/>
        <w:wordWrap w:val="0"/>
        <w:overflowPunct/>
        <w:topLinePunct w:val="0"/>
        <w:autoSpaceDE w:val="0"/>
        <w:autoSpaceDN w:val="0"/>
        <w:bidi w:val="0"/>
        <w:adjustRightInd w:val="0"/>
        <w:snapToGrid/>
        <w:spacing w:line="260" w:lineRule="atLeast"/>
        <w:ind w:firstLine="640" w:firstLineChars="200"/>
        <w:textAlignment w:val="auto"/>
        <w:rPr>
          <w:rFonts w:hint="default" w:ascii="Times New Roman" w:eastAsia="仿宋_GB2312" w:cs="仿宋_GB2312"/>
          <w:b w:val="0"/>
          <w:bCs/>
          <w:color w:val="auto"/>
          <w:u w:val="single"/>
          <w:lang w:val="en-US" w:eastAsia="zh-CN"/>
        </w:rPr>
      </w:pPr>
      <w:r>
        <w:rPr>
          <w:rFonts w:hint="eastAsia" w:ascii="仿宋_GB2312" w:hAnsi="仿宋_GB2312" w:eastAsia="仿宋_GB2312" w:cs="仿宋_GB2312"/>
          <w:b w:val="0"/>
          <w:bCs/>
          <w:color w:val="000000"/>
          <w:kern w:val="2"/>
          <w:sz w:val="32"/>
          <w:szCs w:val="32"/>
          <w:u w:val="none" w:color="auto"/>
          <w:lang w:val="en-US" w:eastAsia="zh-CN" w:bidi="ar-SA"/>
        </w:rPr>
        <w:t>当事人如不服本行政处罚决定，可以在收到本行政处罚决定书之日起六十日内向融水苗族自治县人民政府申请行政复议；也可以在六个月内依法向柳州市柳北区人民法院提起行政诉讼。申请行政复议或者提起行政诉讼期间，行政处罚不停止执行。</w:t>
      </w:r>
    </w:p>
    <w:p w14:paraId="1267E1FA">
      <w:pPr>
        <w:widowControl/>
        <w:snapToGrid w:val="0"/>
        <w:spacing w:line="520" w:lineRule="exact"/>
        <w:jc w:val="left"/>
        <w:rPr>
          <w:rFonts w:ascii="Times New Roman" w:hAnsi="Times New Roman" w:eastAsia="仿宋_GB2312" w:cs="仿宋_GB2312"/>
          <w:color w:val="auto"/>
          <w:sz w:val="32"/>
          <w:szCs w:val="32"/>
        </w:rPr>
      </w:pPr>
    </w:p>
    <w:p w14:paraId="231D4753">
      <w:pPr>
        <w:widowControl/>
        <w:snapToGrid w:val="0"/>
        <w:spacing w:line="520" w:lineRule="exact"/>
        <w:ind w:firstLine="6240" w:firstLineChars="1950"/>
        <w:jc w:val="left"/>
        <w:rPr>
          <w:rFonts w:hint="eastAsia" w:ascii="Times New Roman" w:hAnsi="Times New Roman" w:eastAsia="仿宋_GB2312" w:cs="仿宋_GB2312"/>
          <w:color w:val="auto"/>
          <w:sz w:val="32"/>
          <w:szCs w:val="32"/>
          <w:lang w:val="en-US" w:eastAsia="zh-Hans"/>
        </w:rPr>
      </w:pPr>
    </w:p>
    <w:p w14:paraId="7BE4C65A">
      <w:pPr>
        <w:spacing w:line="560" w:lineRule="exact"/>
        <w:ind w:right="640" w:firstLine="601"/>
        <w:jc w:val="right"/>
        <w:rPr>
          <w:rFonts w:ascii="Times New Roman" w:hAnsi="Times New Roman" w:eastAsia="仿宋_GB2312" w:cs="仿宋"/>
          <w:color w:val="auto"/>
          <w:sz w:val="32"/>
          <w:szCs w:val="32"/>
        </w:rPr>
      </w:pPr>
      <w:bookmarkStart w:id="9" w:name="DYNAMIC—DWXX—tAj_dwmc—2"/>
      <w:r>
        <w:rPr>
          <w:rFonts w:hint="eastAsia" w:ascii="Times New Roman" w:hAnsi="Times New Roman" w:eastAsia="仿宋_GB2312" w:cs="仿宋"/>
          <w:color w:val="000000"/>
          <w:sz w:val="32"/>
          <w:u w:val="none"/>
        </w:rPr>
        <w:t>融水苗族自治县市场监督管理局</w:t>
      </w:r>
      <w:bookmarkEnd w:id="9"/>
      <w:r>
        <w:rPr>
          <w:rFonts w:hint="eastAsia" w:ascii="Times New Roman" w:hAnsi="Times New Roman" w:eastAsia="仿宋_GB2312" w:cs="仿宋"/>
          <w:color w:val="000000"/>
          <w:sz w:val="32"/>
          <w:szCs w:val="32"/>
          <w:u w:val="none"/>
        </w:rPr>
        <w:t xml:space="preserve">    </w:t>
      </w:r>
    </w:p>
    <w:p w14:paraId="54722FD3">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right"/>
        <w:textAlignment w:val="auto"/>
        <w:outlineLvl w:val="9"/>
        <w:rPr>
          <w:rFonts w:ascii="Times New Roman" w:hAnsi="Times New Roman" w:eastAsia="仿宋_GB2312" w:cs="仿宋_GB2312"/>
          <w:color w:val="auto"/>
          <w:sz w:val="32"/>
          <w:szCs w:val="32"/>
        </w:rPr>
      </w:pPr>
      <w:bookmarkStart w:id="10" w:name="CALCULATE—TIME—NOW"/>
      <w:r>
        <w:rPr>
          <w:rFonts w:ascii="仿宋_GB2312" w:hAnsi="仿宋_GB2312" w:eastAsia="仿宋_GB2312" w:cs="仿宋_GB2312"/>
          <w:sz w:val="32"/>
        </w:rPr>
        <w:t>2026年06月16日</w:t>
      </w:r>
      <w:bookmarkEnd w:id="10"/>
      <w:r>
        <w:rPr>
          <w:rFonts w:hint="eastAsia" w:ascii="Times New Roman" w:hAnsi="Times New Roman" w:eastAsia="仿宋_GB2312" w:cs="仿宋_GB2312"/>
          <w:color w:val="000000"/>
          <w:sz w:val="32"/>
          <w:szCs w:val="32"/>
          <w:u w:val="none"/>
        </w:rPr>
        <w:t xml:space="preserve">  </w:t>
      </w:r>
    </w:p>
    <w:p w14:paraId="2BFB41C7">
      <w:pPr>
        <w:widowControl/>
        <w:snapToGrid w:val="0"/>
        <w:spacing w:line="520" w:lineRule="exact"/>
        <w:jc w:val="right"/>
        <w:rPr>
          <w:rFonts w:ascii="Times New Roman" w:hAnsi="Times New Roman" w:eastAsia="仿宋_GB2312" w:cs="Mongolian Baiti"/>
          <w:color w:val="auto"/>
          <w:sz w:val="32"/>
          <w:szCs w:val="32"/>
        </w:rPr>
      </w:pPr>
    </w:p>
    <w:p w14:paraId="1DCD8474">
      <w:pPr>
        <w:widowControl/>
        <w:snapToGrid w:val="0"/>
        <w:spacing w:line="520" w:lineRule="exact"/>
        <w:jc w:val="right"/>
        <w:rPr>
          <w:rFonts w:ascii="Times New Roman" w:hAnsi="Times New Roman" w:eastAsia="仿宋_GB2312" w:cs="Mongolian Baiti"/>
          <w:color w:val="auto"/>
          <w:sz w:val="32"/>
          <w:szCs w:val="32"/>
        </w:rPr>
      </w:pPr>
    </w:p>
    <w:p w14:paraId="20631C16">
      <w:pPr>
        <w:widowControl/>
        <w:snapToGrid w:val="0"/>
        <w:spacing w:line="520" w:lineRule="exact"/>
        <w:jc w:val="right"/>
        <w:rPr>
          <w:rFonts w:ascii="Times New Roman" w:hAnsi="Times New Roman" w:eastAsia="仿宋_GB2312" w:cs="Mongolian Baiti"/>
          <w:color w:val="auto"/>
          <w:sz w:val="32"/>
          <w:szCs w:val="32"/>
        </w:rPr>
      </w:pPr>
    </w:p>
    <w:p w14:paraId="35672B80">
      <w:pPr>
        <w:widowControl/>
        <w:snapToGrid w:val="0"/>
        <w:spacing w:line="520" w:lineRule="exact"/>
        <w:jc w:val="right"/>
        <w:rPr>
          <w:rFonts w:ascii="Times New Roman" w:hAnsi="Times New Roman" w:eastAsia="仿宋_GB2312" w:cs="Mongolian Baiti"/>
          <w:color w:val="auto"/>
          <w:sz w:val="32"/>
          <w:szCs w:val="32"/>
        </w:rPr>
      </w:pPr>
    </w:p>
    <w:p w14:paraId="2067653A">
      <w:pPr>
        <w:widowControl/>
        <w:snapToGrid w:val="0"/>
        <w:spacing w:line="520" w:lineRule="exact"/>
        <w:jc w:val="both"/>
        <w:rPr>
          <w:rFonts w:ascii="Times New Roman" w:hAnsi="Times New Roman" w:eastAsia="仿宋_GB2312" w:cs="Mongolian Baiti"/>
          <w:color w:val="auto"/>
          <w:sz w:val="32"/>
          <w:szCs w:val="32"/>
        </w:rPr>
      </w:pPr>
    </w:p>
    <w:p w14:paraId="2F87BA77">
      <w:pPr>
        <w:widowControl/>
        <w:snapToGrid w:val="0"/>
        <w:spacing w:line="520" w:lineRule="exact"/>
        <w:jc w:val="right"/>
        <w:rPr>
          <w:rFonts w:ascii="Times New Roman" w:hAnsi="Times New Roman" w:eastAsia="仿宋_GB2312" w:cs="Mongolian Baiti"/>
          <w:color w:val="auto"/>
          <w:sz w:val="32"/>
          <w:szCs w:val="32"/>
        </w:rPr>
      </w:pPr>
    </w:p>
    <w:p w14:paraId="35D6A4B7">
      <w:pPr>
        <w:pStyle w:val="3"/>
        <w:spacing w:before="1"/>
        <w:ind w:left="163"/>
        <w:rPr>
          <w:rFonts w:ascii="Times New Roman" w:hAnsi="Times New Roman" w:eastAsia="仿宋_GB2312" w:cs="仿宋"/>
          <w:bCs/>
          <w:color w:val="auto"/>
          <w:sz w:val="44"/>
          <w:szCs w:val="44"/>
        </w:rPr>
      </w:pPr>
      <w:r>
        <w:rPr>
          <w:rFonts w:ascii="Times New Roman" w:hAnsi="Times New Roman" w:eastAsia="仿宋_GB2312"/>
          <w:color w:val="000000"/>
          <w:sz w:val="32"/>
          <w:u w:val="none"/>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000000"/>
          <w:spacing w:val="-16"/>
          <w:u w:val="none"/>
        </w:rPr>
        <w:t>（市场监督管理部门将依法向社会公开行政处罚决定信息）</w:t>
      </w:r>
    </w:p>
    <w:p w14:paraId="0F7DE934">
      <w:pPr>
        <w:spacing w:line="500" w:lineRule="exact"/>
        <w:rPr>
          <w:color w:val="auto"/>
        </w:rPr>
      </w:pPr>
      <w:r>
        <w:rPr>
          <w:rFonts w:ascii="Times New Roman" w:hAnsi="Times New Roman" w:eastAsia="仿宋_GB2312" w:cs="仿宋"/>
          <w:bCs/>
          <w:color w:val="000000"/>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u w:val="none"/>
        </w:rPr>
        <w:t>本文书一式</w:t>
      </w:r>
      <w:r>
        <w:rPr>
          <w:rFonts w:hint="eastAsia" w:ascii="Times New Roman" w:hAnsi="Times New Roman" w:eastAsia="仿宋_GB2312" w:cs="仿宋"/>
          <w:color w:val="000000"/>
          <w:sz w:val="32"/>
          <w:szCs w:val="32"/>
          <w:u w:val="none"/>
          <w:lang w:eastAsia="zh-CN"/>
        </w:rPr>
        <w:t>二</w:t>
      </w:r>
      <w:r>
        <w:rPr>
          <w:rFonts w:hint="eastAsia" w:ascii="Times New Roman" w:hAnsi="Times New Roman" w:eastAsia="仿宋_GB2312" w:cs="仿宋"/>
          <w:color w:val="000000"/>
          <w:sz w:val="32"/>
          <w:szCs w:val="32"/>
          <w:u w:val="none"/>
        </w:rPr>
        <w:t>份，一份送达，一份归档。</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DejaVu Math TeX Gyre"/>
    <w:panose1 w:val="02040503050203030202"/>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Arial Unicode MS">
    <w:panose1 w:val="020B0604020202020204"/>
    <w:charset w:val="86"/>
    <w:family w:val="auto"/>
    <w:pitch w:val="default"/>
    <w:sig w:usb0="FFFFFFFF" w:usb1="E9FFFFFF" w:usb2="0000003F" w:usb3="00000000" w:csb0="603F01FF" w:csb1="FFFF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B5745">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DE304A">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5DE304A">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3a570657-d4b9-4633-8bde-b1be1a221b99"/>
  </w:docVars>
  <w:rsids>
    <w:rsidRoot w:val="5BA419F7"/>
    <w:rsid w:val="00193C35"/>
    <w:rsid w:val="0032134F"/>
    <w:rsid w:val="00BA3FBE"/>
    <w:rsid w:val="010A478A"/>
    <w:rsid w:val="02B83402"/>
    <w:rsid w:val="03346C50"/>
    <w:rsid w:val="042774DD"/>
    <w:rsid w:val="04675D48"/>
    <w:rsid w:val="048D2705"/>
    <w:rsid w:val="04CC5A6D"/>
    <w:rsid w:val="04CD463F"/>
    <w:rsid w:val="04FA4431"/>
    <w:rsid w:val="05624EF4"/>
    <w:rsid w:val="058C1C12"/>
    <w:rsid w:val="0597643A"/>
    <w:rsid w:val="05C51508"/>
    <w:rsid w:val="05FF4B65"/>
    <w:rsid w:val="06476E0A"/>
    <w:rsid w:val="0666580E"/>
    <w:rsid w:val="06BAE61F"/>
    <w:rsid w:val="071C7669"/>
    <w:rsid w:val="07580619"/>
    <w:rsid w:val="0776795A"/>
    <w:rsid w:val="07B77E12"/>
    <w:rsid w:val="07DA78EE"/>
    <w:rsid w:val="08365B64"/>
    <w:rsid w:val="087864F3"/>
    <w:rsid w:val="090B4D3A"/>
    <w:rsid w:val="09290BEC"/>
    <w:rsid w:val="09AA7B69"/>
    <w:rsid w:val="0A2F38BD"/>
    <w:rsid w:val="0A3665F0"/>
    <w:rsid w:val="0AE65BC8"/>
    <w:rsid w:val="0B22091D"/>
    <w:rsid w:val="0BF906B3"/>
    <w:rsid w:val="0CF71776"/>
    <w:rsid w:val="0D242541"/>
    <w:rsid w:val="0F3D12BD"/>
    <w:rsid w:val="0FB748D6"/>
    <w:rsid w:val="103E22C5"/>
    <w:rsid w:val="112A47B8"/>
    <w:rsid w:val="11524677"/>
    <w:rsid w:val="115320F9"/>
    <w:rsid w:val="119E3BCA"/>
    <w:rsid w:val="11E2795E"/>
    <w:rsid w:val="125D5E2E"/>
    <w:rsid w:val="1350279A"/>
    <w:rsid w:val="14093CDF"/>
    <w:rsid w:val="14203063"/>
    <w:rsid w:val="143E1E38"/>
    <w:rsid w:val="145A7E72"/>
    <w:rsid w:val="1490670C"/>
    <w:rsid w:val="152E563E"/>
    <w:rsid w:val="158C14E9"/>
    <w:rsid w:val="15B93156"/>
    <w:rsid w:val="16BF2B60"/>
    <w:rsid w:val="16D23D7F"/>
    <w:rsid w:val="18325353"/>
    <w:rsid w:val="1856197C"/>
    <w:rsid w:val="188449CB"/>
    <w:rsid w:val="18B229B2"/>
    <w:rsid w:val="19FE4517"/>
    <w:rsid w:val="1AE345F4"/>
    <w:rsid w:val="1B37398D"/>
    <w:rsid w:val="1C7339BB"/>
    <w:rsid w:val="1C7A5BA8"/>
    <w:rsid w:val="1DCA3F6C"/>
    <w:rsid w:val="1E664711"/>
    <w:rsid w:val="1EC222D9"/>
    <w:rsid w:val="1F2B5D07"/>
    <w:rsid w:val="1F890B7E"/>
    <w:rsid w:val="1FC004DE"/>
    <w:rsid w:val="1FD31F15"/>
    <w:rsid w:val="212E3259"/>
    <w:rsid w:val="22287087"/>
    <w:rsid w:val="233953DA"/>
    <w:rsid w:val="237778B4"/>
    <w:rsid w:val="23813B4D"/>
    <w:rsid w:val="23F5677C"/>
    <w:rsid w:val="245D73BC"/>
    <w:rsid w:val="24626694"/>
    <w:rsid w:val="247C0775"/>
    <w:rsid w:val="258D6CE0"/>
    <w:rsid w:val="25DD15C5"/>
    <w:rsid w:val="27291C14"/>
    <w:rsid w:val="27A45517"/>
    <w:rsid w:val="27BF6C56"/>
    <w:rsid w:val="28285B9C"/>
    <w:rsid w:val="298C78D4"/>
    <w:rsid w:val="29946A38"/>
    <w:rsid w:val="2B164EBE"/>
    <w:rsid w:val="2B1B3EFC"/>
    <w:rsid w:val="2BF23A18"/>
    <w:rsid w:val="2CEA3815"/>
    <w:rsid w:val="2DE10173"/>
    <w:rsid w:val="2E57204A"/>
    <w:rsid w:val="2F1269C8"/>
    <w:rsid w:val="2F327E79"/>
    <w:rsid w:val="2F7CE1EF"/>
    <w:rsid w:val="2F8A6913"/>
    <w:rsid w:val="30A310D8"/>
    <w:rsid w:val="30DB5683"/>
    <w:rsid w:val="30FA2F6D"/>
    <w:rsid w:val="31231C2B"/>
    <w:rsid w:val="31562B39"/>
    <w:rsid w:val="31BE0AF5"/>
    <w:rsid w:val="32CE76E8"/>
    <w:rsid w:val="3334290F"/>
    <w:rsid w:val="33740640"/>
    <w:rsid w:val="33CF4797"/>
    <w:rsid w:val="353B77E2"/>
    <w:rsid w:val="35740C40"/>
    <w:rsid w:val="3585615B"/>
    <w:rsid w:val="363C12E3"/>
    <w:rsid w:val="368E5656"/>
    <w:rsid w:val="377FBB27"/>
    <w:rsid w:val="37F16547"/>
    <w:rsid w:val="38B63DA7"/>
    <w:rsid w:val="3930619F"/>
    <w:rsid w:val="3A4E178D"/>
    <w:rsid w:val="3B086FE8"/>
    <w:rsid w:val="3BF97ECA"/>
    <w:rsid w:val="3C2965F0"/>
    <w:rsid w:val="3D6B1177"/>
    <w:rsid w:val="3E390124"/>
    <w:rsid w:val="3E5F4AE1"/>
    <w:rsid w:val="3E853745"/>
    <w:rsid w:val="3E9B4946"/>
    <w:rsid w:val="3F2604DF"/>
    <w:rsid w:val="3F6783E4"/>
    <w:rsid w:val="3F842066"/>
    <w:rsid w:val="3FFF82D4"/>
    <w:rsid w:val="401D22D1"/>
    <w:rsid w:val="402E7C06"/>
    <w:rsid w:val="409D5390"/>
    <w:rsid w:val="40FE5F8F"/>
    <w:rsid w:val="41046039"/>
    <w:rsid w:val="41D45583"/>
    <w:rsid w:val="41E7246F"/>
    <w:rsid w:val="425049CE"/>
    <w:rsid w:val="429C28D7"/>
    <w:rsid w:val="42FF70F8"/>
    <w:rsid w:val="434A21E9"/>
    <w:rsid w:val="43E20C89"/>
    <w:rsid w:val="43F13DEC"/>
    <w:rsid w:val="442B16EC"/>
    <w:rsid w:val="458F64B9"/>
    <w:rsid w:val="45C51FFB"/>
    <w:rsid w:val="45E524CA"/>
    <w:rsid w:val="46157ACD"/>
    <w:rsid w:val="46FF7608"/>
    <w:rsid w:val="47243FC5"/>
    <w:rsid w:val="47CA7FD6"/>
    <w:rsid w:val="48310C7F"/>
    <w:rsid w:val="48C10000"/>
    <w:rsid w:val="496322F6"/>
    <w:rsid w:val="49BA2D04"/>
    <w:rsid w:val="4A555101"/>
    <w:rsid w:val="4AA541A9"/>
    <w:rsid w:val="4ADF49AE"/>
    <w:rsid w:val="4AFB1112"/>
    <w:rsid w:val="4B8F0B22"/>
    <w:rsid w:val="4C02380F"/>
    <w:rsid w:val="4C716343"/>
    <w:rsid w:val="4C7C04B3"/>
    <w:rsid w:val="4CC8271B"/>
    <w:rsid w:val="4D9306AE"/>
    <w:rsid w:val="4DAF5B73"/>
    <w:rsid w:val="4E2D7CD0"/>
    <w:rsid w:val="4E8950D9"/>
    <w:rsid w:val="4F722566"/>
    <w:rsid w:val="4F93378A"/>
    <w:rsid w:val="50294293"/>
    <w:rsid w:val="503F09B5"/>
    <w:rsid w:val="516D5500"/>
    <w:rsid w:val="52802336"/>
    <w:rsid w:val="53A0483E"/>
    <w:rsid w:val="54265D9C"/>
    <w:rsid w:val="54684787"/>
    <w:rsid w:val="547C0750"/>
    <w:rsid w:val="54C16083"/>
    <w:rsid w:val="55FE5622"/>
    <w:rsid w:val="57503162"/>
    <w:rsid w:val="57E75E01"/>
    <w:rsid w:val="58A4140A"/>
    <w:rsid w:val="58EA204C"/>
    <w:rsid w:val="591F0542"/>
    <w:rsid w:val="595E328E"/>
    <w:rsid w:val="59A10938"/>
    <w:rsid w:val="5BA419F7"/>
    <w:rsid w:val="5BD46EBF"/>
    <w:rsid w:val="5BEF1DBF"/>
    <w:rsid w:val="5BF91583"/>
    <w:rsid w:val="5BFB2E57"/>
    <w:rsid w:val="5C5D2BD9"/>
    <w:rsid w:val="5DD7483B"/>
    <w:rsid w:val="5E5FAB03"/>
    <w:rsid w:val="5E60128D"/>
    <w:rsid w:val="5E605C94"/>
    <w:rsid w:val="5EA00CBE"/>
    <w:rsid w:val="5EA80A59"/>
    <w:rsid w:val="5F523471"/>
    <w:rsid w:val="5F9FEDD5"/>
    <w:rsid w:val="5FB57A0D"/>
    <w:rsid w:val="5FBEF003"/>
    <w:rsid w:val="5FE33914"/>
    <w:rsid w:val="5FFA4D85"/>
    <w:rsid w:val="601E18C0"/>
    <w:rsid w:val="602422E6"/>
    <w:rsid w:val="60B635F2"/>
    <w:rsid w:val="60C16F3B"/>
    <w:rsid w:val="610712C2"/>
    <w:rsid w:val="612E7E8C"/>
    <w:rsid w:val="617678F3"/>
    <w:rsid w:val="61DC2B1A"/>
    <w:rsid w:val="636955DE"/>
    <w:rsid w:val="637E2D0B"/>
    <w:rsid w:val="641B0E4B"/>
    <w:rsid w:val="646E5E05"/>
    <w:rsid w:val="64E43803"/>
    <w:rsid w:val="64F90D4B"/>
    <w:rsid w:val="654D4A40"/>
    <w:rsid w:val="657F58CB"/>
    <w:rsid w:val="66192E8F"/>
    <w:rsid w:val="66934D57"/>
    <w:rsid w:val="678C3DE6"/>
    <w:rsid w:val="67AF422A"/>
    <w:rsid w:val="67B1772D"/>
    <w:rsid w:val="6AD7030F"/>
    <w:rsid w:val="6BA277B7"/>
    <w:rsid w:val="6BCC1BB9"/>
    <w:rsid w:val="6C6723F1"/>
    <w:rsid w:val="6CA517CF"/>
    <w:rsid w:val="6D064CEC"/>
    <w:rsid w:val="6D6C7F13"/>
    <w:rsid w:val="6D923254"/>
    <w:rsid w:val="6DAC0CFD"/>
    <w:rsid w:val="6DD2313B"/>
    <w:rsid w:val="6E04767D"/>
    <w:rsid w:val="6E355D52"/>
    <w:rsid w:val="6E5754A9"/>
    <w:rsid w:val="6E6950E9"/>
    <w:rsid w:val="6E794BCD"/>
    <w:rsid w:val="6ED952C0"/>
    <w:rsid w:val="6F013B3F"/>
    <w:rsid w:val="6F732ABB"/>
    <w:rsid w:val="6F95590D"/>
    <w:rsid w:val="6FAB07C2"/>
    <w:rsid w:val="6FF00C7D"/>
    <w:rsid w:val="6FF58B64"/>
    <w:rsid w:val="6FF8F863"/>
    <w:rsid w:val="70167FBF"/>
    <w:rsid w:val="70CF02CA"/>
    <w:rsid w:val="70F532B7"/>
    <w:rsid w:val="71013020"/>
    <w:rsid w:val="710D7C3E"/>
    <w:rsid w:val="71791C90"/>
    <w:rsid w:val="71FC56E7"/>
    <w:rsid w:val="722F5D04"/>
    <w:rsid w:val="7376089F"/>
    <w:rsid w:val="73B2330F"/>
    <w:rsid w:val="73EB5F85"/>
    <w:rsid w:val="74E06ABE"/>
    <w:rsid w:val="754045EC"/>
    <w:rsid w:val="75B2DA43"/>
    <w:rsid w:val="75BD90DB"/>
    <w:rsid w:val="75CC41D0"/>
    <w:rsid w:val="75F8119D"/>
    <w:rsid w:val="76222141"/>
    <w:rsid w:val="76704CDE"/>
    <w:rsid w:val="76D869B3"/>
    <w:rsid w:val="76FD0A98"/>
    <w:rsid w:val="77DA1086"/>
    <w:rsid w:val="77DF8BD4"/>
    <w:rsid w:val="77EFD5CC"/>
    <w:rsid w:val="77FFADAC"/>
    <w:rsid w:val="7835649C"/>
    <w:rsid w:val="789620E4"/>
    <w:rsid w:val="78D7094F"/>
    <w:rsid w:val="78FD530C"/>
    <w:rsid w:val="7A094544"/>
    <w:rsid w:val="7AFB4DD2"/>
    <w:rsid w:val="7B0F6E9A"/>
    <w:rsid w:val="7B3839A8"/>
    <w:rsid w:val="7BA46A39"/>
    <w:rsid w:val="7BFD6076"/>
    <w:rsid w:val="7C8E43D6"/>
    <w:rsid w:val="7DA813EB"/>
    <w:rsid w:val="7DFF108F"/>
    <w:rsid w:val="7E6A37F4"/>
    <w:rsid w:val="7EED8AE6"/>
    <w:rsid w:val="7F5A6980"/>
    <w:rsid w:val="7FEADF5C"/>
    <w:rsid w:val="91BF8AB9"/>
    <w:rsid w:val="9FF1B21D"/>
    <w:rsid w:val="B7BFD803"/>
    <w:rsid w:val="BD5EB179"/>
    <w:rsid w:val="BD7F788E"/>
    <w:rsid w:val="DEFF1EB3"/>
    <w:rsid w:val="DF3F4C88"/>
    <w:rsid w:val="DF7A9960"/>
    <w:rsid w:val="DFBF15D5"/>
    <w:rsid w:val="DFD70EC8"/>
    <w:rsid w:val="DFFE6C63"/>
    <w:rsid w:val="E53DE605"/>
    <w:rsid w:val="E775D448"/>
    <w:rsid w:val="ECC7B000"/>
    <w:rsid w:val="F0ED2927"/>
    <w:rsid w:val="F3EF5848"/>
    <w:rsid w:val="F5A28C7E"/>
    <w:rsid w:val="F9BF6AE4"/>
    <w:rsid w:val="FB57F652"/>
    <w:rsid w:val="FBBF88F6"/>
    <w:rsid w:val="FBFEBC90"/>
    <w:rsid w:val="FCF69F69"/>
    <w:rsid w:val="FD7BEF22"/>
    <w:rsid w:val="FD8BB826"/>
    <w:rsid w:val="FD9199D6"/>
    <w:rsid w:val="FDAC17BA"/>
    <w:rsid w:val="FDDF4064"/>
    <w:rsid w:val="FDF46C9E"/>
    <w:rsid w:val="FEAFF630"/>
    <w:rsid w:val="FEDEBCAC"/>
    <w:rsid w:val="FF7F62AA"/>
    <w:rsid w:val="FFDBA3A8"/>
    <w:rsid w:val="FFDF073B"/>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4">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2325</Words>
  <Characters>2453</Characters>
  <Lines>0</Lines>
  <Paragraphs>0</Paragraphs>
  <TotalTime>1</TotalTime>
  <ScaleCrop>false</ScaleCrop>
  <LinksUpToDate>false</LinksUpToDate>
  <CharactersWithSpaces>2945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2021-08-02T10:04:00Z</dcterms:created>
  <dc:creator>胖林宝宝噜啦噜～</dc:creator>
  <cp:lastModifiedBy>融水县市场监管局</cp:lastModifiedBy>
  <dcterms:modified xsi:type="dcterms:W3CDTF">2026-07-08T01:54:02Z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526F4C53292B48849053E71A59849707</vt:lpwstr>
  </property>
  <property fmtid="{D5CDD505-2E9C-101B-9397-08002B2CF9AE}" pid="4" name="KSOTemplateDocerSaveRecord">
    <vt:lpwstr>eyJoZGlkIjoiZTY4OTVhZWZkODk3MDRjN2EyZWU0ZGY2MWJlMzliZDYiLCJ1c2VySWQiOiI1MzcwODExMDYifQ==</vt:lpwstr>
  </property>
</Properties>
</file>