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3C70D1">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default" w:ascii="方正小标宋简体" w:hAnsi="方正小标宋简体" w:eastAsia="方正小标宋简体" w:cs="方正小标宋简体"/>
          <w:color w:val="000000"/>
          <w:sz w:val="44"/>
          <w:u w:val="none"/>
        </w:rPr>
        <w:t>融水苗族自治县市场监督管理局</w:t>
      </w:r>
      <w:bookmarkEnd w:id="0"/>
    </w:p>
    <w:p w14:paraId="309DEBFA">
      <w:pPr>
        <w:pStyle w:val="2"/>
        <w:keepNext w:val="0"/>
        <w:numPr>
          <w:ilvl w:val="0"/>
          <w:numId w:val="2"/>
        </w:numPr>
        <w:spacing w:before="0" w:after="0" w:line="640" w:lineRule="exact"/>
        <w:jc w:val="center"/>
        <w:rPr>
          <w:rFonts w:hint="eastAsia" w:eastAsia="方正小标宋简体" w:cs="方正小标宋简体"/>
          <w:color w:val="auto"/>
          <w:sz w:val="44"/>
          <w:szCs w:val="44"/>
        </w:rPr>
      </w:pPr>
      <w:bookmarkStart w:id="1" w:name="_Toc76683344"/>
      <w:r>
        <w:rPr>
          <w:rFonts w:hint="eastAsia" w:hAnsi="方正小标宋简体" w:eastAsia="方正小标宋简体" w:cs="方正小标宋简体"/>
          <w:color w:val="000000"/>
          <w:sz w:val="44"/>
          <w:szCs w:val="44"/>
          <w:u w:val="none"/>
          <w:lang w:val="en-US"/>
        </w:rPr>
        <w:t>行政处罚</w:t>
      </w:r>
      <w:r>
        <w:rPr>
          <w:rFonts w:hint="eastAsia" w:hAnsi="方正小标宋简体" w:eastAsia="方正小标宋简体" w:cs="方正小标宋简体"/>
          <w:color w:val="000000"/>
          <w:sz w:val="44"/>
          <w:szCs w:val="44"/>
          <w:u w:val="none"/>
          <w:lang w:val="en-US" w:eastAsia="zh-Hans"/>
        </w:rPr>
        <w:t>决定</w:t>
      </w:r>
      <w:r>
        <w:rPr>
          <w:rFonts w:hint="eastAsia" w:hAnsi="方正小标宋简体" w:eastAsia="方正小标宋简体" w:cs="方正小标宋简体"/>
          <w:color w:val="000000"/>
          <w:sz w:val="44"/>
          <w:szCs w:val="44"/>
          <w:u w:val="none"/>
          <w:lang w:val="en-US"/>
        </w:rPr>
        <w:t>书</w:t>
      </w:r>
      <w:bookmarkEnd w:id="1"/>
    </w:p>
    <w:p w14:paraId="200D9A61">
      <w:pPr>
        <w:widowControl/>
        <w:snapToGrid w:val="0"/>
        <w:spacing w:line="560" w:lineRule="exact"/>
        <w:ind w:right="55"/>
        <w:jc w:val="center"/>
        <w:outlineLvl w:val="1"/>
        <w:rPr>
          <w:rFonts w:hint="eastAsia" w:ascii="Times New Roman" w:hAnsi="仿宋_GB2312" w:eastAsia="仿宋_GB2312" w:cs="仿宋_GB2312"/>
          <w:bCs/>
          <w:color w:val="auto"/>
          <w:sz w:val="32"/>
          <w:szCs w:val="32"/>
        </w:rPr>
      </w:pPr>
      <w:bookmarkStart w:id="2" w:name="tAj_wh"/>
      <w:r>
        <w:rPr>
          <w:rFonts w:hint="eastAsia" w:ascii="Times New Roman" w:hAnsi="Times New Roman" w:eastAsia="仿宋_GB2312" w:cs="Mongolian Baiti"/>
          <w:color w:val="000000"/>
          <w:sz w:val="32"/>
          <w:u w:val="none"/>
        </w:rPr>
        <w:t>融水市监处罚〔2026〕104号</w:t>
      </w:r>
      <w:bookmarkEnd w:id="2"/>
    </w:p>
    <w:p w14:paraId="1BF8ABB8">
      <w:pPr>
        <w:spacing w:before="315" w:beforeLines="100" w:line="540" w:lineRule="exact"/>
        <w:ind w:left="142" w:hanging="142"/>
        <w:rPr>
          <w:rFonts w:hint="eastAsia" w:ascii="仿宋_GB2312" w:hAnsi="仿宋_GB2312" w:eastAsia="仿宋_GB2312" w:cs="仿宋_GB2312"/>
          <w:b w:val="0"/>
          <w:bCs/>
          <w:color w:val="auto"/>
          <w:sz w:val="32"/>
          <w:szCs w:val="32"/>
          <w:u w:val="none"/>
          <w:lang w:val="en-US" w:eastAsia="zh-CN"/>
        </w:rPr>
      </w:pPr>
      <w:r>
        <w:rPr>
          <w:rFonts w:hint="eastAsia" w:ascii="仿宋_GB2312" w:hAnsi="仿宋_GB2312" w:eastAsia="仿宋_GB2312" w:cs="仿宋_GB2312"/>
          <w:b w:val="0"/>
          <w:bCs/>
          <w:color w:val="000000"/>
          <w:kern w:val="1"/>
          <w:sz w:val="32"/>
          <w:szCs w:val="32"/>
          <w:u w:val="none"/>
        </w:rPr>
        <w:t>当事人：</w:t>
      </w:r>
      <w:bookmarkStart w:id="3" w:name="CALCULATE—DSR—tAjDsrs_cMc"/>
      <w:r>
        <w:rPr>
          <w:rFonts w:hint="eastAsia" w:ascii="仿宋_GB2312" w:hAnsi="仿宋_GB2312" w:eastAsia="仿宋_GB2312" w:cs="仿宋_GB2312"/>
          <w:b w:val="0"/>
          <w:color w:val="000000"/>
          <w:sz w:val="32"/>
          <w:u w:val="none"/>
        </w:rPr>
        <w:t>融水县陆程食品店</w:t>
      </w:r>
      <w:bookmarkEnd w:id="3"/>
      <w:r>
        <w:rPr>
          <w:rFonts w:hint="eastAsia" w:ascii="仿宋_GB2312" w:hAnsi="仿宋_GB2312" w:eastAsia="仿宋_GB2312" w:cs="仿宋_GB2312"/>
          <w:b w:val="0"/>
          <w:bCs/>
          <w:color w:val="000000"/>
          <w:kern w:val="1"/>
          <w:sz w:val="32"/>
          <w:szCs w:val="32"/>
          <w:u w:val="none"/>
        </w:rPr>
        <w:t xml:space="preserve">                                            </w:t>
      </w:r>
    </w:p>
    <w:p w14:paraId="3715A155">
      <w:pPr>
        <w:spacing w:line="540" w:lineRule="exact"/>
        <w:ind w:left="140" w:hanging="140"/>
        <w:rPr>
          <w:rFonts w:hint="eastAsia" w:ascii="仿宋_GB2312" w:hAnsi="仿宋_GB2312" w:eastAsia="仿宋_GB2312" w:cs="仿宋_GB2312"/>
          <w:b w:val="0"/>
          <w:bCs/>
          <w:color w:val="auto"/>
          <w:kern w:val="1"/>
          <w:sz w:val="32"/>
          <w:szCs w:val="32"/>
          <w:u w:val="none"/>
        </w:rPr>
      </w:pPr>
      <w:r>
        <w:rPr>
          <w:rFonts w:hint="eastAsia" w:ascii="仿宋_GB2312" w:hAnsi="仿宋_GB2312" w:eastAsia="仿宋_GB2312" w:cs="仿宋_GB2312"/>
          <w:b w:val="0"/>
          <w:bCs/>
          <w:color w:val="000000"/>
          <w:kern w:val="1"/>
          <w:sz w:val="32"/>
          <w:szCs w:val="32"/>
          <w:u w:val="none"/>
        </w:rPr>
        <w:t>主体资格证照名称：</w:t>
      </w:r>
      <w:bookmarkStart w:id="4" w:name="CALCULATE—DSR—tAjDsrs_cZtzgzzmc"/>
      <w:r>
        <w:rPr>
          <w:rFonts w:hint="eastAsia" w:ascii="仿宋_GB2312" w:hAnsi="仿宋_GB2312" w:eastAsia="仿宋_GB2312" w:cs="仿宋_GB2312"/>
          <w:b w:val="0"/>
          <w:color w:val="000000"/>
          <w:sz w:val="32"/>
          <w:u w:val="none"/>
        </w:rPr>
        <w:t>营业执照</w:t>
      </w:r>
      <w:bookmarkEnd w:id="4"/>
      <w:r>
        <w:rPr>
          <w:rFonts w:hint="eastAsia" w:ascii="仿宋_GB2312" w:hAnsi="仿宋_GB2312" w:eastAsia="仿宋_GB2312" w:cs="仿宋_GB2312"/>
          <w:b w:val="0"/>
          <w:bCs/>
          <w:color w:val="000000"/>
          <w:kern w:val="1"/>
          <w:sz w:val="32"/>
          <w:szCs w:val="32"/>
          <w:u w:val="none"/>
        </w:rPr>
        <w:t xml:space="preserve">                                  </w:t>
      </w:r>
    </w:p>
    <w:p w14:paraId="179C12FC">
      <w:pPr>
        <w:spacing w:line="540" w:lineRule="exact"/>
        <w:ind w:left="140" w:hanging="140"/>
        <w:rPr>
          <w:rFonts w:hint="eastAsia" w:ascii="仿宋_GB2312" w:hAnsi="仿宋_GB2312" w:eastAsia="仿宋_GB2312" w:cs="仿宋_GB2312"/>
          <w:b w:val="0"/>
          <w:bCs/>
          <w:color w:val="auto"/>
          <w:kern w:val="1"/>
          <w:sz w:val="32"/>
          <w:szCs w:val="32"/>
          <w:u w:val="none"/>
          <w:lang w:val="en-US" w:eastAsia="zh-CN"/>
        </w:rPr>
      </w:pPr>
      <w:r>
        <w:rPr>
          <w:rFonts w:hint="eastAsia" w:ascii="仿宋_GB2312" w:hAnsi="仿宋_GB2312" w:eastAsia="仿宋_GB2312" w:cs="仿宋_GB2312"/>
          <w:b w:val="0"/>
          <w:bCs/>
          <w:color w:val="000000"/>
          <w:kern w:val="1"/>
          <w:sz w:val="32"/>
          <w:szCs w:val="32"/>
          <w:u w:val="none"/>
        </w:rPr>
        <w:t>统一社会信用代码：</w:t>
      </w:r>
      <w:bookmarkStart w:id="5" w:name="CALCULATE—DSR—tAjDsrs_cTzshxydm"/>
      <w:r>
        <w:rPr>
          <w:rFonts w:hint="eastAsia" w:ascii="仿宋_GB2312" w:hAnsi="仿宋_GB2312" w:eastAsia="仿宋_GB2312" w:cs="仿宋_GB2312"/>
          <w:b w:val="0"/>
          <w:color w:val="000000"/>
          <w:sz w:val="32"/>
          <w:u w:val="none"/>
        </w:rPr>
        <w:t>92450225MAA7CGG101</w:t>
      </w:r>
      <w:bookmarkEnd w:id="5"/>
      <w:r>
        <w:rPr>
          <w:rFonts w:hint="eastAsia" w:ascii="仿宋_GB2312" w:hAnsi="仿宋_GB2312" w:eastAsia="仿宋_GB2312" w:cs="仿宋_GB2312"/>
          <w:b w:val="0"/>
          <w:bCs/>
          <w:color w:val="000000"/>
          <w:kern w:val="1"/>
          <w:sz w:val="32"/>
          <w:szCs w:val="32"/>
          <w:u w:val="none"/>
        </w:rPr>
        <w:t xml:space="preserve">                                  </w:t>
      </w:r>
    </w:p>
    <w:p w14:paraId="4D051435">
      <w:pPr>
        <w:spacing w:line="540" w:lineRule="exact"/>
        <w:ind w:left="140" w:hanging="140"/>
        <w:rPr>
          <w:rFonts w:hint="eastAsia" w:ascii="仿宋_GB2312" w:hAnsi="仿宋_GB2312" w:eastAsia="仿宋_GB2312" w:cs="仿宋_GB2312"/>
          <w:b w:val="0"/>
          <w:bCs/>
          <w:color w:val="auto"/>
          <w:kern w:val="1"/>
          <w:sz w:val="32"/>
          <w:szCs w:val="32"/>
          <w:u w:val="none"/>
          <w:lang w:val="en-US" w:eastAsia="zh-CN"/>
        </w:rPr>
      </w:pPr>
      <w:r>
        <w:rPr>
          <w:rFonts w:hint="eastAsia" w:ascii="仿宋_GB2312" w:hAnsi="仿宋_GB2312" w:eastAsia="仿宋_GB2312" w:cs="仿宋_GB2312"/>
          <w:b w:val="0"/>
          <w:bCs/>
          <w:color w:val="000000"/>
          <w:kern w:val="1"/>
          <w:sz w:val="32"/>
          <w:szCs w:val="32"/>
          <w:u w:val="none"/>
        </w:rPr>
        <w:t>住所（住址）：</w:t>
      </w:r>
      <w:bookmarkStart w:id="6" w:name="CALCULATE—DSR—tAjDsrs_cLxdzSheng"/>
      <w:r>
        <w:rPr>
          <w:rFonts w:hint="eastAsia" w:ascii="仿宋_GB2312" w:hAnsi="仿宋_GB2312" w:eastAsia="仿宋_GB2312" w:cs="仿宋_GB2312"/>
          <w:b w:val="0"/>
          <w:color w:val="000000"/>
          <w:sz w:val="32"/>
          <w:u w:val="none"/>
        </w:rPr>
        <w:t>广西壮族自治区柳州市融水苗族自治县广西柳州市融水县融水镇民族路</w:t>
      </w:r>
      <w:bookmarkEnd w:id="6"/>
      <w:r>
        <w:rPr>
          <w:rFonts w:hint="eastAsia" w:ascii="仿宋_GB2312" w:hAnsi="仿宋_GB2312" w:eastAsia="仿宋_GB2312" w:cs="仿宋_GB2312"/>
          <w:b w:val="0"/>
          <w:color w:val="000000"/>
          <w:sz w:val="32"/>
          <w:u w:val="none"/>
          <w:lang w:val="en-US" w:eastAsia="zh-CN"/>
        </w:rPr>
        <w:t>******</w:t>
      </w:r>
      <w:r>
        <w:rPr>
          <w:rFonts w:hint="eastAsia" w:ascii="仿宋_GB2312" w:hAnsi="仿宋_GB2312" w:eastAsia="仿宋_GB2312" w:cs="仿宋_GB2312"/>
          <w:b w:val="0"/>
          <w:bCs/>
          <w:color w:val="000000"/>
          <w:kern w:val="1"/>
          <w:sz w:val="32"/>
          <w:szCs w:val="32"/>
          <w:u w:val="none"/>
        </w:rPr>
        <w:t xml:space="preserve">                                   </w:t>
      </w:r>
      <w:r>
        <w:rPr>
          <w:rFonts w:hint="eastAsia" w:ascii="仿宋_GB2312" w:hAnsi="仿宋_GB2312" w:eastAsia="仿宋_GB2312" w:cs="仿宋_GB2312"/>
          <w:b w:val="0"/>
          <w:bCs/>
          <w:color w:val="000000"/>
          <w:kern w:val="1"/>
          <w:sz w:val="32"/>
          <w:szCs w:val="32"/>
          <w:u w:val="none"/>
          <w:lang w:val="en-US" w:eastAsia="zh-CN"/>
        </w:rPr>
        <w:t xml:space="preserve"> </w:t>
      </w:r>
    </w:p>
    <w:p w14:paraId="08424681">
      <w:pPr>
        <w:spacing w:line="540" w:lineRule="exact"/>
        <w:rPr>
          <w:rFonts w:hint="eastAsia" w:ascii="仿宋_GB2312" w:hAnsi="仿宋_GB2312" w:eastAsia="仿宋_GB2312" w:cs="仿宋_GB2312"/>
          <w:b w:val="0"/>
          <w:bCs/>
          <w:color w:val="auto"/>
          <w:kern w:val="1"/>
          <w:sz w:val="32"/>
          <w:szCs w:val="32"/>
          <w:u w:val="none"/>
          <w:lang w:val="en-US" w:eastAsia="zh-CN"/>
        </w:rPr>
      </w:pPr>
      <w:r>
        <w:rPr>
          <w:rFonts w:hint="eastAsia" w:ascii="仿宋_GB2312" w:hAnsi="仿宋_GB2312" w:eastAsia="仿宋_GB2312" w:cs="仿宋_GB2312"/>
          <w:b w:val="0"/>
          <w:bCs/>
          <w:color w:val="000000"/>
          <w:kern w:val="1"/>
          <w:sz w:val="32"/>
          <w:szCs w:val="32"/>
          <w:u w:val="none"/>
        </w:rPr>
        <w:t>法定代表人（负责人</w:t>
      </w:r>
      <w:r>
        <w:rPr>
          <w:rFonts w:hint="eastAsia" w:ascii="仿宋_GB2312" w:hAnsi="仿宋_GB2312" w:eastAsia="仿宋_GB2312" w:cs="仿宋_GB2312"/>
          <w:b w:val="0"/>
          <w:bCs/>
          <w:color w:val="000000"/>
          <w:kern w:val="1"/>
          <w:sz w:val="32"/>
          <w:szCs w:val="32"/>
          <w:u w:val="none"/>
          <w:lang w:eastAsia="zh-CN"/>
        </w:rPr>
        <w:t>、经营者</w:t>
      </w:r>
      <w:r>
        <w:rPr>
          <w:rFonts w:hint="eastAsia" w:ascii="仿宋_GB2312" w:hAnsi="仿宋_GB2312" w:eastAsia="仿宋_GB2312" w:cs="仿宋_GB2312"/>
          <w:b w:val="0"/>
          <w:bCs/>
          <w:color w:val="000000"/>
          <w:kern w:val="1"/>
          <w:sz w:val="32"/>
          <w:szCs w:val="32"/>
          <w:u w:val="none"/>
        </w:rPr>
        <w:t>）：</w:t>
      </w:r>
      <w:bookmarkStart w:id="7" w:name="CALCULATE—DSR—tAjDsrs_cFddbr"/>
      <w:r>
        <w:rPr>
          <w:rFonts w:hint="eastAsia" w:ascii="仿宋_GB2312" w:hAnsi="仿宋_GB2312" w:eastAsia="仿宋_GB2312" w:cs="仿宋_GB2312"/>
          <w:b w:val="0"/>
          <w:color w:val="000000"/>
          <w:sz w:val="32"/>
          <w:u w:val="none"/>
        </w:rPr>
        <w:t>陆艳娟</w:t>
      </w:r>
      <w:bookmarkEnd w:id="7"/>
      <w:r>
        <w:rPr>
          <w:rFonts w:hint="eastAsia" w:ascii="仿宋_GB2312" w:hAnsi="仿宋_GB2312" w:eastAsia="仿宋_GB2312" w:cs="仿宋_GB2312"/>
          <w:b w:val="0"/>
          <w:bCs/>
          <w:color w:val="000000"/>
          <w:kern w:val="1"/>
          <w:sz w:val="32"/>
          <w:szCs w:val="32"/>
          <w:u w:val="none"/>
        </w:rPr>
        <w:t xml:space="preserve">                       </w:t>
      </w:r>
    </w:p>
    <w:p w14:paraId="3F8EF314">
      <w:pPr>
        <w:spacing w:line="540" w:lineRule="exact"/>
        <w:ind w:left="140" w:hanging="140"/>
        <w:rPr>
          <w:rFonts w:hint="eastAsia" w:ascii="仿宋_GB2312" w:hAnsi="仿宋_GB2312" w:eastAsia="仿宋_GB2312" w:cs="仿宋_GB2312"/>
          <w:b w:val="0"/>
          <w:bCs/>
          <w:color w:val="auto"/>
          <w:sz w:val="32"/>
          <w:szCs w:val="32"/>
          <w:u w:val="single" w:color="231F20"/>
        </w:rPr>
      </w:pPr>
      <w:r>
        <w:rPr>
          <w:rFonts w:hint="eastAsia" w:ascii="仿宋_GB2312" w:hAnsi="仿宋_GB2312" w:eastAsia="仿宋_GB2312" w:cs="仿宋_GB2312"/>
          <w:b w:val="0"/>
          <w:bCs/>
          <w:color w:val="000000"/>
          <w:kern w:val="1"/>
          <w:sz w:val="32"/>
          <w:szCs w:val="32"/>
          <w:u w:val="none"/>
        </w:rPr>
        <w:t>身份证件号码：</w:t>
      </w:r>
      <w:bookmarkStart w:id="8" w:name="CALCULATE—DSR—tAjDsrs_cZjhm"/>
      <w:r>
        <w:rPr>
          <w:rFonts w:hint="eastAsia" w:ascii="仿宋_GB2312" w:hAnsi="仿宋_GB2312" w:eastAsia="仿宋_GB2312" w:cs="仿宋_GB2312"/>
          <w:b w:val="0"/>
          <w:color w:val="000000"/>
          <w:sz w:val="32"/>
          <w:u w:val="none"/>
        </w:rPr>
        <w:t>452229198702</w:t>
      </w:r>
      <w:bookmarkEnd w:id="8"/>
      <w:r>
        <w:rPr>
          <w:rFonts w:hint="eastAsia" w:ascii="仿宋_GB2312" w:hAnsi="仿宋_GB2312" w:eastAsia="仿宋_GB2312" w:cs="仿宋_GB2312"/>
          <w:b w:val="0"/>
          <w:color w:val="000000"/>
          <w:sz w:val="32"/>
          <w:u w:val="none"/>
          <w:lang w:val="en-US" w:eastAsia="zh-CN"/>
        </w:rPr>
        <w:t>******</w:t>
      </w:r>
      <w:r>
        <w:rPr>
          <w:rFonts w:hint="eastAsia" w:ascii="仿宋_GB2312" w:hAnsi="仿宋_GB2312" w:eastAsia="仿宋_GB2312" w:cs="仿宋_GB2312"/>
          <w:b w:val="0"/>
          <w:bCs/>
          <w:color w:val="000000"/>
          <w:kern w:val="1"/>
          <w:sz w:val="32"/>
          <w:szCs w:val="32"/>
          <w:u w:val="none"/>
        </w:rPr>
        <w:t xml:space="preserve">                                     </w:t>
      </w:r>
    </w:p>
    <w:p w14:paraId="1AB2A5AB">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仿宋_GB2312" w:eastAsia="仿宋_GB2312" w:cs="仿宋_GB2312"/>
          <w:b w:val="0"/>
          <w:bCs w:val="0"/>
          <w:caps w:val="0"/>
          <w:color w:val="auto"/>
          <w:kern w:val="2"/>
          <w:sz w:val="32"/>
          <w:szCs w:val="32"/>
          <w:vertAlign w:val="baseline"/>
          <w:lang w:val="en-US" w:eastAsia="zh-CN"/>
        </w:rPr>
      </w:pPr>
      <w:r>
        <w:rPr>
          <w:rFonts w:hint="eastAsia" w:ascii="仿宋_GB2312" w:hAnsi="仿宋_GB2312" w:eastAsia="仿宋_GB2312" w:cs="仿宋_GB2312"/>
          <w:b w:val="0"/>
          <w:bCs w:val="0"/>
          <w:caps w:val="0"/>
          <w:color w:val="000000"/>
          <w:kern w:val="2"/>
          <w:sz w:val="32"/>
          <w:szCs w:val="32"/>
          <w:u w:val="none"/>
          <w:vertAlign w:val="baseline"/>
          <w:lang w:val="en-US" w:eastAsia="zh-CN" w:bidi="ar"/>
        </w:rPr>
        <w:t>2026年3月10日，本局执法人员到广西柳州市融水县融水镇民族路******的融水县陆程食品店开展执法检查，该店正开门对外营业，经营者陆艳娟现场陪同，持有《营业执照》一本，经营范围：一般项目：食品销售； 日用百货销售；玩具销售； 文具用品零售。执法人员在当事人经营场所内检查发现有“真龙（起源）”、“真龙（祥云）”等烟草制品28个品种共计9.2条烟草制品待售，当事人现场未能提供《烟草专卖零售许可证》及购进烟草制品的供货者资质材料、购销票据等。经本局领导批准，执法人员现场对检查发现的烟草制品采取先行登记保存措施，向当事人下达《先行登记保存证据通知书》（融水市监先登〔2026〕55号）及《财物清单》。当事人的行为违反了《烟草专卖法实施条例》第六条第一款的规定，经本局领导审批同意，2026年6月3日对当事人的行为立案调查。6月5日经营者陆艳娟到融水市场监督管理局市场监管行政执法大队接受询问调查，提供了相关证据材料。</w:t>
      </w:r>
    </w:p>
    <w:p w14:paraId="393E88A8">
      <w:pPr>
        <w:keepNext w:val="0"/>
        <w:keepLines w:val="0"/>
        <w:widowControl w:val="0"/>
        <w:suppressLineNumbers w:val="0"/>
        <w:spacing w:before="0" w:beforeAutospacing="0" w:after="0" w:afterAutospacing="0" w:line="560" w:lineRule="exact"/>
        <w:ind w:left="0" w:right="0" w:firstLine="640" w:firstLineChars="200"/>
        <w:jc w:val="both"/>
        <w:rPr>
          <w:rFonts w:hint="default" w:ascii="Calibri" w:hAnsi="Calibri" w:eastAsia="宋体" w:cs="Calibri"/>
          <w:caps w:val="0"/>
          <w:color w:val="auto"/>
          <w:sz w:val="21"/>
          <w:szCs w:val="21"/>
          <w:vertAlign w:val="baseline"/>
        </w:rPr>
      </w:pPr>
      <w:r>
        <w:rPr>
          <w:rFonts w:hint="eastAsia" w:ascii="仿宋_GB2312" w:hAnsi="仿宋_GB2312" w:eastAsia="仿宋_GB2312" w:cs="仿宋_GB2312"/>
          <w:b w:val="0"/>
          <w:bCs w:val="0"/>
          <w:caps w:val="0"/>
          <w:color w:val="000000"/>
          <w:kern w:val="2"/>
          <w:sz w:val="32"/>
          <w:szCs w:val="32"/>
          <w:u w:val="none"/>
          <w:vertAlign w:val="baseline"/>
          <w:lang w:val="en-US" w:eastAsia="zh-CN" w:bidi="ar"/>
        </w:rPr>
        <w:t>经查，当事人于2021年11月25日注册《营业执照》在广西柳州市融水县融水镇民族路******从事食品经营、日用百货销售经营活动。当事人前期办理有《烟草专卖零售许可证》，于2026年1月注销，《烟草专卖零售许可证》被注销后，仍继续在店内销售前期未售完的烟草制品。2026年6月3日，本局执法人员依法对当事人进行监督检查，在当事人销售货架上查获“真龙（起源）”、“真龙（祥云）”等烟草制品28个品种共计9.2条。经核实，当事人购进烟草制品未建立有台账，无法核实当事人至案发共入库和销售烟草制品的具体数量，以现场检查发现的烟草制品的零售单价的总和1880元认定为该案涉案货值金额，同时违法所得无法计算，该案无违法所得。</w:t>
      </w:r>
    </w:p>
    <w:p w14:paraId="54D007D1">
      <w:pPr>
        <w:keepNext w:val="0"/>
        <w:keepLines w:val="0"/>
        <w:widowControl w:val="0"/>
        <w:suppressLineNumbers w:val="0"/>
        <w:spacing w:before="0" w:beforeAutospacing="0" w:after="0" w:afterAutospacing="0" w:line="560" w:lineRule="exact"/>
        <w:ind w:left="0" w:right="0" w:firstLine="640" w:firstLineChars="200"/>
        <w:jc w:val="both"/>
        <w:rPr>
          <w:rFonts w:hint="default" w:ascii="Calibri" w:hAnsi="Calibri" w:eastAsia="宋体" w:cs="Calibri"/>
          <w:caps w:val="0"/>
          <w:color w:val="auto"/>
          <w:sz w:val="21"/>
          <w:szCs w:val="21"/>
          <w:vertAlign w:val="baseline"/>
        </w:rPr>
      </w:pPr>
      <w:r>
        <w:rPr>
          <w:rFonts w:hint="eastAsia" w:ascii="仿宋_GB2312" w:hAnsi="仿宋_GB2312" w:eastAsia="仿宋_GB2312" w:cs="仿宋_GB2312"/>
          <w:b w:val="0"/>
          <w:bCs w:val="0"/>
          <w:caps w:val="0"/>
          <w:color w:val="000000"/>
          <w:kern w:val="2"/>
          <w:sz w:val="32"/>
          <w:szCs w:val="32"/>
          <w:u w:val="none"/>
          <w:vertAlign w:val="baseline"/>
          <w:lang w:val="en-US" w:eastAsia="zh-CN" w:bidi="ar"/>
        </w:rPr>
        <w:t>当事人未取得《烟草专卖零售许可证》从事烟草制品零售业务的行为，违反了《中华人民共和国烟草专卖法实施条例（2023修订）》第六条第一款“从事烟草专卖品的生产、批发、零售业务，以及经营烟草专卖品进出口业务和经营外国烟草制品购销业务的，必须依照《烟草专卖法》和本条例的规定，申请领取烟草专卖许可证”的规定，构成了无证经营烟草制品的违法行为。</w:t>
      </w:r>
    </w:p>
    <w:p w14:paraId="2A0727A7">
      <w:pPr>
        <w:keepNext w:val="0"/>
        <w:keepLines w:val="0"/>
        <w:widowControl w:val="0"/>
        <w:suppressLineNumbers w:val="0"/>
        <w:spacing w:before="0" w:beforeAutospacing="0" w:after="0" w:afterAutospacing="0" w:line="560" w:lineRule="exact"/>
        <w:ind w:left="0" w:right="0" w:firstLine="640" w:firstLineChars="200"/>
        <w:jc w:val="both"/>
        <w:rPr>
          <w:rFonts w:hint="default" w:ascii="Calibri" w:hAnsi="Calibri" w:eastAsia="宋体" w:cs="Calibri"/>
          <w:caps w:val="0"/>
          <w:color w:val="auto"/>
          <w:sz w:val="21"/>
          <w:szCs w:val="21"/>
          <w:vertAlign w:val="baseline"/>
        </w:rPr>
      </w:pPr>
      <w:r>
        <w:rPr>
          <w:rFonts w:hint="eastAsia" w:ascii="仿宋_GB2312" w:hAnsi="仿宋_GB2312" w:eastAsia="仿宋_GB2312" w:cs="仿宋_GB2312"/>
          <w:b w:val="0"/>
          <w:bCs w:val="0"/>
          <w:caps w:val="0"/>
          <w:color w:val="000000"/>
          <w:kern w:val="2"/>
          <w:sz w:val="32"/>
          <w:szCs w:val="32"/>
          <w:u w:val="none"/>
          <w:vertAlign w:val="baseline"/>
          <w:lang w:val="en-US" w:eastAsia="zh-CN" w:bidi="ar"/>
        </w:rPr>
        <w:t>鉴于</w:t>
      </w:r>
      <w:r>
        <w:rPr>
          <w:rFonts w:hint="eastAsia" w:ascii="Times New Roman" w:hAnsi="Times New Roman" w:eastAsia="仿宋_GB2312" w:cs="仿宋_GB2312"/>
          <w:b w:val="0"/>
          <w:bCs w:val="0"/>
          <w:caps w:val="0"/>
          <w:color w:val="000000"/>
          <w:kern w:val="2"/>
          <w:sz w:val="32"/>
          <w:szCs w:val="32"/>
          <w:u w:val="none"/>
          <w:vertAlign w:val="baseline"/>
          <w:lang w:val="en-US" w:eastAsia="zh-CN" w:bidi="ar"/>
        </w:rPr>
        <w:t>本案中当事人未取得《烟草专卖零售许可证》从事烟草制品零售业务的违法经营额</w:t>
      </w:r>
      <w:r>
        <w:rPr>
          <w:rFonts w:hint="eastAsia" w:ascii="Times New Roman" w:hAnsi="仿宋_GB2312" w:eastAsia="仿宋_GB2312" w:cs="仿宋_GB2312"/>
          <w:b w:val="0"/>
          <w:bCs/>
          <w:caps w:val="0"/>
          <w:color w:val="000000"/>
          <w:kern w:val="2"/>
          <w:sz w:val="32"/>
          <w:szCs w:val="32"/>
          <w:u w:val="none"/>
          <w:vertAlign w:val="baseline"/>
          <w:lang w:val="en-US" w:eastAsia="zh-CN" w:bidi="ar"/>
        </w:rPr>
        <w:t>为1880元，符</w:t>
      </w:r>
      <w:r>
        <w:rPr>
          <w:rFonts w:hint="eastAsia" w:ascii="Times New Roman" w:hAnsi="Times New Roman" w:eastAsia="仿宋_GB2312" w:cs="仿宋_GB2312"/>
          <w:b w:val="0"/>
          <w:bCs w:val="0"/>
          <w:caps w:val="0"/>
          <w:color w:val="000000"/>
          <w:kern w:val="2"/>
          <w:sz w:val="32"/>
          <w:szCs w:val="32"/>
          <w:u w:val="none"/>
          <w:vertAlign w:val="baseline"/>
          <w:lang w:val="en-US" w:eastAsia="zh-CN" w:bidi="ar"/>
        </w:rPr>
        <w:t>合《广西壮族自治区市场监督管理行政处罚裁量基准（2023版）》一百二十八、《烟草专卖法实施条例》行政处罚裁量基准“序号1”的“适用情形”中“从轻（违法经营额1万元以下的）”的处罚情形。</w:t>
      </w:r>
    </w:p>
    <w:p w14:paraId="13CBA304">
      <w:pPr>
        <w:pStyle w:val="7"/>
        <w:keepNext w:val="0"/>
        <w:keepLines w:val="0"/>
        <w:pageBreakBefore w:val="0"/>
        <w:widowControl w:val="0"/>
        <w:suppressLineNumbers w:val="0"/>
        <w:tabs>
          <w:tab w:val="left" w:pos="9060"/>
        </w:tabs>
        <w:kinsoku/>
        <w:wordWrap w:val="0"/>
        <w:overflowPunct/>
        <w:topLinePunct/>
        <w:autoSpaceDE/>
        <w:autoSpaceDN w:val="0"/>
        <w:bidi w:val="0"/>
        <w:adjustRightInd w:val="0"/>
        <w:snapToGrid/>
        <w:spacing w:before="0" w:beforeAutospacing="0" w:after="0" w:afterAutospacing="0" w:line="560" w:lineRule="exact"/>
        <w:ind w:left="0" w:right="0" w:firstLine="640" w:firstLineChars="200"/>
        <w:jc w:val="left"/>
      </w:pPr>
      <w:r>
        <w:rPr>
          <w:rFonts w:hint="eastAsia" w:ascii="仿宋_GB2312" w:hAnsi="仿宋_GB2312" w:eastAsia="仿宋_GB2312" w:cs="仿宋_GB2312"/>
          <w:b w:val="0"/>
          <w:bCs w:val="0"/>
          <w:caps w:val="0"/>
          <w:color w:val="000000"/>
          <w:kern w:val="2"/>
          <w:sz w:val="32"/>
          <w:szCs w:val="32"/>
          <w:u w:val="none"/>
          <w:vertAlign w:val="baseline"/>
          <w:lang w:val="en-US" w:eastAsia="zh-CN" w:bidi="ar"/>
        </w:rPr>
        <w:t>依据《中华人民共和国烟草专卖法实施条例（2023修订）》第五十七条“无烟草专卖零售许可证经营烟草制品零售业务的，由工商行政管理部门或者由工商行政管理部门根据烟草专卖行政主管部门的意见，责令停止经营烟草制品零售业务，没收违法所得，处以违法经营总额20％以上50％以下的罚款”的规定。结合当事人符合从轻处罚的情形，参照《广西壮族自治区市场监督管理行政处罚裁量基准（2023版）》一百二十八、《烟草专卖法实施条例》行政处罚裁量基准“序号1”的“适用情形”中“从轻”的“裁量标准（责令停止经营烟草制品零售业务，没收违法所得，处以违法经营总额 20% 以上 29%以下的罚款），本局责令当事人立即停止从事烟草制品零售业务活动，并对当事人处货值金额25%的罚款470.00元。</w:t>
      </w:r>
    </w:p>
    <w:p w14:paraId="41632F67">
      <w:pPr>
        <w:pStyle w:val="7"/>
        <w:keepNext w:val="0"/>
        <w:keepLines w:val="0"/>
        <w:pageBreakBefore w:val="0"/>
        <w:widowControl w:val="0"/>
        <w:suppressLineNumbers w:val="0"/>
        <w:tabs>
          <w:tab w:val="left" w:pos="9060"/>
        </w:tabs>
        <w:kinsoku/>
        <w:wordWrap w:val="0"/>
        <w:overflowPunct/>
        <w:topLinePunct/>
        <w:autoSpaceDE/>
        <w:autoSpaceDN w:val="0"/>
        <w:bidi w:val="0"/>
        <w:adjustRightInd w:val="0"/>
        <w:snapToGrid/>
        <w:spacing w:before="0" w:beforeAutospacing="0" w:after="0" w:afterAutospacing="0" w:line="560" w:lineRule="exact"/>
        <w:ind w:left="0" w:right="0" w:firstLine="640" w:firstLineChars="200"/>
        <w:jc w:val="left"/>
        <w:rPr>
          <w:rFonts w:hint="eastAsia" w:ascii="仿宋_GB2312" w:hAnsi="仿宋_GB2312" w:eastAsia="仿宋_GB2312" w:cs="仿宋_GB2312"/>
          <w:caps w:val="0"/>
          <w:color w:val="000000"/>
          <w:kern w:val="0"/>
          <w:sz w:val="32"/>
          <w:szCs w:val="32"/>
          <w:u w:val="none" w:color="auto"/>
          <w:vertAlign w:val="baseline"/>
          <w:lang w:val="en-US" w:bidi="ar"/>
        </w:rPr>
      </w:pPr>
      <w:r>
        <w:rPr>
          <w:rFonts w:hint="eastAsia" w:ascii="仿宋_GB2312" w:hAnsi="仿宋_GB2312" w:eastAsia="仿宋_GB2312" w:cs="仿宋_GB2312"/>
          <w:b w:val="0"/>
          <w:bCs w:val="0"/>
          <w:caps w:val="0"/>
          <w:color w:val="000000"/>
          <w:kern w:val="0"/>
          <w:sz w:val="32"/>
          <w:szCs w:val="32"/>
          <w:u w:val="none"/>
          <w:vertAlign w:val="baseline"/>
          <w:lang w:val="en-US" w:eastAsia="zh-CN" w:bidi="ar"/>
        </w:rPr>
        <w:t>当事人</w:t>
      </w:r>
      <w:r>
        <w:rPr>
          <w:rFonts w:hint="eastAsia" w:ascii="仿宋_GB2312" w:hAnsi="仿宋_GB2312" w:eastAsia="仿宋_GB2312" w:cs="仿宋_GB2312"/>
          <w:b w:val="0"/>
          <w:bCs w:val="0"/>
          <w:caps w:val="0"/>
          <w:color w:val="000000"/>
          <w:kern w:val="0"/>
          <w:sz w:val="32"/>
          <w:szCs w:val="32"/>
          <w:u w:val="none" w:color="auto"/>
          <w:vertAlign w:val="baseline"/>
          <w:lang w:val="en-US" w:eastAsia="zh-CN" w:bidi="ar"/>
        </w:rPr>
        <w:t>应当自收到本行政处罚决定之日起十五日内到融水苗族自治县市场监督管理局财务股开具《广西壮族自治区非税收入电子缴款通知书》，持此缴款通知书到相应银行缴纳罚没款。到期不缴纳罚款的，依据《中华人民共和国行政处罚法》第七十二条的规定，本局将每日按罚款数额的百分之三加处罚款，并依法申请人民法院强制执行。</w:t>
      </w:r>
    </w:p>
    <w:p w14:paraId="549A94EF">
      <w:pPr>
        <w:pStyle w:val="7"/>
        <w:keepNext w:val="0"/>
        <w:keepLines w:val="0"/>
        <w:pageBreakBefore w:val="0"/>
        <w:widowControl w:val="0"/>
        <w:suppressLineNumbers w:val="0"/>
        <w:tabs>
          <w:tab w:val="left" w:pos="8395"/>
        </w:tabs>
        <w:kinsoku/>
        <w:wordWrap w:val="0"/>
        <w:overflowPunct/>
        <w:topLinePunct w:val="0"/>
        <w:autoSpaceDE w:val="0"/>
        <w:autoSpaceDN w:val="0"/>
        <w:bidi w:val="0"/>
        <w:adjustRightInd w:val="0"/>
        <w:snapToGrid/>
        <w:spacing w:before="0" w:beforeAutospacing="0" w:after="0" w:afterAutospacing="0" w:line="560" w:lineRule="exact"/>
        <w:ind w:left="0" w:right="0" w:firstLine="640" w:firstLineChars="200"/>
        <w:jc w:val="left"/>
        <w:rPr>
          <w:rFonts w:hint="eastAsia" w:ascii="仿宋_GB2312" w:hAnsi="仿宋_GB2312" w:eastAsia="仿宋_GB2312" w:cs="仿宋_GB2312"/>
          <w:b w:val="0"/>
          <w:bCs/>
          <w:caps w:val="0"/>
          <w:color w:val="auto"/>
          <w:kern w:val="2"/>
          <w:sz w:val="32"/>
          <w:szCs w:val="32"/>
          <w:u w:val="none" w:color="auto"/>
          <w:vertAlign w:val="baseline"/>
          <w:lang w:val="en-US" w:eastAsia="zh-CN" w:bidi="ar"/>
        </w:rPr>
      </w:pPr>
      <w:r>
        <w:rPr>
          <w:rFonts w:hint="eastAsia" w:ascii="仿宋_GB2312" w:hAnsi="仿宋_GB2312" w:eastAsia="仿宋_GB2312" w:cs="仿宋_GB2312"/>
          <w:b w:val="0"/>
          <w:bCs w:val="0"/>
          <w:caps w:val="0"/>
          <w:color w:val="000000"/>
          <w:kern w:val="0"/>
          <w:sz w:val="32"/>
          <w:szCs w:val="32"/>
          <w:u w:val="none"/>
          <w:vertAlign w:val="baseline"/>
          <w:lang w:val="en-US" w:eastAsia="zh-CN" w:bidi="ar"/>
        </w:rPr>
        <w:t>当事人</w:t>
      </w:r>
      <w:r>
        <w:rPr>
          <w:rFonts w:hint="eastAsia" w:ascii="仿宋_GB2312" w:hAnsi="仿宋_GB2312" w:eastAsia="仿宋_GB2312" w:cs="仿宋_GB2312"/>
          <w:b w:val="0"/>
          <w:bCs w:val="0"/>
          <w:caps w:val="0"/>
          <w:color w:val="000000"/>
          <w:kern w:val="0"/>
          <w:sz w:val="32"/>
          <w:szCs w:val="32"/>
          <w:u w:val="none" w:color="auto"/>
          <w:vertAlign w:val="baseline"/>
          <w:lang w:val="en-US" w:eastAsia="zh-CN" w:bidi="ar"/>
        </w:rPr>
        <w:t>如不服本行政处罚决定，可以在收到本行政处罚决定书之日起六十日内向融水苗族自治县人民政府申请行政复议；也可以在六个月内依法向柳州市柳北区人民法院提起行政诉讼。申请行政复议或者提起行政诉讼期间，行政处罚不停止执行。</w:t>
      </w:r>
    </w:p>
    <w:p w14:paraId="5A09232D">
      <w:pPr>
        <w:pStyle w:val="7"/>
        <w:keepNext w:val="0"/>
        <w:keepLines w:val="0"/>
        <w:pageBreakBefore w:val="0"/>
        <w:widowControl w:val="0"/>
        <w:suppressLineNumbers w:val="0"/>
        <w:tabs>
          <w:tab w:val="left" w:pos="8395"/>
        </w:tabs>
        <w:kinsoku/>
        <w:wordWrap w:val="0"/>
        <w:overflowPunct/>
        <w:topLinePunct w:val="0"/>
        <w:autoSpaceDE w:val="0"/>
        <w:autoSpaceDN w:val="0"/>
        <w:bidi w:val="0"/>
        <w:adjustRightInd w:val="0"/>
        <w:snapToGrid/>
        <w:spacing w:before="0" w:beforeAutospacing="0" w:after="0" w:afterAutospacing="0" w:line="560" w:lineRule="exact"/>
        <w:ind w:left="0" w:right="0" w:firstLine="640" w:firstLineChars="200"/>
        <w:jc w:val="left"/>
        <w:rPr>
          <w:rFonts w:hint="eastAsia" w:ascii="Times New Roman" w:hAnsi="Times New Roman" w:eastAsia="仿宋_GB2312" w:cs="仿宋_GB2312"/>
          <w:b w:val="0"/>
          <w:bCs/>
          <w:caps w:val="0"/>
          <w:color w:val="auto"/>
          <w:sz w:val="32"/>
          <w:szCs w:val="32"/>
          <w:u w:val="single"/>
          <w:vertAlign w:val="baseline"/>
          <w:lang w:val="en-US" w:eastAsia="zh-CN"/>
        </w:rPr>
      </w:pPr>
    </w:p>
    <w:p w14:paraId="6E67456C">
      <w:pPr>
        <w:keepNext w:val="0"/>
        <w:keepLines w:val="0"/>
        <w:widowControl/>
        <w:suppressLineNumbers w:val="0"/>
        <w:snapToGrid w:val="0"/>
        <w:spacing w:before="0" w:beforeAutospacing="0" w:after="0" w:afterAutospacing="0" w:line="560" w:lineRule="exact"/>
        <w:ind w:left="0" w:right="0" w:firstLine="0"/>
        <w:jc w:val="left"/>
        <w:rPr>
          <w:rFonts w:hint="eastAsia" w:ascii="Times New Roman" w:hAnsi="Times New Roman" w:eastAsia="仿宋_GB2312" w:cs="仿宋_GB2312"/>
          <w:caps w:val="0"/>
          <w:color w:val="auto"/>
          <w:sz w:val="32"/>
          <w:szCs w:val="32"/>
          <w:vertAlign w:val="baseline"/>
        </w:rPr>
      </w:pPr>
    </w:p>
    <w:p w14:paraId="1A7E48E8">
      <w:pPr>
        <w:keepNext w:val="0"/>
        <w:keepLines w:val="0"/>
        <w:widowControl/>
        <w:suppressLineNumbers w:val="0"/>
        <w:snapToGrid w:val="0"/>
        <w:spacing w:before="0" w:beforeAutospacing="0" w:after="0" w:afterAutospacing="0" w:line="560" w:lineRule="exact"/>
        <w:ind w:left="0" w:right="0" w:firstLine="6240" w:firstLineChars="1950"/>
        <w:jc w:val="left"/>
        <w:rPr>
          <w:rFonts w:hint="eastAsia" w:ascii="Times New Roman" w:hAnsi="Times New Roman" w:eastAsia="仿宋_GB2312" w:cs="仿宋_GB2312"/>
          <w:caps w:val="0"/>
          <w:color w:val="auto"/>
          <w:sz w:val="32"/>
          <w:szCs w:val="32"/>
          <w:vertAlign w:val="baseline"/>
          <w:lang w:val="en-US"/>
        </w:rPr>
      </w:pPr>
    </w:p>
    <w:p w14:paraId="3D53EBAB">
      <w:pPr>
        <w:pStyle w:val="4"/>
        <w:widowControl/>
        <w:spacing w:before="0" w:beforeAutospacing="0" w:after="0" w:afterAutospacing="0" w:line="560" w:lineRule="exact"/>
        <w:ind w:left="0" w:right="0" w:firstLine="0"/>
        <w:rPr>
          <w:rFonts w:ascii="宋体" w:hAnsi="宋体" w:eastAsia="宋体" w:cs="宋体"/>
          <w:caps w:val="0"/>
          <w:color w:val="auto"/>
          <w:sz w:val="21"/>
          <w:szCs w:val="21"/>
          <w:vertAlign w:val="baseline"/>
          <w:lang w:val="en-US"/>
        </w:rPr>
      </w:pPr>
    </w:p>
    <w:p w14:paraId="51996769">
      <w:pPr>
        <w:keepNext w:val="0"/>
        <w:keepLines w:val="0"/>
        <w:widowControl w:val="0"/>
        <w:suppressLineNumbers w:val="0"/>
        <w:spacing w:before="0" w:beforeAutospacing="0" w:after="0" w:afterAutospacing="0" w:line="560" w:lineRule="exact"/>
        <w:ind w:left="0" w:right="640" w:firstLine="601"/>
        <w:jc w:val="right"/>
        <w:rPr>
          <w:rFonts w:hint="eastAsia" w:ascii="Times New Roman" w:hAnsi="Times New Roman" w:eastAsia="仿宋_GB2312" w:cs="仿宋"/>
          <w:caps w:val="0"/>
          <w:color w:val="auto"/>
          <w:sz w:val="32"/>
          <w:szCs w:val="32"/>
          <w:vertAlign w:val="baseline"/>
        </w:rPr>
      </w:pPr>
      <w:bookmarkStart w:id="9" w:name="DYNAMIC—DWXX—tAj_dwmc—2"/>
      <w:r>
        <w:rPr>
          <w:rFonts w:hint="eastAsia" w:ascii="Times New Roman" w:hAnsi="Times New Roman" w:eastAsia="仿宋_GB2312" w:cs="仿宋"/>
          <w:b w:val="0"/>
          <w:bCs w:val="0"/>
          <w:caps w:val="0"/>
          <w:color w:val="000000"/>
          <w:kern w:val="2"/>
          <w:sz w:val="32"/>
          <w:szCs w:val="32"/>
          <w:u w:val="none"/>
          <w:vertAlign w:val="baseline"/>
          <w:lang w:val="en-US" w:eastAsia="zh-CN" w:bidi="ar"/>
        </w:rPr>
        <w:t>融水苗族自治县市场监督管理局</w:t>
      </w:r>
      <w:bookmarkEnd w:id="9"/>
      <w:r>
        <w:rPr>
          <w:rFonts w:hint="eastAsia" w:ascii="Times New Roman" w:hAnsi="Times New Roman" w:eastAsia="仿宋_GB2312" w:cs="仿宋"/>
          <w:b w:val="0"/>
          <w:bCs w:val="0"/>
          <w:caps w:val="0"/>
          <w:color w:val="000000"/>
          <w:kern w:val="2"/>
          <w:sz w:val="32"/>
          <w:szCs w:val="32"/>
          <w:u w:val="none"/>
          <w:vertAlign w:val="baseline"/>
          <w:lang w:val="en-US" w:eastAsia="zh-CN" w:bidi="ar"/>
        </w:rPr>
        <w:t xml:space="preserve">    </w:t>
      </w:r>
    </w:p>
    <w:p w14:paraId="173440A7">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560" w:lineRule="exact"/>
        <w:ind w:left="0" w:right="630" w:rightChars="300" w:firstLine="600"/>
        <w:jc w:val="center"/>
        <w:outlineLvl w:val="9"/>
        <w:rPr>
          <w:rFonts w:hint="eastAsia" w:ascii="Times New Roman" w:hAnsi="Times New Roman" w:eastAsia="仿宋_GB2312" w:cs="仿宋_GB2312"/>
          <w:caps w:val="0"/>
          <w:color w:val="auto"/>
          <w:sz w:val="32"/>
          <w:szCs w:val="32"/>
          <w:vertAlign w:val="baseline"/>
        </w:rPr>
      </w:pPr>
      <w:bookmarkStart w:id="10" w:name="CALCULATE—TIME—NOW"/>
      <w:r>
        <w:rPr>
          <w:rFonts w:hint="eastAsia" w:ascii="仿宋_GB2312" w:hAnsi="仿宋_GB2312" w:eastAsia="仿宋_GB2312" w:cs="仿宋_GB2312"/>
          <w:sz w:val="32"/>
          <w:lang w:val="en-US" w:eastAsia="zh-CN"/>
        </w:rPr>
        <w:t xml:space="preserve">            </w:t>
      </w:r>
      <w:bookmarkStart w:id="11" w:name="_GoBack"/>
      <w:bookmarkEnd w:id="11"/>
      <w:r>
        <w:rPr>
          <w:rFonts w:ascii="仿宋_GB2312" w:hAnsi="仿宋_GB2312" w:eastAsia="仿宋_GB2312" w:cs="仿宋_GB2312"/>
          <w:sz w:val="32"/>
        </w:rPr>
        <w:t>2026年06月16日</w:t>
      </w:r>
      <w:bookmarkEnd w:id="10"/>
      <w:r>
        <w:rPr>
          <w:rFonts w:hint="eastAsia" w:ascii="Times New Roman" w:hAnsi="Times New Roman" w:eastAsia="仿宋_GB2312" w:cs="仿宋_GB2312"/>
          <w:b w:val="0"/>
          <w:bCs w:val="0"/>
          <w:caps w:val="0"/>
          <w:color w:val="000000"/>
          <w:kern w:val="2"/>
          <w:sz w:val="32"/>
          <w:szCs w:val="32"/>
          <w:u w:val="none"/>
          <w:vertAlign w:val="baseline"/>
          <w:lang w:val="en-US" w:eastAsia="zh-CN" w:bidi="ar"/>
        </w:rPr>
        <w:t xml:space="preserve">  </w:t>
      </w:r>
    </w:p>
    <w:p w14:paraId="6488CDF5">
      <w:pPr>
        <w:pStyle w:val="4"/>
        <w:widowControl/>
        <w:spacing w:before="0" w:beforeAutospacing="0" w:after="0" w:afterAutospacing="0" w:line="560" w:lineRule="exact"/>
        <w:ind w:left="0" w:right="0" w:firstLine="0"/>
        <w:rPr>
          <w:rFonts w:hint="eastAsia" w:ascii="Times New Roman" w:hAnsi="Times New Roman" w:eastAsia="仿宋_GB2312" w:cs="Mongolian Baiti"/>
          <w:caps w:val="0"/>
          <w:color w:val="auto"/>
          <w:sz w:val="32"/>
          <w:szCs w:val="32"/>
          <w:vertAlign w:val="baseline"/>
        </w:rPr>
      </w:pPr>
    </w:p>
    <w:p w14:paraId="2B9A8BF3">
      <w:pPr>
        <w:pStyle w:val="4"/>
        <w:widowControl/>
        <w:spacing w:before="0" w:beforeAutospacing="0" w:after="0" w:afterAutospacing="0" w:line="560" w:lineRule="exact"/>
        <w:ind w:left="0" w:right="0" w:firstLine="0"/>
        <w:rPr>
          <w:rFonts w:hint="eastAsia" w:ascii="Times New Roman" w:hAnsi="Times New Roman" w:eastAsia="仿宋_GB2312" w:cs="Mongolian Baiti"/>
          <w:caps w:val="0"/>
          <w:color w:val="auto"/>
          <w:sz w:val="32"/>
          <w:szCs w:val="32"/>
          <w:vertAlign w:val="baseline"/>
        </w:rPr>
      </w:pPr>
    </w:p>
    <w:p w14:paraId="0BFEDFB1">
      <w:pPr>
        <w:pStyle w:val="4"/>
        <w:widowControl/>
        <w:spacing w:before="0" w:beforeAutospacing="0" w:after="0" w:afterAutospacing="0" w:line="560" w:lineRule="exact"/>
        <w:ind w:left="0" w:right="0" w:firstLine="0"/>
        <w:rPr>
          <w:rFonts w:hint="eastAsia" w:ascii="Times New Roman" w:hAnsi="Times New Roman" w:eastAsia="仿宋_GB2312" w:cs="Mongolian Baiti"/>
          <w:caps w:val="0"/>
          <w:color w:val="auto"/>
          <w:sz w:val="32"/>
          <w:szCs w:val="32"/>
          <w:vertAlign w:val="baseline"/>
        </w:rPr>
      </w:pPr>
    </w:p>
    <w:p w14:paraId="61324BC0">
      <w:pPr>
        <w:pStyle w:val="4"/>
        <w:widowControl/>
        <w:spacing w:before="0" w:beforeAutospacing="0" w:after="0" w:afterAutospacing="0" w:line="560" w:lineRule="exact"/>
        <w:ind w:left="0" w:right="0" w:firstLine="0"/>
        <w:rPr>
          <w:rFonts w:hint="eastAsia" w:ascii="Times New Roman" w:hAnsi="Times New Roman" w:eastAsia="仿宋_GB2312" w:cs="Mongolian Baiti"/>
          <w:caps w:val="0"/>
          <w:color w:val="auto"/>
          <w:sz w:val="32"/>
          <w:szCs w:val="32"/>
          <w:vertAlign w:val="baseline"/>
        </w:rPr>
      </w:pPr>
    </w:p>
    <w:p w14:paraId="4DE8ECF4">
      <w:pPr>
        <w:pStyle w:val="4"/>
        <w:widowControl/>
        <w:spacing w:before="0" w:beforeAutospacing="0" w:after="0" w:afterAutospacing="0" w:line="560" w:lineRule="exact"/>
        <w:ind w:left="0" w:right="0" w:firstLine="0"/>
        <w:rPr>
          <w:rFonts w:hint="eastAsia" w:ascii="Times New Roman" w:hAnsi="Times New Roman" w:eastAsia="仿宋_GB2312" w:cs="Mongolian Baiti"/>
          <w:caps w:val="0"/>
          <w:color w:val="auto"/>
          <w:sz w:val="32"/>
          <w:szCs w:val="32"/>
          <w:vertAlign w:val="baseline"/>
        </w:rPr>
      </w:pPr>
    </w:p>
    <w:p w14:paraId="2E3012AB">
      <w:pPr>
        <w:pStyle w:val="4"/>
        <w:widowControl/>
        <w:spacing w:before="0" w:beforeAutospacing="0" w:after="0" w:afterAutospacing="0" w:line="560" w:lineRule="exact"/>
        <w:ind w:left="0" w:right="0" w:firstLine="0"/>
        <w:rPr>
          <w:rFonts w:hint="eastAsia" w:ascii="Times New Roman" w:hAnsi="Times New Roman" w:eastAsia="仿宋_GB2312" w:cs="Mongolian Baiti"/>
          <w:caps w:val="0"/>
          <w:color w:val="auto"/>
          <w:sz w:val="32"/>
          <w:szCs w:val="32"/>
          <w:vertAlign w:val="baseline"/>
        </w:rPr>
      </w:pPr>
    </w:p>
    <w:p w14:paraId="49AC0602">
      <w:pPr>
        <w:pStyle w:val="4"/>
        <w:widowControl/>
        <w:spacing w:before="0" w:beforeAutospacing="0" w:after="0" w:afterAutospacing="0" w:line="560" w:lineRule="exact"/>
        <w:ind w:left="0" w:right="0" w:firstLine="0"/>
        <w:rPr>
          <w:rFonts w:hint="eastAsia" w:ascii="Times New Roman" w:hAnsi="Times New Roman" w:eastAsia="仿宋_GB2312" w:cs="Mongolian Baiti"/>
          <w:caps w:val="0"/>
          <w:color w:val="auto"/>
          <w:sz w:val="32"/>
          <w:szCs w:val="32"/>
          <w:vertAlign w:val="baseline"/>
        </w:rPr>
      </w:pPr>
    </w:p>
    <w:p w14:paraId="4CD5603C">
      <w:pPr>
        <w:pStyle w:val="4"/>
        <w:widowControl/>
        <w:spacing w:before="0" w:beforeAutospacing="0" w:after="0" w:afterAutospacing="0" w:line="560" w:lineRule="exact"/>
        <w:ind w:left="0" w:right="0" w:firstLine="0"/>
        <w:rPr>
          <w:rFonts w:hint="eastAsia" w:ascii="Times New Roman" w:hAnsi="Times New Roman" w:eastAsia="仿宋_GB2312" w:cs="Mongolian Baiti"/>
          <w:caps w:val="0"/>
          <w:color w:val="auto"/>
          <w:sz w:val="32"/>
          <w:szCs w:val="32"/>
          <w:vertAlign w:val="baseline"/>
        </w:rPr>
      </w:pPr>
    </w:p>
    <w:p w14:paraId="2B93E1FB">
      <w:pPr>
        <w:pStyle w:val="4"/>
        <w:widowControl/>
        <w:spacing w:before="0" w:beforeAutospacing="0" w:after="0" w:afterAutospacing="0" w:line="560" w:lineRule="exact"/>
        <w:ind w:left="0" w:right="0" w:firstLine="0"/>
        <w:rPr>
          <w:rFonts w:hint="eastAsia" w:ascii="Times New Roman" w:hAnsi="Times New Roman" w:eastAsia="仿宋_GB2312" w:cs="Mongolian Baiti"/>
          <w:caps w:val="0"/>
          <w:color w:val="auto"/>
          <w:sz w:val="32"/>
          <w:szCs w:val="32"/>
          <w:vertAlign w:val="baseline"/>
        </w:rPr>
      </w:pPr>
    </w:p>
    <w:p w14:paraId="3DF07889">
      <w:pPr>
        <w:pStyle w:val="4"/>
        <w:widowControl/>
        <w:spacing w:before="0" w:beforeAutospacing="0" w:after="0" w:afterAutospacing="0" w:line="560" w:lineRule="exact"/>
        <w:ind w:left="0" w:right="0" w:firstLine="0"/>
        <w:rPr>
          <w:rFonts w:hint="eastAsia" w:ascii="Times New Roman" w:hAnsi="Times New Roman" w:eastAsia="仿宋_GB2312" w:cs="Mongolian Baiti"/>
          <w:caps w:val="0"/>
          <w:color w:val="auto"/>
          <w:sz w:val="32"/>
          <w:szCs w:val="32"/>
          <w:vertAlign w:val="baseline"/>
        </w:rPr>
      </w:pPr>
    </w:p>
    <w:p w14:paraId="2F774878">
      <w:pPr>
        <w:pStyle w:val="4"/>
        <w:widowControl/>
        <w:spacing w:before="0" w:beforeAutospacing="0" w:after="0" w:afterAutospacing="0" w:line="560" w:lineRule="exact"/>
        <w:ind w:left="0" w:right="0" w:firstLine="0"/>
        <w:rPr>
          <w:rFonts w:hint="eastAsia" w:ascii="Times New Roman" w:hAnsi="Times New Roman" w:eastAsia="仿宋_GB2312" w:cs="Mongolian Baiti"/>
          <w:caps w:val="0"/>
          <w:color w:val="auto"/>
          <w:sz w:val="32"/>
          <w:szCs w:val="32"/>
          <w:vertAlign w:val="baseline"/>
        </w:rPr>
      </w:pPr>
    </w:p>
    <w:p w14:paraId="1EE802CC">
      <w:pPr>
        <w:pStyle w:val="4"/>
        <w:widowControl/>
        <w:spacing w:before="0" w:beforeAutospacing="0" w:after="0" w:afterAutospacing="0" w:line="560" w:lineRule="exact"/>
        <w:ind w:left="0" w:right="0" w:firstLine="0"/>
        <w:rPr>
          <w:rFonts w:hint="eastAsia" w:ascii="Times New Roman" w:hAnsi="Times New Roman" w:eastAsia="仿宋_GB2312" w:cs="Mongolian Baiti"/>
          <w:caps w:val="0"/>
          <w:color w:val="auto"/>
          <w:sz w:val="32"/>
          <w:szCs w:val="32"/>
          <w:vertAlign w:val="baseline"/>
        </w:rPr>
      </w:pPr>
    </w:p>
    <w:p w14:paraId="147E932D">
      <w:pPr>
        <w:pStyle w:val="7"/>
        <w:keepNext w:val="0"/>
        <w:keepLines w:val="0"/>
        <w:widowControl w:val="0"/>
        <w:suppressLineNumbers w:val="0"/>
        <w:autoSpaceDE w:val="0"/>
        <w:autoSpaceDN w:val="0"/>
        <w:adjustRightInd w:val="0"/>
        <w:spacing w:before="1" w:beforeAutospacing="0" w:after="0" w:afterAutospacing="0" w:line="560" w:lineRule="exact"/>
        <w:ind w:left="163" w:right="0" w:firstLine="0"/>
        <w:jc w:val="left"/>
        <w:rPr>
          <w:rFonts w:hint="eastAsia" w:ascii="Times New Roman" w:hAnsi="Times New Roman" w:eastAsia="仿宋_GB2312" w:cs="仿宋"/>
          <w:bCs/>
          <w:caps w:val="0"/>
          <w:color w:val="auto"/>
          <w:sz w:val="44"/>
          <w:szCs w:val="44"/>
          <w:vertAlign w:val="baseline"/>
        </w:rPr>
      </w:pPr>
      <w:r>
        <w:rPr>
          <w:rFonts w:hint="eastAsia" w:ascii="黑体" w:hAnsi="宋体" w:eastAsia="黑体" w:cs="黑体"/>
          <w:b w:val="0"/>
          <w:bCs w:val="0"/>
          <w:caps w:val="0"/>
          <w:color w:val="000000"/>
          <w:spacing w:val="-16"/>
          <w:kern w:val="0"/>
          <w:sz w:val="32"/>
          <w:szCs w:val="32"/>
          <w:u w:val="none"/>
          <w:vertAlign w:val="baseline"/>
          <w:lang w:val="en-US" w:eastAsia="zh-CN" w:bidi="ar"/>
        </w:rPr>
        <w:t>（市场监督管理部门将依法向社会公开行政处罚决定信息）</w:t>
      </w:r>
    </w:p>
    <w:p w14:paraId="0E878A21">
      <w:pPr>
        <w:keepNext w:val="0"/>
        <w:keepLines w:val="0"/>
        <w:widowControl w:val="0"/>
        <w:suppressLineNumbers w:val="0"/>
        <w:spacing w:before="0" w:beforeAutospacing="0" w:after="0" w:afterAutospacing="0" w:line="560" w:lineRule="exact"/>
        <w:ind w:left="0" w:right="0" w:firstLine="480" w:firstLineChars="150"/>
        <w:jc w:val="both"/>
        <w:rPr>
          <w:rFonts w:hint="default" w:ascii="Calibri" w:hAnsi="Calibri" w:eastAsia="宋体" w:cs="Calibri"/>
          <w:caps w:val="0"/>
          <w:color w:val="auto"/>
          <w:sz w:val="21"/>
          <w:szCs w:val="21"/>
          <w:vertAlign w:val="baseline"/>
        </w:rPr>
      </w:pPr>
      <w:r>
        <w:rPr>
          <w:rFonts w:hint="eastAsia" w:ascii="Times New Roman" w:hAnsi="Times New Roman" w:eastAsia="仿宋_GB2312" w:cs="仿宋"/>
          <w:b w:val="0"/>
          <w:bCs w:val="0"/>
          <w:caps w:val="0"/>
          <w:color w:val="000000"/>
          <w:kern w:val="2"/>
          <w:sz w:val="32"/>
          <w:szCs w:val="32"/>
          <w:u w:val="none"/>
          <w:vertAlign w:val="baseline"/>
          <w:lang w:val="en-US" w:eastAsia="zh-CN" w:bidi="ar"/>
        </w:rPr>
        <w:t>本文书一式二份，一份送达，一份归档。</w:t>
      </w:r>
    </w:p>
    <w:p w14:paraId="1FF77036">
      <w:pPr>
        <w:keepNext w:val="0"/>
        <w:keepLines w:val="0"/>
        <w:widowControl w:val="0"/>
        <w:suppressLineNumbers w:val="0"/>
        <w:spacing w:before="0" w:beforeAutospacing="0" w:after="0" w:afterAutospacing="0" w:line="560" w:lineRule="exact"/>
        <w:ind w:left="0" w:right="0" w:firstLine="0"/>
        <w:jc w:val="both"/>
        <w:rPr>
          <w:rFonts w:hint="default" w:ascii="Calibri" w:hAnsi="Calibri" w:eastAsia="宋体" w:cs="Calibri"/>
          <w:caps w:val="0"/>
          <w:color w:val="auto"/>
          <w:sz w:val="21"/>
          <w:szCs w:val="21"/>
          <w:vertAlign w:val="baseline"/>
        </w:rPr>
      </w:pPr>
    </w:p>
    <w:p w14:paraId="11610E85">
      <w:pPr>
        <w:spacing w:line="500" w:lineRule="exact"/>
        <w:rPr>
          <w:color w:val="auto"/>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ngal">
    <w:altName w:val="Segoe Print"/>
    <w:panose1 w:val="00000400000000000000"/>
    <w:charset w:val="00"/>
    <w:family w:val="roman"/>
    <w:pitch w:val="default"/>
    <w:sig w:usb0="00000000" w:usb1="00000000" w:usb2="00000000" w:usb3="00000000" w:csb0="00000000" w:csb1="00000000"/>
  </w:font>
  <w:font w:name="Arial Unicode MS">
    <w:altName w:val="宋体"/>
    <w:panose1 w:val="020B0604020202020204"/>
    <w:charset w:val="86"/>
    <w:family w:val="auto"/>
    <w:pitch w:val="default"/>
    <w:sig w:usb0="00000000" w:usb1="00000000" w:usb2="0000003F" w:usb3="00000000" w:csb0="603F01FF" w:csb1="FFFF0000"/>
  </w:font>
  <w:font w:name="方正小标宋简体">
    <w:panose1 w:val="02000000000000000000"/>
    <w:charset w:val="86"/>
    <w:family w:val="script"/>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CE99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7A7F48">
                          <w:pPr>
                            <w:pStyle w:val="5"/>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47A7F48">
                    <w:pPr>
                      <w:pStyle w:val="5"/>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2"/>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yM2U5YzI2ZWYzNzA3YjY5MWY2NDE1MjMyNWZjOTUifQ=="/>
    <w:docVar w:name="KSO_WPS_MARK_KEY" w:val="3a570657-d4b9-4633-8bde-b1be1a221b99"/>
  </w:docVars>
  <w:rsids>
    <w:rsidRoot w:val="5BA419F7"/>
    <w:rsid w:val="00193C35"/>
    <w:rsid w:val="0032134F"/>
    <w:rsid w:val="010A478A"/>
    <w:rsid w:val="02B83402"/>
    <w:rsid w:val="042774DD"/>
    <w:rsid w:val="048D2705"/>
    <w:rsid w:val="04CD463F"/>
    <w:rsid w:val="04FA4431"/>
    <w:rsid w:val="05C51508"/>
    <w:rsid w:val="06476E0A"/>
    <w:rsid w:val="06BAE61F"/>
    <w:rsid w:val="071C7669"/>
    <w:rsid w:val="07580619"/>
    <w:rsid w:val="0776795A"/>
    <w:rsid w:val="07DA78EE"/>
    <w:rsid w:val="08365B64"/>
    <w:rsid w:val="087864F3"/>
    <w:rsid w:val="090B4D3A"/>
    <w:rsid w:val="09290BEC"/>
    <w:rsid w:val="09AA7B69"/>
    <w:rsid w:val="0A2F38BD"/>
    <w:rsid w:val="0A3665F0"/>
    <w:rsid w:val="0B22091D"/>
    <w:rsid w:val="0CF71776"/>
    <w:rsid w:val="0D242541"/>
    <w:rsid w:val="0FB748D6"/>
    <w:rsid w:val="103E22C5"/>
    <w:rsid w:val="11524677"/>
    <w:rsid w:val="115320F9"/>
    <w:rsid w:val="119E3BCA"/>
    <w:rsid w:val="1350279A"/>
    <w:rsid w:val="14203063"/>
    <w:rsid w:val="143E1E38"/>
    <w:rsid w:val="1490670C"/>
    <w:rsid w:val="152E563E"/>
    <w:rsid w:val="15B93156"/>
    <w:rsid w:val="16D23D7F"/>
    <w:rsid w:val="18325353"/>
    <w:rsid w:val="188449CB"/>
    <w:rsid w:val="18B229B2"/>
    <w:rsid w:val="19FE4517"/>
    <w:rsid w:val="1AE345F4"/>
    <w:rsid w:val="1B37398D"/>
    <w:rsid w:val="1C7339BB"/>
    <w:rsid w:val="1C7A5BA8"/>
    <w:rsid w:val="1E664711"/>
    <w:rsid w:val="1EC222D9"/>
    <w:rsid w:val="1F2B5D07"/>
    <w:rsid w:val="1FC004DE"/>
    <w:rsid w:val="1FD31F15"/>
    <w:rsid w:val="212E3259"/>
    <w:rsid w:val="22287087"/>
    <w:rsid w:val="237778B4"/>
    <w:rsid w:val="23F5677C"/>
    <w:rsid w:val="24626694"/>
    <w:rsid w:val="258D6CE0"/>
    <w:rsid w:val="27A45517"/>
    <w:rsid w:val="2B1B3EFC"/>
    <w:rsid w:val="2CEA3815"/>
    <w:rsid w:val="2DE10173"/>
    <w:rsid w:val="2F327E79"/>
    <w:rsid w:val="2F7CE1EF"/>
    <w:rsid w:val="2F8A6913"/>
    <w:rsid w:val="30DB5683"/>
    <w:rsid w:val="30FA2F6D"/>
    <w:rsid w:val="31562B39"/>
    <w:rsid w:val="31BE0AF5"/>
    <w:rsid w:val="32CE76E8"/>
    <w:rsid w:val="3334290F"/>
    <w:rsid w:val="33740640"/>
    <w:rsid w:val="3585615B"/>
    <w:rsid w:val="363C12E3"/>
    <w:rsid w:val="368E5656"/>
    <w:rsid w:val="377FBB27"/>
    <w:rsid w:val="37F16547"/>
    <w:rsid w:val="38B63DA7"/>
    <w:rsid w:val="3930619F"/>
    <w:rsid w:val="3A4E178D"/>
    <w:rsid w:val="3BF97ECA"/>
    <w:rsid w:val="3C2965F0"/>
    <w:rsid w:val="3D6B1177"/>
    <w:rsid w:val="3E5F4AE1"/>
    <w:rsid w:val="3E853745"/>
    <w:rsid w:val="3F2604DF"/>
    <w:rsid w:val="3F6783E4"/>
    <w:rsid w:val="3F842066"/>
    <w:rsid w:val="3FFF82D4"/>
    <w:rsid w:val="402E7C06"/>
    <w:rsid w:val="40FE5F8F"/>
    <w:rsid w:val="425049CE"/>
    <w:rsid w:val="442B16EC"/>
    <w:rsid w:val="458F64B9"/>
    <w:rsid w:val="45C51FFB"/>
    <w:rsid w:val="46157ACD"/>
    <w:rsid w:val="47243FC5"/>
    <w:rsid w:val="48C10000"/>
    <w:rsid w:val="4A555101"/>
    <w:rsid w:val="4ADF49AE"/>
    <w:rsid w:val="4B8F0B22"/>
    <w:rsid w:val="4C02380F"/>
    <w:rsid w:val="4C7C04B3"/>
    <w:rsid w:val="4CC8271B"/>
    <w:rsid w:val="4D9306AE"/>
    <w:rsid w:val="4E8950D9"/>
    <w:rsid w:val="4F722566"/>
    <w:rsid w:val="4F93378A"/>
    <w:rsid w:val="503F09B5"/>
    <w:rsid w:val="516D5500"/>
    <w:rsid w:val="52802336"/>
    <w:rsid w:val="53A0483E"/>
    <w:rsid w:val="547C0750"/>
    <w:rsid w:val="55FE5622"/>
    <w:rsid w:val="57503162"/>
    <w:rsid w:val="58A4140A"/>
    <w:rsid w:val="591F0542"/>
    <w:rsid w:val="59A10938"/>
    <w:rsid w:val="5BA419F7"/>
    <w:rsid w:val="5BEF1DBF"/>
    <w:rsid w:val="5BF91583"/>
    <w:rsid w:val="5BFB2E57"/>
    <w:rsid w:val="5C5D2BD9"/>
    <w:rsid w:val="5DD7483B"/>
    <w:rsid w:val="5E5FAB03"/>
    <w:rsid w:val="5E605C94"/>
    <w:rsid w:val="5EA00CBE"/>
    <w:rsid w:val="5F9FEDD5"/>
    <w:rsid w:val="5FBEF003"/>
    <w:rsid w:val="5FE33914"/>
    <w:rsid w:val="5FFA4D85"/>
    <w:rsid w:val="602422E6"/>
    <w:rsid w:val="60B635F2"/>
    <w:rsid w:val="60C16F3B"/>
    <w:rsid w:val="612E7E8C"/>
    <w:rsid w:val="617678F3"/>
    <w:rsid w:val="61DC2B1A"/>
    <w:rsid w:val="636955DE"/>
    <w:rsid w:val="646E5E05"/>
    <w:rsid w:val="64E43803"/>
    <w:rsid w:val="657F58CB"/>
    <w:rsid w:val="66934D57"/>
    <w:rsid w:val="6AD7030F"/>
    <w:rsid w:val="6BA277B7"/>
    <w:rsid w:val="6BCC1BB9"/>
    <w:rsid w:val="6C6723F1"/>
    <w:rsid w:val="6CA517CF"/>
    <w:rsid w:val="6D064CEC"/>
    <w:rsid w:val="6D6C7F13"/>
    <w:rsid w:val="6D923254"/>
    <w:rsid w:val="6DD2313B"/>
    <w:rsid w:val="6E04767D"/>
    <w:rsid w:val="6E355D52"/>
    <w:rsid w:val="6E6950E9"/>
    <w:rsid w:val="6ED952C0"/>
    <w:rsid w:val="6F013B3F"/>
    <w:rsid w:val="6F732ABB"/>
    <w:rsid w:val="6FF58B64"/>
    <w:rsid w:val="6FF8F863"/>
    <w:rsid w:val="70CF02CA"/>
    <w:rsid w:val="70F532B7"/>
    <w:rsid w:val="71013020"/>
    <w:rsid w:val="710D7C3E"/>
    <w:rsid w:val="71FC56E7"/>
    <w:rsid w:val="7376089F"/>
    <w:rsid w:val="74E06ABE"/>
    <w:rsid w:val="75B2DA43"/>
    <w:rsid w:val="75BD90DB"/>
    <w:rsid w:val="75CC41D0"/>
    <w:rsid w:val="75F8119D"/>
    <w:rsid w:val="76222141"/>
    <w:rsid w:val="76704CDE"/>
    <w:rsid w:val="76D869B3"/>
    <w:rsid w:val="76FD0A98"/>
    <w:rsid w:val="77DF8BD4"/>
    <w:rsid w:val="77EFD5CC"/>
    <w:rsid w:val="77FFADAC"/>
    <w:rsid w:val="7835649C"/>
    <w:rsid w:val="789620E4"/>
    <w:rsid w:val="78FD530C"/>
    <w:rsid w:val="7A0870B3"/>
    <w:rsid w:val="7AFB4DD2"/>
    <w:rsid w:val="7B0F6E9A"/>
    <w:rsid w:val="7BA46A39"/>
    <w:rsid w:val="7BFD6076"/>
    <w:rsid w:val="7C8E43D6"/>
    <w:rsid w:val="7DA813EB"/>
    <w:rsid w:val="7DFF108F"/>
    <w:rsid w:val="7EED8AE6"/>
    <w:rsid w:val="7F5A6980"/>
    <w:rsid w:val="7FEADF5C"/>
    <w:rsid w:val="91BF8AB9"/>
    <w:rsid w:val="9FF1B21D"/>
    <w:rsid w:val="B7BFD803"/>
    <w:rsid w:val="BD5EB179"/>
    <w:rsid w:val="BD7F788E"/>
    <w:rsid w:val="CDBC2F85"/>
    <w:rsid w:val="DEFF1EB3"/>
    <w:rsid w:val="DF3F4C88"/>
    <w:rsid w:val="DF7A9960"/>
    <w:rsid w:val="DFBF15D5"/>
    <w:rsid w:val="DFD70EC8"/>
    <w:rsid w:val="DFFE6C63"/>
    <w:rsid w:val="E53DE605"/>
    <w:rsid w:val="E775D448"/>
    <w:rsid w:val="ECC7B000"/>
    <w:rsid w:val="F0ED2927"/>
    <w:rsid w:val="F2BB929C"/>
    <w:rsid w:val="F3EF5848"/>
    <w:rsid w:val="F5A28C7E"/>
    <w:rsid w:val="F9BF6AE4"/>
    <w:rsid w:val="FB57F652"/>
    <w:rsid w:val="FBBF88F6"/>
    <w:rsid w:val="FBFEBC90"/>
    <w:rsid w:val="FCF69F69"/>
    <w:rsid w:val="FD7BEF22"/>
    <w:rsid w:val="FD8BB826"/>
    <w:rsid w:val="FD9199D6"/>
    <w:rsid w:val="FDAC17BA"/>
    <w:rsid w:val="FDDF4064"/>
    <w:rsid w:val="FDF46C9E"/>
    <w:rsid w:val="FEAFF630"/>
    <w:rsid w:val="FEDEBCAC"/>
    <w:rsid w:val="FF7F62AA"/>
    <w:rsid w:val="FFDBA3A8"/>
    <w:rsid w:val="FFDF073B"/>
    <w:rsid w:val="FFFE0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4">
    <w:name w:val="Plain Text"/>
    <w:basedOn w:val="1"/>
    <w:qFormat/>
    <w:uiPriority w:val="0"/>
    <w:pPr>
      <w:keepNext w:val="0"/>
      <w:keepLines w:val="0"/>
      <w:widowControl w:val="0"/>
      <w:suppressLineNumbers w:val="0"/>
      <w:spacing w:before="0" w:beforeAutospacing="0" w:after="0" w:afterAutospacing="0" w:line="240" w:lineRule="auto"/>
      <w:ind w:left="0" w:firstLine="0"/>
      <w:jc w:val="both"/>
    </w:pPr>
    <w:rPr>
      <w:rFonts w:ascii="宋体" w:hAnsi="Courier New" w:eastAsia="宋体" w:cs="宋体"/>
      <w:kern w:val="2"/>
      <w:sz w:val="21"/>
      <w:szCs w:val="21"/>
      <w:lang w:val="en-US" w:eastAsia="zh-CN" w:bidi="ar"/>
    </w:rPr>
  </w:style>
  <w:style w:type="paragraph" w:styleId="5">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439</Words>
  <Characters>439</Characters>
  <Lines>0</Lines>
  <Paragraphs>0</Paragraphs>
  <TotalTime>20</TotalTime>
  <ScaleCrop>false</ScaleCrop>
  <LinksUpToDate>false</LinksUpToDate>
  <CharactersWithSpaces>1173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2021-08-02T18:04:00Z</dcterms:created>
  <dc:creator>胖林宝宝噜啦噜～</dc:creator>
  <cp:lastModifiedBy>Administrator</cp:lastModifiedBy>
  <dcterms:modified xsi:type="dcterms:W3CDTF">2026-06-25T02:04:47Z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526F4C53292B48849053E71A59849707</vt:lpwstr>
  </property>
</Properties>
</file>