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FF8D4">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u w:val="none" w:color="auto"/>
        </w:rPr>
      </w:pPr>
      <w:bookmarkStart w:id="0" w:name="DYNAMIC—DWXX—tAj_dwmc"/>
      <w:r>
        <w:rPr>
          <w:rFonts w:hint="default" w:ascii="方正小标宋简体" w:hAnsi="方正小标宋简体" w:eastAsia="方正小标宋简体" w:cs="方正小标宋简体"/>
          <w:color w:val="000000"/>
          <w:sz w:val="44"/>
          <w:u w:val="none" w:color="auto"/>
        </w:rPr>
        <w:t>融水苗族自治县市场监督管理局</w:t>
      </w:r>
      <w:bookmarkEnd w:id="0"/>
    </w:p>
    <w:p w14:paraId="1F3ABE67">
      <w:pPr>
        <w:pStyle w:val="2"/>
        <w:keepNext w:val="0"/>
        <w:numPr>
          <w:ilvl w:val="0"/>
          <w:numId w:val="2"/>
        </w:numPr>
        <w:spacing w:before="0" w:after="0" w:line="640" w:lineRule="exact"/>
        <w:jc w:val="center"/>
        <w:rPr>
          <w:rFonts w:hint="eastAsia" w:eastAsia="方正小标宋简体" w:cs="方正小标宋简体"/>
          <w:color w:val="auto"/>
          <w:sz w:val="44"/>
          <w:szCs w:val="44"/>
          <w:u w:val="none" w:color="auto"/>
        </w:rPr>
      </w:pPr>
      <w:bookmarkStart w:id="1" w:name="_Toc76683344"/>
      <w:r>
        <w:rPr>
          <w:rFonts w:hint="eastAsia" w:hAnsi="方正小标宋简体" w:eastAsia="方正小标宋简体" w:cs="方正小标宋简体"/>
          <w:color w:val="000000"/>
          <w:sz w:val="44"/>
          <w:szCs w:val="44"/>
          <w:u w:val="none" w:color="auto"/>
          <w:lang w:val="en-US"/>
        </w:rPr>
        <w:t>行政处罚</w:t>
      </w:r>
      <w:r>
        <w:rPr>
          <w:rFonts w:hint="eastAsia" w:hAnsi="方正小标宋简体" w:eastAsia="方正小标宋简体" w:cs="方正小标宋简体"/>
          <w:color w:val="000000"/>
          <w:sz w:val="44"/>
          <w:szCs w:val="44"/>
          <w:u w:val="none" w:color="auto"/>
          <w:lang w:val="en-US" w:eastAsia="zh-Hans"/>
        </w:rPr>
        <w:t>决定</w:t>
      </w:r>
      <w:r>
        <w:rPr>
          <w:rFonts w:hint="eastAsia" w:hAnsi="方正小标宋简体" w:eastAsia="方正小标宋简体" w:cs="方正小标宋简体"/>
          <w:color w:val="000000"/>
          <w:sz w:val="44"/>
          <w:szCs w:val="44"/>
          <w:u w:val="none" w:color="auto"/>
          <w:lang w:val="en-US"/>
        </w:rPr>
        <w:t>书</w:t>
      </w:r>
      <w:bookmarkEnd w:id="1"/>
    </w:p>
    <w:p w14:paraId="1CA5C371">
      <w:pPr>
        <w:widowControl/>
        <w:snapToGrid w:val="0"/>
        <w:spacing w:line="560" w:lineRule="exact"/>
        <w:ind w:right="55"/>
        <w:jc w:val="center"/>
        <w:outlineLvl w:val="1"/>
        <w:rPr>
          <w:rFonts w:hint="eastAsia" w:ascii="Times New Roman" w:hAnsi="仿宋_GB2312" w:eastAsia="仿宋_GB2312" w:cs="仿宋_GB2312"/>
          <w:bCs/>
          <w:color w:val="auto"/>
          <w:sz w:val="32"/>
          <w:szCs w:val="32"/>
          <w:u w:val="none" w:color="auto"/>
        </w:rPr>
      </w:pPr>
      <w:bookmarkStart w:id="2" w:name="tAj_wh"/>
      <w:r>
        <w:rPr>
          <w:rFonts w:hint="eastAsia" w:ascii="Times New Roman" w:hAnsi="Times New Roman" w:eastAsia="仿宋_GB2312" w:cs="Mongolian Baiti"/>
          <w:color w:val="000000"/>
          <w:sz w:val="32"/>
          <w:u w:val="none" w:color="auto"/>
        </w:rPr>
        <w:t>融水市监处罚〔2026〕102号</w:t>
      </w:r>
      <w:bookmarkEnd w:id="2"/>
    </w:p>
    <w:p w14:paraId="2392EC6B">
      <w:pPr>
        <w:spacing w:before="315" w:beforeLines="100" w:line="540" w:lineRule="exact"/>
        <w:ind w:left="142" w:hanging="142"/>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u w:val="none" w:color="auto"/>
        </w:rPr>
        <w:t>融水县白云乡韦毅力米粉店</w:t>
      </w:r>
      <w:bookmarkEnd w:id="3"/>
      <w:r>
        <w:rPr>
          <w:rFonts w:hint="eastAsia" w:ascii="仿宋_GB2312" w:hAnsi="仿宋_GB2312" w:eastAsia="仿宋_GB2312" w:cs="仿宋_GB2312"/>
          <w:b w:val="0"/>
          <w:bCs/>
          <w:color w:val="000000"/>
          <w:kern w:val="1"/>
          <w:sz w:val="32"/>
          <w:szCs w:val="32"/>
          <w:u w:val="none" w:color="auto"/>
        </w:rPr>
        <w:t xml:space="preserve">                                            </w:t>
      </w:r>
    </w:p>
    <w:p w14:paraId="4133B381">
      <w:pPr>
        <w:spacing w:line="540" w:lineRule="exact"/>
        <w:ind w:left="140" w:hanging="140"/>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bookmarkStart w:id="4" w:name="CALCULATE—DSR—tAjDsrs_cZtzgzzmc"/>
      <w:r>
        <w:rPr>
          <w:rFonts w:hint="eastAsia" w:ascii="仿宋_GB2312" w:hAnsi="仿宋_GB2312" w:eastAsia="仿宋_GB2312" w:cs="仿宋_GB2312"/>
          <w:b w:val="0"/>
          <w:color w:val="000000"/>
          <w:sz w:val="32"/>
          <w:u w:val="none" w:color="auto"/>
        </w:rPr>
        <w:t>《营业执照》</w:t>
      </w:r>
      <w:bookmarkEnd w:id="4"/>
      <w:r>
        <w:rPr>
          <w:rFonts w:hint="eastAsia" w:ascii="仿宋_GB2312" w:hAnsi="仿宋_GB2312" w:eastAsia="仿宋_GB2312" w:cs="仿宋_GB2312"/>
          <w:b w:val="0"/>
          <w:bCs/>
          <w:color w:val="000000"/>
          <w:kern w:val="1"/>
          <w:sz w:val="32"/>
          <w:szCs w:val="32"/>
          <w:u w:val="none" w:color="auto"/>
        </w:rPr>
        <w:t xml:space="preserve">                                  </w:t>
      </w:r>
    </w:p>
    <w:p w14:paraId="122DCF91">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统一社会信用代码：</w:t>
      </w:r>
      <w:bookmarkStart w:id="5" w:name="CALCULATE—DSR—tAjDsrs_cTzshxydm"/>
      <w:r>
        <w:rPr>
          <w:rFonts w:hint="eastAsia" w:ascii="仿宋_GB2312" w:hAnsi="仿宋_GB2312" w:eastAsia="仿宋_GB2312" w:cs="仿宋_GB2312"/>
          <w:b w:val="0"/>
          <w:color w:val="000000"/>
          <w:sz w:val="32"/>
          <w:u w:val="none" w:color="auto"/>
        </w:rPr>
        <w:t>92450225MA5MQK0K63</w:t>
      </w:r>
      <w:bookmarkEnd w:id="5"/>
      <w:r>
        <w:rPr>
          <w:rFonts w:hint="eastAsia" w:ascii="仿宋_GB2312" w:hAnsi="仿宋_GB2312" w:eastAsia="仿宋_GB2312" w:cs="仿宋_GB2312"/>
          <w:b w:val="0"/>
          <w:bCs/>
          <w:color w:val="000000"/>
          <w:kern w:val="1"/>
          <w:sz w:val="32"/>
          <w:szCs w:val="32"/>
          <w:u w:val="none" w:color="auto"/>
        </w:rPr>
        <w:t xml:space="preserve">                                  </w:t>
      </w:r>
    </w:p>
    <w:p w14:paraId="45425AE1">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w:t>
      </w:r>
      <w:bookmarkStart w:id="6" w:name="CALCULATE—DSR—tAjDsrs_cLxdzSheng"/>
      <w:r>
        <w:rPr>
          <w:rFonts w:hint="eastAsia" w:ascii="仿宋_GB2312" w:hAnsi="仿宋_GB2312" w:eastAsia="仿宋_GB2312" w:cs="仿宋_GB2312"/>
          <w:b w:val="0"/>
          <w:color w:val="000000"/>
          <w:sz w:val="32"/>
          <w:u w:val="none" w:color="auto"/>
        </w:rPr>
        <w:t>广西壮族自治区柳州市融水苗族自治县广西柳州市融水县白云乡荣帽村</w:t>
      </w:r>
      <w:bookmarkEnd w:id="6"/>
      <w:r>
        <w:rPr>
          <w:rFonts w:hint="eastAsia" w:ascii="仿宋_GB2312" w:hAnsi="仿宋_GB2312" w:eastAsia="仿宋_GB2312" w:cs="仿宋_GB2312"/>
          <w:b w:val="0"/>
          <w:color w:val="000000"/>
          <w:sz w:val="32"/>
          <w:u w:val="none" w:color="auto"/>
          <w:lang w:val="en-US" w:eastAsia="zh-CN"/>
        </w:rPr>
        <w:t>******</w:t>
      </w:r>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p>
    <w:p w14:paraId="22F7FDBD">
      <w:pPr>
        <w:spacing w:line="540" w:lineRule="exact"/>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lang w:eastAsia="zh-CN"/>
        </w:rPr>
        <w:t>经营者</w:t>
      </w:r>
      <w:bookmarkStart w:id="7" w:name="CALCULATE—DSR—tAjDsrs_cFddbr"/>
      <w:r>
        <w:rPr>
          <w:rFonts w:hint="eastAsia" w:ascii="仿宋_GB2312" w:hAnsi="仿宋_GB2312" w:eastAsia="仿宋_GB2312" w:cs="仿宋_GB2312"/>
          <w:b w:val="0"/>
          <w:bCs/>
          <w:color w:val="000000"/>
          <w:kern w:val="1"/>
          <w:sz w:val="32"/>
          <w:szCs w:val="32"/>
          <w:u w:val="none" w:color="auto"/>
          <w:lang w:eastAsia="zh-CN"/>
        </w:rPr>
        <w:t>：</w:t>
      </w:r>
      <w:r>
        <w:rPr>
          <w:rFonts w:hint="eastAsia" w:ascii="仿宋_GB2312" w:hAnsi="仿宋_GB2312" w:eastAsia="仿宋_GB2312" w:cs="仿宋_GB2312"/>
          <w:b w:val="0"/>
          <w:color w:val="000000"/>
          <w:sz w:val="32"/>
          <w:u w:val="none" w:color="auto"/>
        </w:rPr>
        <w:t>韦志学</w:t>
      </w:r>
      <w:bookmarkEnd w:id="7"/>
      <w:r>
        <w:rPr>
          <w:rFonts w:hint="eastAsia" w:ascii="仿宋_GB2312" w:hAnsi="仿宋_GB2312" w:eastAsia="仿宋_GB2312" w:cs="仿宋_GB2312"/>
          <w:b w:val="0"/>
          <w:bCs/>
          <w:color w:val="000000"/>
          <w:kern w:val="1"/>
          <w:sz w:val="32"/>
          <w:szCs w:val="32"/>
          <w:u w:val="none" w:color="auto"/>
        </w:rPr>
        <w:t xml:space="preserve">                       </w:t>
      </w:r>
    </w:p>
    <w:p w14:paraId="0B2D6488">
      <w:pPr>
        <w:spacing w:line="540" w:lineRule="exact"/>
        <w:ind w:left="140" w:hanging="140"/>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1"/>
          <w:sz w:val="32"/>
          <w:szCs w:val="32"/>
          <w:u w:val="none" w:color="auto"/>
        </w:rPr>
        <w:t>身份证件号码：</w:t>
      </w:r>
      <w:bookmarkStart w:id="8" w:name="CALCULATE—DSR—tAjDsrs_cZjhm"/>
      <w:r>
        <w:rPr>
          <w:rFonts w:hint="eastAsia" w:ascii="仿宋_GB2312" w:hAnsi="仿宋_GB2312" w:eastAsia="仿宋_GB2312" w:cs="仿宋_GB2312"/>
          <w:b w:val="0"/>
          <w:color w:val="000000"/>
          <w:sz w:val="32"/>
          <w:u w:val="none" w:color="auto"/>
        </w:rPr>
        <w:t>452229197703</w:t>
      </w:r>
      <w:bookmarkEnd w:id="8"/>
      <w:r>
        <w:rPr>
          <w:rFonts w:hint="eastAsia" w:ascii="仿宋_GB2312" w:hAnsi="仿宋_GB2312" w:eastAsia="仿宋_GB2312" w:cs="仿宋_GB2312"/>
          <w:b w:val="0"/>
          <w:color w:val="000000"/>
          <w:sz w:val="32"/>
          <w:u w:val="none" w:color="auto"/>
          <w:lang w:val="en-US" w:eastAsia="zh-CN"/>
        </w:rPr>
        <w:t>******</w:t>
      </w:r>
      <w:r>
        <w:rPr>
          <w:rFonts w:hint="eastAsia" w:ascii="仿宋_GB2312" w:hAnsi="仿宋_GB2312" w:eastAsia="仿宋_GB2312" w:cs="仿宋_GB2312"/>
          <w:b w:val="0"/>
          <w:bCs/>
          <w:color w:val="000000"/>
          <w:kern w:val="1"/>
          <w:sz w:val="32"/>
          <w:szCs w:val="32"/>
          <w:u w:val="none" w:color="auto"/>
        </w:rPr>
        <w:t xml:space="preserve">                                     </w:t>
      </w:r>
    </w:p>
    <w:p w14:paraId="3E9AD729">
      <w:pPr>
        <w:pStyle w:val="3"/>
        <w:tabs>
          <w:tab w:val="left" w:pos="9060"/>
        </w:tabs>
        <w:spacing w:line="240" w:lineRule="auto"/>
        <w:ind w:firstLine="0" w:firstLineChars="0"/>
        <w:rPr>
          <w:rFonts w:hint="eastAsia" w:ascii="仿宋_GB2312" w:hAnsi="仿宋_GB2312" w:eastAsia="仿宋_GB2312" w:cs="仿宋_GB2312"/>
          <w:b w:val="0"/>
          <w:color w:val="auto"/>
          <w:sz w:val="32"/>
          <w:u w:val="none" w:color="auto"/>
        </w:rPr>
      </w:pPr>
      <w:bookmarkStart w:id="9" w:name="CALCULATE—AYHC—tAjHc_cHcqkjlaay"/>
    </w:p>
    <w:bookmarkEnd w:id="9"/>
    <w:p w14:paraId="4344635E">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2026年3月20日，本局对当事人开展日常监督检查，现场检查情况如下：一、该店正在开门营业，持有有效《营业执照》和及《小餐饮登记证》；二、检查该店经营场所货架在售食品发现1.娃哈哈营养快线，净含量：1.25升，生产日期：2025年5月30日，保质期：9个月，数量：41瓶；2.可口可乐汽水，净含量：1.25升，生产日期：2024年12月14日，保质期：9个月，数量：71瓶；......等24种食品超过保质期限仍在货架上销售（详见《财物清单》文书编号：（融水市监强制）〔2026〕27号），当事人现场未能提供上述食品的供货商资质材料，亦未能提供相关进货记录和销售记录。三、对上述检查情况，经请示局领导同意，执法人员对上述食品采取扣押强制措施，对当事人下达《实施行政强制措施决定书》（融水市监强制）〔2026〕27号）。</w:t>
      </w:r>
      <w:bookmarkStart w:id="10" w:name="CALCULATE—QZCS—tAjqzcses_qzcsxx"/>
      <w:r>
        <w:rPr>
          <w:rFonts w:hint="eastAsia" w:ascii="仿宋_GB2312" w:hAnsi="仿宋_GB2312" w:eastAsia="仿宋_GB2312" w:cs="仿宋_GB2312"/>
          <w:color w:val="000000"/>
          <w:sz w:val="32"/>
          <w:szCs w:val="32"/>
          <w:u w:val="none" w:color="auto"/>
          <w:lang w:val="en-US" w:eastAsia="zh-CN"/>
        </w:rPr>
        <w:t>2026年3月20日，经报请局领导审批获准，向当事人下达了《实施行政强制措施决定书》融水市监强制〔2026〕27号</w:t>
      </w:r>
      <w:bookmarkEnd w:id="10"/>
      <w:r>
        <w:rPr>
          <w:rFonts w:hint="eastAsia" w:ascii="仿宋_GB2312" w:hAnsi="仿宋_GB2312" w:eastAsia="仿宋_GB2312" w:cs="仿宋_GB2312"/>
          <w:color w:val="000000"/>
          <w:sz w:val="32"/>
          <w:szCs w:val="32"/>
          <w:u w:val="none" w:color="auto"/>
          <w:lang w:val="en-US" w:eastAsia="zh-CN"/>
        </w:rPr>
        <w:t>。2025年3月20日，经局领导审批同意对当事人的行为立案调查。2026年5月19日，本局对当事人询问调查，当事人提供了相关证据材料，现已查明事实。</w:t>
      </w:r>
    </w:p>
    <w:p w14:paraId="00F0F9BD">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bookmarkStart w:id="11" w:name="CALCULATE—AJCF—tAjCfes_cAjss"/>
      <w:r>
        <w:rPr>
          <w:rFonts w:hint="eastAsia" w:ascii="仿宋_GB2312" w:hAnsi="仿宋_GB2312" w:eastAsia="仿宋_GB2312" w:cs="仿宋_GB2312"/>
          <w:color w:val="000000"/>
          <w:sz w:val="32"/>
          <w:szCs w:val="32"/>
          <w:u w:val="none" w:color="auto"/>
          <w:lang w:val="en-US" w:eastAsia="zh-CN"/>
        </w:rPr>
        <w:t>经查明，当事人于2014年8月28日取得《营业执照》，在融水县白云乡荣帽村******从事食品、日用杂品零售。2026年3月20日，本局到当事人经营场所开展日常监督检查，在当事人货架上发现有24种食品已经超过保质期仍在销售，具体情况为：</w:t>
      </w:r>
    </w:p>
    <w:p w14:paraId="288EF6B0">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1.娃哈哈营养快线，净含量：1.25升，数量：41瓶，生产日期：2025年5月30日，保质期：9个月，即保质期至2026年3月2日。</w:t>
      </w:r>
    </w:p>
    <w:p w14:paraId="0EDE7AEB">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2.可口可乐汽水，净含量：1.25升，数量：71瓶，生产日期：2024年12月14日，保质期：11个月，即保质期至2025年11月14日。</w:t>
      </w:r>
    </w:p>
    <w:p w14:paraId="1042FB64">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3.雪碧汽水，净含量：1.25升，数量：24瓶，生产日期：2024年12月13日，保质期：11个月，即保质期至2025年11月13日。</w:t>
      </w:r>
    </w:p>
    <w:p w14:paraId="6EC91E2C">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4.唯家乐菠萝味汽水饮料，净含量：1.25升，数量：5瓶，生产日期：2024年9月14日，保质期：12个月，即保质期至2025年9月14日。</w:t>
      </w:r>
    </w:p>
    <w:p w14:paraId="6A940C9E">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5.娃哈哈饮用纯净水，净含量：1.5L，数量：7瓶，20251201前使用。</w:t>
      </w:r>
    </w:p>
    <w:p w14:paraId="6F355939">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6.统一阿萨姆原味奶茶，净含量：1.5L，数量：5瓶，生产日期：2025年5月22日，保质期：9个月，即保质期至2月22日。</w:t>
      </w:r>
    </w:p>
    <w:p w14:paraId="2F5EB733">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7.统一鲜橙多，净含量：2升，数量：4瓶，生产日期：2024年8月27日，保质期：12个月，即保质期至2025年8月27日。</w:t>
      </w:r>
    </w:p>
    <w:p w14:paraId="0C2B41F4">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8.统一绿茶，净含量：500ml，数量：25瓶，生产日期：20250106，保质期：12个月，即保质期至2026年1月6日。</w:t>
      </w:r>
    </w:p>
    <w:p w14:paraId="740AE235">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9.统一阿萨姆原味奶茶，净含量：500ml，数量：10瓶，生产日期：2025年2月15日，保质期：9个月，即保质期至2025年11月15日。</w:t>
      </w:r>
    </w:p>
    <w:p w14:paraId="340B0B4A">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10.银鹭原味花生牛奶，净含量：500ml，数量：16瓶，生产日期：2025年2月12日，保质期：12个月，即保质期至2026年2月12日。</w:t>
      </w:r>
    </w:p>
    <w:p w14:paraId="52570172">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11、东鹏特饮牛磺酸B族维生素饮料，净含量：250ml，数量：4瓶，生产日期：2025年3月3日，保质期：12个月，即保质期至2026年3月3日。</w:t>
      </w:r>
    </w:p>
    <w:p w14:paraId="0AE76E7E">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12、全源金源豆奶，净含量：160ml，数量：153袋，生产日期：2025年7月25日，保质期：180天，即保质期至2026年1月25日。</w:t>
      </w:r>
    </w:p>
    <w:p w14:paraId="34236218">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13、绿洲豆奶饮料，净含量：160ml，数量：67袋，生产日期：2025年6月27日，保质期：90天，即保质期至2025年9月27日。</w:t>
      </w:r>
    </w:p>
    <w:p w14:paraId="104F5F3E">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14.晋洋陈醋，净含量：420ml，数量：8瓶，生产日期：2023年5月1日，保质期：24个月，即保质期至2025年5月1日。</w:t>
      </w:r>
    </w:p>
    <w:p w14:paraId="36AA08D5">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15.康师傅香辣牛肉面，净含量：面饼+配料+111克+6克，面饼：85克+5克，数量：36桶，保质期至20250819。</w:t>
      </w:r>
    </w:p>
    <w:p w14:paraId="632EF22E">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16.唐三记鸡精，净含量：454克，数量：10包，生产日期：2024年1月16日，保质期：15个月，即保质期至2025年4月16日。</w:t>
      </w:r>
    </w:p>
    <w:p w14:paraId="5F595093">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17.超霸红棕鱼，净含量：45克，数量：33包，生产日期：2025年5月18日，保质期：9个月，即保质期至2026年2月18日。</w:t>
      </w:r>
    </w:p>
    <w:p w14:paraId="356E50D4">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18.精制水果味饼（香蕉味），净含量：280克，数量：8盒，生产日期：2025年9月15日，保质期：120天，即保质期至2026年1月15日。</w:t>
      </w:r>
    </w:p>
    <w:p w14:paraId="0C9D7F96">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19.闽广食品香芋饼，净含量：240克，数量：16包，生产日期：2025年9月11日，保质期：120天，即保质期至2026年1月11日。</w:t>
      </w:r>
    </w:p>
    <w:p w14:paraId="5E02E141">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20.胖子酸菜鱼佐料，净含量：310克，数量：5包，生产日期：2023年10月27日，保质期：12个月，即保质期至2024年10月27日。</w:t>
      </w:r>
    </w:p>
    <w:p w14:paraId="3B5E2903">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21.天之湘酒鬼鱼，净含量：45克，数量：28包，生产日期：2025年4月1日，保质期：9个月，即保质期至2026年1月1日。</w:t>
      </w:r>
    </w:p>
    <w:p w14:paraId="10E7D754">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22.博士海苔，净含量：26克，数量：12包，生产日期：2025年8月7日，保质期：180个月，即保质期至2026年2月7日。</w:t>
      </w:r>
    </w:p>
    <w:p w14:paraId="1871A5EF">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23.领航小番茄薯片，净含量：32克，数量：7包，生产日期：2025年5月24日，保质期：9个月，即保质期至2026年2月24日。</w:t>
      </w:r>
    </w:p>
    <w:p w14:paraId="4D5C3EA8">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24.多兴蟹黄味棒，净含量：36克，数量：6包，生产日期：2025年5月10日，保质期：180天，即保质期至2025年11月10日。</w:t>
      </w:r>
    </w:p>
    <w:p w14:paraId="3E56A14D">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另查明，当事人在购进上述食品时，未查验并保存供货商的营业执照及进货收据，未建立进货和销售台帐。本局无法核实上述食品在超过保质期后的销售情况，以现场检查发现的超过保质期食品的货值1883元作为本案的货值金额，依据《市场监督管理行政处罚案件违法所得认定办法》第十四条第一款“经充分调查，违法所得数额仍然无法查清的，可以不再单独计算违法所得，但应当在确定罚款数额时作为考量因素。”的规定，本案违法所得无法计算。</w:t>
      </w:r>
    </w:p>
    <w:bookmarkEnd w:id="11"/>
    <w:p w14:paraId="6C2F4609">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上述事实，主要有以下证据证明：</w:t>
      </w:r>
    </w:p>
    <w:p w14:paraId="5C75B8EB">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bookmarkStart w:id="12" w:name="CALCULATE—ZJCL—tajCltjes_zjclxx"/>
      <w:r>
        <w:rPr>
          <w:rFonts w:hint="eastAsia" w:ascii="仿宋_GB2312" w:hAnsi="仿宋_GB2312" w:eastAsia="仿宋_GB2312" w:cs="仿宋_GB2312"/>
          <w:color w:val="000000"/>
          <w:sz w:val="32"/>
          <w:szCs w:val="32"/>
          <w:u w:val="none" w:color="auto"/>
          <w:lang w:val="en-US" w:eastAsia="zh-CN"/>
        </w:rPr>
        <w:t>1.当事人的《营业执照》复印件一份。</w:t>
      </w:r>
    </w:p>
    <w:p w14:paraId="0F9D5C80">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2.当事人的经营者韦志学的身份证复印件一份。</w:t>
      </w:r>
    </w:p>
    <w:p w14:paraId="55E670AD">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3.《现场笔录》一份。</w:t>
      </w:r>
    </w:p>
    <w:p w14:paraId="1D4E8F83">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4.《实施行政强制措施决定书》（融水市监强制[2026]27号）一份。</w:t>
      </w:r>
    </w:p>
    <w:p w14:paraId="59259296">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5.《财物清单》（文书编号：融水市监强制[2026]27号）一份</w:t>
      </w:r>
      <w:bookmarkStart w:id="13" w:name="OLE_LINK1"/>
      <w:r>
        <w:rPr>
          <w:rFonts w:hint="eastAsia" w:ascii="仿宋_GB2312" w:hAnsi="仿宋_GB2312" w:eastAsia="仿宋_GB2312" w:cs="仿宋_GB2312"/>
          <w:color w:val="000000"/>
          <w:sz w:val="32"/>
          <w:szCs w:val="32"/>
          <w:u w:val="none" w:color="auto"/>
          <w:lang w:val="en-US" w:eastAsia="zh-CN"/>
        </w:rPr>
        <w:t>。</w:t>
      </w:r>
    </w:p>
    <w:bookmarkEnd w:id="13"/>
    <w:p w14:paraId="3E8BC97A">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6.《询问笔录》一份。</w:t>
      </w:r>
    </w:p>
    <w:p w14:paraId="000544C7">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7.现场检查照片以及被扣押食品的证据提取单</w:t>
      </w:r>
      <w:bookmarkStart w:id="14" w:name="OLE_LINK3"/>
      <w:r>
        <w:rPr>
          <w:rFonts w:hint="eastAsia" w:ascii="仿宋_GB2312" w:hAnsi="仿宋_GB2312" w:eastAsia="仿宋_GB2312" w:cs="仿宋_GB2312"/>
          <w:color w:val="000000"/>
          <w:sz w:val="32"/>
          <w:szCs w:val="32"/>
          <w:u w:val="none" w:color="auto"/>
          <w:lang w:val="en-US" w:eastAsia="zh-CN"/>
        </w:rPr>
        <w:t>。</w:t>
      </w:r>
    </w:p>
    <w:p w14:paraId="4B0F6F9C">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以上证据均有相关人员签字确认。</w:t>
      </w:r>
    </w:p>
    <w:p w14:paraId="252635B9">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bookmarkStart w:id="15" w:name="CALCULATE—XZCFJDS—cCfgzwsSdrq"/>
      <w:r>
        <w:rPr>
          <w:rFonts w:hint="eastAsia" w:ascii="仿宋_GB2312" w:hAnsi="仿宋_GB2312" w:eastAsia="仿宋_GB2312" w:cs="仿宋_GB2312"/>
          <w:color w:val="000000"/>
          <w:sz w:val="32"/>
          <w:szCs w:val="32"/>
          <w:u w:val="none" w:color="auto"/>
          <w:lang w:val="en-US" w:eastAsia="zh-Hans"/>
        </w:rPr>
        <w:t>2026年</w:t>
      </w:r>
      <w:r>
        <w:rPr>
          <w:rFonts w:hint="eastAsia" w:ascii="仿宋_GB2312" w:hAnsi="仿宋_GB2312" w:eastAsia="仿宋_GB2312" w:cs="仿宋_GB2312"/>
          <w:color w:val="000000"/>
          <w:sz w:val="32"/>
          <w:szCs w:val="32"/>
          <w:u w:val="none" w:color="auto"/>
          <w:lang w:val="en-US" w:eastAsia="zh-CN"/>
        </w:rPr>
        <w:t>6</w:t>
      </w:r>
      <w:r>
        <w:rPr>
          <w:rFonts w:hint="eastAsia" w:ascii="仿宋_GB2312" w:hAnsi="仿宋_GB2312" w:eastAsia="仿宋_GB2312" w:cs="仿宋_GB2312"/>
          <w:color w:val="000000"/>
          <w:sz w:val="32"/>
          <w:szCs w:val="32"/>
          <w:u w:val="none" w:color="auto"/>
          <w:lang w:val="en-US" w:eastAsia="zh-Hans"/>
        </w:rPr>
        <w:t>月</w:t>
      </w:r>
      <w:r>
        <w:rPr>
          <w:rFonts w:hint="eastAsia" w:ascii="仿宋_GB2312" w:hAnsi="仿宋_GB2312" w:eastAsia="仿宋_GB2312" w:cs="仿宋_GB2312"/>
          <w:color w:val="000000"/>
          <w:sz w:val="32"/>
          <w:szCs w:val="32"/>
          <w:u w:val="none" w:color="auto"/>
          <w:lang w:val="en-US" w:eastAsia="zh-CN"/>
        </w:rPr>
        <w:t>4</w:t>
      </w:r>
      <w:r>
        <w:rPr>
          <w:rFonts w:hint="eastAsia" w:ascii="仿宋_GB2312" w:hAnsi="仿宋_GB2312" w:eastAsia="仿宋_GB2312" w:cs="仿宋_GB2312"/>
          <w:color w:val="000000"/>
          <w:sz w:val="32"/>
          <w:szCs w:val="32"/>
          <w:u w:val="none" w:color="auto"/>
          <w:lang w:val="en-US" w:eastAsia="zh-Hans"/>
        </w:rPr>
        <w:t>日</w:t>
      </w:r>
      <w:bookmarkEnd w:id="15"/>
      <w:r>
        <w:rPr>
          <w:rFonts w:hint="eastAsia" w:ascii="仿宋_GB2312" w:hAnsi="仿宋_GB2312" w:eastAsia="仿宋_GB2312" w:cs="仿宋_GB2312"/>
          <w:color w:val="000000"/>
          <w:sz w:val="32"/>
          <w:szCs w:val="32"/>
          <w:u w:val="none" w:color="auto"/>
          <w:lang w:val="en-US" w:eastAsia="zh-Hans"/>
        </w:rPr>
        <w:t>，本局向当事人送达了本案《行政处罚告知书》(</w:t>
      </w:r>
      <w:bookmarkStart w:id="16" w:name="CALCULATE—XZCFJDS—cCfgzSdwswh"/>
      <w:r>
        <w:rPr>
          <w:rFonts w:hint="eastAsia" w:ascii="仿宋_GB2312" w:hAnsi="仿宋_GB2312" w:eastAsia="仿宋_GB2312" w:cs="仿宋_GB2312"/>
          <w:color w:val="000000"/>
          <w:sz w:val="32"/>
          <w:szCs w:val="32"/>
          <w:u w:val="none" w:color="auto"/>
          <w:lang w:val="en-US" w:eastAsia="zh-Hans"/>
        </w:rPr>
        <w:t>融水市监罚告〔2026〕</w:t>
      </w:r>
      <w:r>
        <w:rPr>
          <w:rFonts w:hint="eastAsia" w:ascii="仿宋_GB2312" w:hAnsi="仿宋_GB2312" w:eastAsia="仿宋_GB2312" w:cs="仿宋_GB2312"/>
          <w:color w:val="000000"/>
          <w:sz w:val="32"/>
          <w:szCs w:val="32"/>
          <w:u w:val="none" w:color="auto"/>
          <w:lang w:val="en-US" w:eastAsia="zh-CN"/>
        </w:rPr>
        <w:t>99</w:t>
      </w:r>
      <w:r>
        <w:rPr>
          <w:rFonts w:hint="eastAsia" w:ascii="仿宋_GB2312" w:hAnsi="仿宋_GB2312" w:eastAsia="仿宋_GB2312" w:cs="仿宋_GB2312"/>
          <w:color w:val="000000"/>
          <w:sz w:val="32"/>
          <w:szCs w:val="32"/>
          <w:u w:val="none" w:color="auto"/>
          <w:lang w:val="en-US" w:eastAsia="zh-Hans"/>
        </w:rPr>
        <w:t>号</w:t>
      </w:r>
      <w:bookmarkEnd w:id="16"/>
      <w:r>
        <w:rPr>
          <w:rFonts w:hint="eastAsia" w:ascii="仿宋_GB2312" w:hAnsi="仿宋_GB2312" w:eastAsia="仿宋_GB2312" w:cs="仿宋_GB2312"/>
          <w:color w:val="000000"/>
          <w:sz w:val="32"/>
          <w:szCs w:val="32"/>
          <w:u w:val="none" w:color="auto"/>
          <w:lang w:val="en-US" w:eastAsia="zh-Hans"/>
        </w:rPr>
        <w:t>)，</w:t>
      </w:r>
      <w:bookmarkStart w:id="17" w:name="CALCULATE—XZCFJDS—nTccssb"/>
      <w:r>
        <w:rPr>
          <w:rFonts w:hint="eastAsia" w:ascii="仿宋_GB2312" w:hAnsi="仿宋_GB2312" w:eastAsia="仿宋_GB2312" w:cs="仿宋_GB2312"/>
          <w:color w:val="000000"/>
          <w:sz w:val="32"/>
          <w:szCs w:val="32"/>
          <w:u w:val="none" w:color="auto"/>
          <w:lang w:val="en-US" w:eastAsia="zh-Hans"/>
        </w:rPr>
        <w:t>当事人在法定期限内未提出任何陈述或申辩</w:t>
      </w:r>
      <w:bookmarkEnd w:id="17"/>
      <w:r>
        <w:rPr>
          <w:rFonts w:hint="eastAsia" w:ascii="仿宋_GB2312" w:hAnsi="仿宋_GB2312" w:eastAsia="仿宋_GB2312" w:cs="仿宋_GB2312"/>
          <w:color w:val="000000"/>
          <w:sz w:val="32"/>
          <w:szCs w:val="32"/>
          <w:u w:val="none" w:color="auto"/>
          <w:lang w:val="en-US" w:eastAsia="zh-CN"/>
        </w:rPr>
        <w:t>，视为放弃此权利。</w:t>
      </w:r>
    </w:p>
    <w:bookmarkEnd w:id="12"/>
    <w:bookmarkEnd w:id="14"/>
    <w:p w14:paraId="08088746">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bookmarkStart w:id="18" w:name="CALCULATE—WFFLFGXX—tAjCfes_cWfflfg—1"/>
      <w:r>
        <w:rPr>
          <w:rFonts w:hint="eastAsia" w:ascii="仿宋_GB2312" w:hAnsi="仿宋_GB2312" w:eastAsia="仿宋_GB2312" w:cs="仿宋_GB2312"/>
          <w:color w:val="000000"/>
          <w:sz w:val="32"/>
          <w:szCs w:val="32"/>
          <w:u w:val="none" w:color="auto"/>
          <w:lang w:val="en-US" w:eastAsia="zh-CN"/>
        </w:rPr>
        <w:t>当事人经营超过保质期食品的行为，违反《中华人民共和国食品安全法》第三十四条第十项“禁止生产经营下列食品、食品添加剂、食品相关产品：......（十）标注虚假生产日期、保质期或者超过保质期的食品、食品添加剂。”的规定，构成了经营超过保质期食品的违法行为。</w:t>
      </w:r>
    </w:p>
    <w:p w14:paraId="3416D791">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当事人购进食品时未查验并保存进货票据和供货商的营业执照的行为，涉嫌违反了《中华人民共和国食品安全法》第五十三条第一款“食品经营者采购食品，应当查验供货者的许可证和食品出厂检验合格证或者其他合格证明(以下称合格证明文件)。”的规定，构成了未按规定履行进货查验记录制度的违法行为。</w:t>
      </w:r>
    </w:p>
    <w:bookmarkEnd w:id="18"/>
    <w:p w14:paraId="5082EC26">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bookmarkStart w:id="19" w:name="CALCULATE—AJCF—tAjCfes_cZyclsshly"/>
      <w:r>
        <w:rPr>
          <w:rFonts w:hint="eastAsia" w:ascii="仿宋_GB2312" w:hAnsi="仿宋_GB2312" w:eastAsia="仿宋_GB2312" w:cs="仿宋_GB2312"/>
          <w:color w:val="000000"/>
          <w:sz w:val="32"/>
          <w:szCs w:val="32"/>
          <w:u w:val="none" w:color="auto"/>
          <w:lang w:val="en-US" w:eastAsia="zh-CN"/>
        </w:rPr>
        <w:t>鉴于在整个案件的调查过程中，当事人积极主动配合执法人员开展执法检查工作，对违法行为供认不讳，使得本案事后查办工作得以顺利进行并查清案情。1.参照《广西壮族自治区市场监督管理行政处罚裁量权适用规定》第十二条第一款第二项“有下列情形之一的，可以依法从轻或者减轻行政处罚：（二）积极配合市场监管部门调查并主动提供证据材料的；”的规定，当事人符合从轻或减轻处罚的情形。2.参照《广西壮族自治区市场监督管理行政处罚裁量基准》（2023版）“六十七、《食品安全法》行政处罚裁量基准”，序号7的“减轻”适用情形“未造成食品安全事故等人身危害后果且有下列情形之一的：5.违法行为人为自然人或者个体工商户，违法行为地在山区、农村偏远地区，属于违法行为轻微、社会危害性较小的。”，裁量标准为“没收违法所得和违法生产经营的食品、食品添加剂，并可以没收用于违法生产经营的工具、设备、原料等物品；并处5万元以下罚款。”的规定，当事人符合减轻处罚的情形。3.依据《中华人民共和国行政处罚法》第五条第二款“设定和实施行政处罚必须以事实为依据，与违法行为的事实、性质、情节以及社会危害程度相当。”的规定，综合考量，本局决定对当事人予以减轻行政处罚。</w:t>
      </w:r>
      <w:bookmarkEnd w:id="19"/>
    </w:p>
    <w:p w14:paraId="479ABD02">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依据《中华人民共和国食品安全法》第一百二十四条第一款第五项：“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五）生产经营标注虚假生产日期、保质期或者超过保质期的食品、食品添加剂。”和第一百二十六条第一款第三项“违反本法规定，有下列情形之一的，由县级以上人民政府食品药品监督管理部门责令改正，给予警告；拒不改正的，处五千元以上五万元以下罚款；情节严重的，责令停产停业，直至吊销许可证：......（三）食品、食品添加剂生产经营者进货时未查验许可证和相关证明文件，或者未按规定建立并遵守进货查验记录、出厂检验记录和销售记录制度；”的规定，结合当事人符合减轻行政处罚裁量，参照《国家市场监管总局关于规范市场监督管理行政处罚的指导意见》（国市监法〔2022〕2号）第十条第二项“本意见中下列用语的含义如下：（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的指导意见，综合本案案情，本着过罚相当的原则，本局决定对当事人减轻行政处罚并对以上二个违法行为合并处罚如下：</w:t>
      </w:r>
    </w:p>
    <w:p w14:paraId="7763A7D6">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1、警告；</w:t>
      </w:r>
    </w:p>
    <w:p w14:paraId="5F07C790">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2、没收超过保质期的食品（详见《财物清单》（文书编号：融水市监强制[2026]27号））；</w:t>
      </w:r>
    </w:p>
    <w:p w14:paraId="3EC0FB6F">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CN"/>
        </w:rPr>
      </w:pPr>
      <w:r>
        <w:rPr>
          <w:rFonts w:hint="eastAsia" w:ascii="仿宋_GB2312" w:hAnsi="仿宋_GB2312" w:eastAsia="仿宋_GB2312" w:cs="仿宋_GB2312"/>
          <w:color w:val="000000"/>
          <w:sz w:val="32"/>
          <w:szCs w:val="32"/>
          <w:u w:val="none" w:color="auto"/>
          <w:lang w:val="en-US" w:eastAsia="zh-CN"/>
        </w:rPr>
        <w:t>3、罚款人民币贰仟元整（¥2000元）。</w:t>
      </w:r>
    </w:p>
    <w:p w14:paraId="564FF4D1">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u w:val="none" w:color="auto"/>
          <w:lang w:val="en-US" w:eastAsia="zh-Hans"/>
        </w:rPr>
      </w:pPr>
      <w:r>
        <w:rPr>
          <w:rFonts w:hint="eastAsia" w:ascii="仿宋_GB2312" w:hAnsi="仿宋_GB2312" w:eastAsia="仿宋_GB2312" w:cs="仿宋_GB2312"/>
          <w:color w:val="000000"/>
          <w:sz w:val="32"/>
          <w:szCs w:val="32"/>
          <w:u w:val="none" w:color="auto"/>
          <w:lang w:val="en-US" w:eastAsia="zh-Hans"/>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17D111CC">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Hans"/>
        </w:rPr>
      </w:pPr>
      <w:r>
        <w:rPr>
          <w:rFonts w:hint="eastAsia" w:ascii="仿宋_GB2312" w:hAnsi="仿宋_GB2312" w:eastAsia="仿宋_GB2312" w:cs="仿宋_GB2312"/>
          <w:color w:val="000000"/>
          <w:sz w:val="32"/>
          <w:szCs w:val="32"/>
          <w:u w:val="none" w:color="auto"/>
          <w:lang w:val="en-US" w:eastAsia="zh-Hans"/>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07E4EF0F">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Hans"/>
        </w:rPr>
      </w:pPr>
    </w:p>
    <w:p w14:paraId="6BE74527">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Hans"/>
        </w:rPr>
      </w:pPr>
    </w:p>
    <w:p w14:paraId="39E5D4D4">
      <w:pPr>
        <w:keepNext w:val="0"/>
        <w:keepLines w:val="0"/>
        <w:pageBreakBefore w:val="0"/>
        <w:widowControl w:val="0"/>
        <w:kinsoku/>
        <w:wordWrap/>
        <w:overflowPunct/>
        <w:topLinePunct/>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u w:val="none" w:color="auto"/>
          <w:lang w:val="en-US" w:eastAsia="zh-Hans"/>
        </w:rPr>
      </w:pPr>
    </w:p>
    <w:p w14:paraId="07875CAA">
      <w:pPr>
        <w:spacing w:line="560" w:lineRule="exact"/>
        <w:ind w:right="640" w:firstLine="601"/>
        <w:jc w:val="right"/>
        <w:rPr>
          <w:rFonts w:ascii="Times New Roman" w:hAnsi="Times New Roman" w:eastAsia="仿宋_GB2312" w:cs="仿宋"/>
          <w:color w:val="auto"/>
          <w:sz w:val="32"/>
          <w:szCs w:val="32"/>
          <w:u w:val="none" w:color="auto"/>
        </w:rPr>
      </w:pPr>
      <w:bookmarkStart w:id="20" w:name="DYNAMIC—DWXX—tAj_dwmc—2"/>
      <w:r>
        <w:rPr>
          <w:rFonts w:hint="eastAsia" w:ascii="Times New Roman" w:hAnsi="Times New Roman" w:eastAsia="仿宋_GB2312" w:cs="仿宋"/>
          <w:color w:val="000000"/>
          <w:sz w:val="32"/>
          <w:u w:val="none" w:color="auto"/>
        </w:rPr>
        <w:t>融水苗族自治县市场监督管理局</w:t>
      </w:r>
      <w:bookmarkEnd w:id="20"/>
      <w:r>
        <w:rPr>
          <w:rFonts w:hint="eastAsia" w:ascii="Times New Roman" w:hAnsi="Times New Roman" w:eastAsia="仿宋_GB2312" w:cs="仿宋"/>
          <w:color w:val="000000"/>
          <w:sz w:val="32"/>
          <w:szCs w:val="32"/>
          <w:u w:val="none" w:color="auto"/>
        </w:rPr>
        <w:t xml:space="preserve">    </w:t>
      </w:r>
    </w:p>
    <w:p w14:paraId="0C5A61CF">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bookmarkStart w:id="21" w:name="CALCULATE—TIME—NOW"/>
      <w:r>
        <w:rPr>
          <w:rFonts w:hint="eastAsia" w:ascii="仿宋_GB2312" w:hAnsi="仿宋_GB2312" w:eastAsia="仿宋_GB2312" w:cs="仿宋_GB2312"/>
          <w:sz w:val="32"/>
          <w:lang w:val="en-US" w:eastAsia="zh-CN"/>
        </w:rPr>
        <w:t xml:space="preserve">             </w:t>
      </w:r>
      <w:bookmarkStart w:id="22" w:name="_GoBack"/>
      <w:bookmarkEnd w:id="22"/>
      <w:r>
        <w:rPr>
          <w:rFonts w:ascii="仿宋_GB2312" w:hAnsi="仿宋_GB2312" w:eastAsia="仿宋_GB2312" w:cs="仿宋_GB2312"/>
          <w:sz w:val="32"/>
        </w:rPr>
        <w:t>2026年06月12日</w:t>
      </w:r>
      <w:bookmarkEnd w:id="21"/>
      <w:r>
        <w:rPr>
          <w:rFonts w:hint="eastAsia" w:ascii="Times New Roman" w:hAnsi="Times New Roman" w:eastAsia="仿宋_GB2312" w:cs="仿宋_GB2312"/>
          <w:color w:val="000000"/>
          <w:sz w:val="32"/>
          <w:szCs w:val="32"/>
          <w:u w:val="none" w:color="auto"/>
        </w:rPr>
        <w:t xml:space="preserve">  </w:t>
      </w:r>
    </w:p>
    <w:p w14:paraId="635A653E">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10892B5D">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682F9FC7">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5AA12A04">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1D165ECA">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589726DE">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46D6B4E7">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1E701BA5">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3E6C80B8">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5C3D25DC">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u w:val="none" w:color="auto"/>
        </w:rPr>
      </w:pPr>
    </w:p>
    <w:p w14:paraId="2153A2F0">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hint="eastAsia" w:ascii="Times New Roman" w:hAnsi="Times New Roman" w:eastAsia="仿宋_GB2312" w:cs="仿宋_GB2312"/>
          <w:color w:val="auto"/>
          <w:sz w:val="32"/>
          <w:szCs w:val="32"/>
          <w:u w:val="none" w:color="auto"/>
        </w:rPr>
      </w:pPr>
    </w:p>
    <w:p w14:paraId="53284138">
      <w:pPr>
        <w:widowControl/>
        <w:snapToGrid w:val="0"/>
        <w:spacing w:line="520" w:lineRule="exact"/>
        <w:jc w:val="center"/>
        <w:rPr>
          <w:rFonts w:ascii="Times New Roman" w:hAnsi="Times New Roman" w:eastAsia="仿宋_GB2312" w:cs="Mongolian Baiti"/>
          <w:color w:val="auto"/>
          <w:sz w:val="32"/>
          <w:szCs w:val="32"/>
          <w:u w:val="none" w:color="auto"/>
        </w:rPr>
      </w:pPr>
    </w:p>
    <w:p w14:paraId="7508102B">
      <w:pPr>
        <w:pStyle w:val="3"/>
        <w:spacing w:before="1"/>
        <w:ind w:left="163"/>
        <w:jc w:val="center"/>
        <w:rPr>
          <w:rFonts w:ascii="Times New Roman" w:hAnsi="Times New Roman" w:eastAsia="仿宋_GB2312" w:cs="仿宋"/>
          <w:bCs/>
          <w:color w:val="auto"/>
          <w:sz w:val="44"/>
          <w:szCs w:val="44"/>
          <w:u w:val="none" w:color="auto"/>
        </w:rPr>
      </w:pPr>
      <w:r>
        <w:rPr>
          <w:rFonts w:ascii="Times New Roman" w:hAnsi="Times New Roman" w:eastAsia="仿宋_GB2312"/>
          <w:color w:val="000000"/>
          <w:sz w:val="32"/>
          <w:u w:val="none" w:color="auto"/>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color="auto"/>
        </w:rPr>
        <w:t>（市场监督管理部门将依法向社会公开行政处罚决定信息）</w:t>
      </w:r>
    </w:p>
    <w:p w14:paraId="66F79B0D">
      <w:pPr>
        <w:spacing w:line="500" w:lineRule="exact"/>
        <w:jc w:val="center"/>
        <w:rPr>
          <w:color w:val="auto"/>
          <w:u w:val="none" w:color="auto"/>
        </w:rPr>
      </w:pPr>
      <w:r>
        <w:rPr>
          <w:rFonts w:ascii="Times New Roman" w:hAnsi="Times New Roman" w:eastAsia="仿宋_GB2312" w:cs="仿宋"/>
          <w:bCs/>
          <w:color w:val="000000"/>
          <w:sz w:val="32"/>
          <w:szCs w:val="32"/>
          <w:u w:val="none" w:color="auto"/>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color="auto"/>
        </w:rPr>
        <w:t>本文书一式</w:t>
      </w:r>
      <w:r>
        <w:rPr>
          <w:rFonts w:hint="eastAsia" w:ascii="Times New Roman" w:hAnsi="Times New Roman" w:eastAsia="仿宋_GB2312" w:cs="仿宋"/>
          <w:color w:val="000000"/>
          <w:sz w:val="32"/>
          <w:szCs w:val="32"/>
          <w:u w:val="none" w:color="auto"/>
          <w:lang w:eastAsia="zh-CN"/>
        </w:rPr>
        <w:t>两</w:t>
      </w:r>
      <w:r>
        <w:rPr>
          <w:rFonts w:hint="eastAsia" w:ascii="Times New Roman" w:hAnsi="Times New Roman" w:eastAsia="仿宋_GB2312" w:cs="仿宋"/>
          <w:color w:val="000000"/>
          <w:sz w:val="32"/>
          <w:szCs w:val="32"/>
          <w:u w:val="none" w:color="auto"/>
        </w:rPr>
        <w:t>份，</w:t>
      </w:r>
      <w:r>
        <w:rPr>
          <w:rFonts w:hint="eastAsia" w:ascii="Times New Roman" w:hAnsi="Times New Roman" w:eastAsia="仿宋_GB2312" w:cs="仿宋"/>
          <w:color w:val="000000"/>
          <w:sz w:val="32"/>
          <w:szCs w:val="32"/>
          <w:u w:val="none" w:color="auto"/>
          <w:lang w:eastAsia="zh-CN"/>
        </w:rPr>
        <w:t>一</w:t>
      </w:r>
      <w:r>
        <w:rPr>
          <w:rFonts w:hint="eastAsia" w:ascii="Times New Roman" w:hAnsi="Times New Roman" w:eastAsia="仿宋_GB2312" w:cs="仿宋"/>
          <w:color w:val="000000"/>
          <w:sz w:val="32"/>
          <w:szCs w:val="32"/>
          <w:u w:val="none" w:color="auto"/>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6CB5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E44F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BE44F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1DF533D"/>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CFF2CE6"/>
    <w:rsid w:val="1E664711"/>
    <w:rsid w:val="1EC222D9"/>
    <w:rsid w:val="1F2B5D07"/>
    <w:rsid w:val="1FC004DE"/>
    <w:rsid w:val="1FD31F15"/>
    <w:rsid w:val="212E3259"/>
    <w:rsid w:val="22287087"/>
    <w:rsid w:val="231C3778"/>
    <w:rsid w:val="237778B4"/>
    <w:rsid w:val="23F5677C"/>
    <w:rsid w:val="24626694"/>
    <w:rsid w:val="258D6CE0"/>
    <w:rsid w:val="27A45517"/>
    <w:rsid w:val="27CC311E"/>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4024B5"/>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90639C"/>
    <w:rsid w:val="53A0483E"/>
    <w:rsid w:val="53EE3B10"/>
    <w:rsid w:val="547C0750"/>
    <w:rsid w:val="55FE5622"/>
    <w:rsid w:val="57503162"/>
    <w:rsid w:val="58A4140A"/>
    <w:rsid w:val="591F0542"/>
    <w:rsid w:val="59A10938"/>
    <w:rsid w:val="59DB4E4A"/>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AB0DC9"/>
    <w:rsid w:val="61DC2B1A"/>
    <w:rsid w:val="636955DE"/>
    <w:rsid w:val="646E5E05"/>
    <w:rsid w:val="64E43803"/>
    <w:rsid w:val="657F58CB"/>
    <w:rsid w:val="65F660A6"/>
    <w:rsid w:val="66934D57"/>
    <w:rsid w:val="6AD7030F"/>
    <w:rsid w:val="6BA277B7"/>
    <w:rsid w:val="6BCC1BB9"/>
    <w:rsid w:val="6C6723F1"/>
    <w:rsid w:val="6CA517CF"/>
    <w:rsid w:val="6D064CEC"/>
    <w:rsid w:val="6D6C7F13"/>
    <w:rsid w:val="6D923254"/>
    <w:rsid w:val="6DD2313B"/>
    <w:rsid w:val="6DE244E6"/>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5E6BE4"/>
    <w:rsid w:val="76704CDE"/>
    <w:rsid w:val="76D869B3"/>
    <w:rsid w:val="76FD0A98"/>
    <w:rsid w:val="77850C07"/>
    <w:rsid w:val="77DF8BD4"/>
    <w:rsid w:val="77EFD5CC"/>
    <w:rsid w:val="77FFADAC"/>
    <w:rsid w:val="7835649C"/>
    <w:rsid w:val="789620E4"/>
    <w:rsid w:val="78FA25E7"/>
    <w:rsid w:val="78FD530C"/>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439</Words>
  <Characters>439</Characters>
  <Lines>0</Lines>
  <Paragraphs>0</Paragraphs>
  <TotalTime>2</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cp:lastPrinted>2026-06-12T04:30:00Z</cp:lastPrinted>
  <dcterms:modified xsi:type="dcterms:W3CDTF">2026-06-25T01:58:04Z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