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EC429E">
      <w:pPr>
        <w:numPr>
          <w:ilvl w:val="0"/>
          <w:numId w:val="2"/>
        </w:numPr>
        <w:spacing w:line="640" w:lineRule="exact"/>
        <w:jc w:val="center"/>
        <w:outlineLvl w:val="0"/>
        <w:rPr>
          <w:rFonts w:hint="eastAsia" w:ascii="方正小标宋简体" w:hAnsi="方正小标宋简体" w:eastAsia="方正小标宋简体" w:cs="方正小标宋简体"/>
          <w:color w:val="auto"/>
          <w:sz w:val="44"/>
          <w:szCs w:val="44"/>
        </w:rPr>
      </w:pPr>
      <w:bookmarkStart w:id="0" w:name="DYNAMIC—DWXX—tAj_dwmc"/>
      <w:r>
        <w:rPr>
          <w:rFonts w:hint="default" w:ascii="方正小标宋简体" w:hAnsi="方正小标宋简体" w:eastAsia="方正小标宋简体" w:cs="方正小标宋简体"/>
          <w:color w:val="000000"/>
          <w:sz w:val="44"/>
          <w:u w:val="none"/>
        </w:rPr>
        <w:t>融水苗族自治县市场监督管理局</w:t>
      </w:r>
      <w:bookmarkEnd w:id="0"/>
    </w:p>
    <w:p w14:paraId="41A915CA">
      <w:pPr>
        <w:pStyle w:val="2"/>
        <w:keepNext w:val="0"/>
        <w:numPr>
          <w:ilvl w:val="0"/>
          <w:numId w:val="2"/>
        </w:numPr>
        <w:spacing w:before="0" w:after="0" w:line="640" w:lineRule="exact"/>
        <w:jc w:val="center"/>
        <w:rPr>
          <w:rFonts w:hint="eastAsia" w:eastAsia="方正小标宋简体" w:cs="方正小标宋简体"/>
          <w:color w:val="auto"/>
          <w:sz w:val="44"/>
          <w:szCs w:val="44"/>
        </w:rPr>
      </w:pPr>
      <w:bookmarkStart w:id="1" w:name="_Toc76683344"/>
      <w:r>
        <w:rPr>
          <w:rFonts w:hint="eastAsia" w:hAnsi="方正小标宋简体" w:eastAsia="方正小标宋简体" w:cs="方正小标宋简体"/>
          <w:color w:val="000000"/>
          <w:sz w:val="44"/>
          <w:szCs w:val="44"/>
          <w:u w:val="none"/>
          <w:lang w:val="en-US"/>
        </w:rPr>
        <w:t>行政处罚</w:t>
      </w:r>
      <w:r>
        <w:rPr>
          <w:rFonts w:hint="eastAsia" w:hAnsi="方正小标宋简体" w:eastAsia="方正小标宋简体" w:cs="方正小标宋简体"/>
          <w:color w:val="000000"/>
          <w:sz w:val="44"/>
          <w:szCs w:val="44"/>
          <w:u w:val="none"/>
          <w:lang w:val="en-US" w:eastAsia="zh-Hans"/>
        </w:rPr>
        <w:t>决定</w:t>
      </w:r>
      <w:r>
        <w:rPr>
          <w:rFonts w:hint="eastAsia" w:hAnsi="方正小标宋简体" w:eastAsia="方正小标宋简体" w:cs="方正小标宋简体"/>
          <w:color w:val="000000"/>
          <w:sz w:val="44"/>
          <w:szCs w:val="44"/>
          <w:u w:val="none"/>
          <w:lang w:val="en-US"/>
        </w:rPr>
        <w:t>书</w:t>
      </w:r>
      <w:bookmarkEnd w:id="1"/>
    </w:p>
    <w:p w14:paraId="6EE1E700">
      <w:pPr>
        <w:widowControl/>
        <w:snapToGrid w:val="0"/>
        <w:spacing w:line="560" w:lineRule="exact"/>
        <w:ind w:right="55"/>
        <w:jc w:val="center"/>
        <w:outlineLvl w:val="1"/>
        <w:rPr>
          <w:rFonts w:hint="eastAsia" w:ascii="Times New Roman" w:hAnsi="仿宋_GB2312" w:eastAsia="仿宋_GB2312" w:cs="仿宋_GB2312"/>
          <w:bCs/>
          <w:color w:val="auto"/>
          <w:sz w:val="32"/>
          <w:szCs w:val="32"/>
        </w:rPr>
      </w:pPr>
      <w:bookmarkStart w:id="2" w:name="tAj_wh"/>
      <w:r>
        <w:rPr>
          <w:rFonts w:hint="eastAsia" w:ascii="Times New Roman" w:hAnsi="Times New Roman" w:eastAsia="仿宋_GB2312" w:cs="Mongolian Baiti"/>
          <w:color w:val="000000"/>
          <w:sz w:val="32"/>
          <w:u w:val="none"/>
        </w:rPr>
        <w:t>融水市监处罚〔2026〕101号</w:t>
      </w:r>
      <w:bookmarkEnd w:id="2"/>
    </w:p>
    <w:p w14:paraId="39A67738">
      <w:pPr>
        <w:spacing w:before="315" w:beforeLines="100" w:line="540" w:lineRule="exact"/>
        <w:ind w:left="142" w:hanging="142"/>
        <w:rPr>
          <w:rFonts w:hint="eastAsia" w:ascii="仿宋_GB2312" w:hAnsi="仿宋_GB2312" w:eastAsia="仿宋_GB2312" w:cs="仿宋_GB2312"/>
          <w:b w:val="0"/>
          <w:bCs/>
          <w:color w:val="auto"/>
          <w:sz w:val="32"/>
          <w:szCs w:val="32"/>
          <w:u w:val="none" w:color="auto"/>
          <w:lang w:val="en-US" w:eastAsia="zh-CN"/>
        </w:rPr>
      </w:pPr>
      <w:r>
        <w:rPr>
          <w:rFonts w:hint="eastAsia" w:ascii="仿宋_GB2312" w:hAnsi="仿宋_GB2312" w:eastAsia="仿宋_GB2312" w:cs="仿宋_GB2312"/>
          <w:b w:val="0"/>
          <w:bCs/>
          <w:color w:val="000000"/>
          <w:kern w:val="1"/>
          <w:sz w:val="32"/>
          <w:szCs w:val="32"/>
          <w:u w:val="none" w:color="auto"/>
        </w:rPr>
        <w:t>当事人：</w:t>
      </w:r>
      <w:bookmarkStart w:id="3" w:name="CALCULATE—DSR—tAjDsrs_cMc"/>
      <w:r>
        <w:rPr>
          <w:rFonts w:hint="eastAsia" w:ascii="仿宋_GB2312" w:hAnsi="仿宋_GB2312" w:eastAsia="仿宋_GB2312" w:cs="仿宋_GB2312"/>
          <w:b w:val="0"/>
          <w:color w:val="000000"/>
          <w:sz w:val="32"/>
          <w:u w:val="none" w:color="auto"/>
        </w:rPr>
        <w:t>融水苗族自治县怀宝镇卫生院</w:t>
      </w:r>
      <w:bookmarkEnd w:id="3"/>
      <w:r>
        <w:rPr>
          <w:rFonts w:hint="eastAsia" w:ascii="仿宋_GB2312" w:hAnsi="仿宋_GB2312" w:eastAsia="仿宋_GB2312" w:cs="仿宋_GB2312"/>
          <w:b w:val="0"/>
          <w:bCs/>
          <w:color w:val="000000"/>
          <w:kern w:val="1"/>
          <w:sz w:val="32"/>
          <w:szCs w:val="32"/>
          <w:u w:val="none" w:color="auto"/>
        </w:rPr>
        <w:t xml:space="preserve">                                            </w:t>
      </w:r>
    </w:p>
    <w:p w14:paraId="2E291824">
      <w:pPr>
        <w:spacing w:line="540" w:lineRule="exact"/>
        <w:ind w:left="140" w:hanging="140"/>
        <w:rPr>
          <w:rFonts w:hint="eastAsia" w:ascii="仿宋_GB2312" w:hAnsi="仿宋_GB2312" w:eastAsia="仿宋_GB2312" w:cs="仿宋_GB2312"/>
          <w:b w:val="0"/>
          <w:bCs/>
          <w:color w:val="auto"/>
          <w:kern w:val="1"/>
          <w:sz w:val="32"/>
          <w:szCs w:val="32"/>
          <w:u w:val="none" w:color="auto"/>
        </w:rPr>
      </w:pPr>
      <w:r>
        <w:rPr>
          <w:rFonts w:hint="eastAsia" w:ascii="仿宋_GB2312" w:hAnsi="仿宋_GB2312" w:eastAsia="仿宋_GB2312" w:cs="仿宋_GB2312"/>
          <w:b w:val="0"/>
          <w:bCs/>
          <w:color w:val="000000"/>
          <w:kern w:val="1"/>
          <w:sz w:val="32"/>
          <w:szCs w:val="32"/>
          <w:u w:val="none" w:color="auto"/>
        </w:rPr>
        <w:t>主体资格证照名称：</w:t>
      </w:r>
      <w:r>
        <w:rPr>
          <w:rFonts w:hint="eastAsia" w:ascii="仿宋_GB2312" w:hAnsi="仿宋_GB2312" w:eastAsia="仿宋_GB2312" w:cs="仿宋_GB2312"/>
          <w:b w:val="0"/>
          <w:color w:val="000000"/>
          <w:sz w:val="32"/>
          <w:u w:val="none" w:color="auto"/>
          <w:lang w:val="en-US" w:eastAsia="zh-CN"/>
        </w:rPr>
        <w:t>事业单位法人证书</w:t>
      </w:r>
      <w:r>
        <w:rPr>
          <w:rFonts w:hint="eastAsia" w:ascii="仿宋_GB2312" w:hAnsi="仿宋_GB2312" w:eastAsia="仿宋_GB2312" w:cs="仿宋_GB2312"/>
          <w:b w:val="0"/>
          <w:bCs/>
          <w:color w:val="000000"/>
          <w:kern w:val="1"/>
          <w:sz w:val="32"/>
          <w:szCs w:val="32"/>
          <w:u w:val="none" w:color="auto"/>
        </w:rPr>
        <w:t xml:space="preserve">                                   </w:t>
      </w:r>
    </w:p>
    <w:p w14:paraId="1D01E41E">
      <w:pPr>
        <w:spacing w:line="540" w:lineRule="exact"/>
        <w:ind w:left="140" w:hanging="140"/>
        <w:rPr>
          <w:rFonts w:hint="eastAsia" w:ascii="仿宋_GB2312" w:hAnsi="仿宋_GB2312" w:eastAsia="仿宋_GB2312" w:cs="仿宋_GB2312"/>
          <w:b w:val="0"/>
          <w:bCs/>
          <w:color w:val="auto"/>
          <w:kern w:val="1"/>
          <w:sz w:val="32"/>
          <w:szCs w:val="32"/>
          <w:u w:val="none" w:color="auto"/>
          <w:lang w:val="en-US" w:eastAsia="zh-CN"/>
        </w:rPr>
      </w:pPr>
      <w:r>
        <w:rPr>
          <w:rFonts w:hint="eastAsia" w:ascii="仿宋_GB2312" w:hAnsi="仿宋_GB2312" w:eastAsia="仿宋_GB2312" w:cs="仿宋_GB2312"/>
          <w:b w:val="0"/>
          <w:bCs/>
          <w:color w:val="000000"/>
          <w:kern w:val="1"/>
          <w:sz w:val="32"/>
          <w:szCs w:val="32"/>
          <w:u w:val="none" w:color="auto"/>
        </w:rPr>
        <w:t>统一社会信用代码：</w:t>
      </w:r>
      <w:bookmarkStart w:id="4" w:name="CALCULATE—DSR—tAjDsrs_cTzshxydm"/>
      <w:r>
        <w:rPr>
          <w:rFonts w:hint="eastAsia" w:ascii="仿宋_GB2312" w:hAnsi="仿宋_GB2312" w:eastAsia="仿宋_GB2312" w:cs="仿宋_GB2312"/>
          <w:b w:val="0"/>
          <w:color w:val="000000"/>
          <w:sz w:val="32"/>
          <w:u w:val="none" w:color="auto"/>
        </w:rPr>
        <w:t>12450226499098771H</w:t>
      </w:r>
      <w:bookmarkEnd w:id="4"/>
      <w:r>
        <w:rPr>
          <w:rFonts w:hint="eastAsia" w:ascii="仿宋_GB2312" w:hAnsi="仿宋_GB2312" w:eastAsia="仿宋_GB2312" w:cs="仿宋_GB2312"/>
          <w:b w:val="0"/>
          <w:bCs/>
          <w:color w:val="000000"/>
          <w:kern w:val="1"/>
          <w:sz w:val="32"/>
          <w:szCs w:val="32"/>
          <w:u w:val="none" w:color="auto"/>
        </w:rPr>
        <w:t xml:space="preserve">                                  </w:t>
      </w:r>
    </w:p>
    <w:p w14:paraId="38AEBF3F">
      <w:pPr>
        <w:spacing w:line="540" w:lineRule="exact"/>
        <w:ind w:left="140" w:hanging="140"/>
        <w:rPr>
          <w:rFonts w:hint="eastAsia" w:ascii="仿宋_GB2312" w:hAnsi="仿宋_GB2312" w:eastAsia="仿宋_GB2312" w:cs="仿宋_GB2312"/>
          <w:b w:val="0"/>
          <w:bCs/>
          <w:color w:val="auto"/>
          <w:kern w:val="1"/>
          <w:sz w:val="32"/>
          <w:szCs w:val="32"/>
          <w:u w:val="none" w:color="auto"/>
          <w:lang w:val="en-US" w:eastAsia="zh-CN"/>
        </w:rPr>
      </w:pPr>
      <w:r>
        <w:rPr>
          <w:rFonts w:hint="eastAsia" w:ascii="仿宋_GB2312" w:hAnsi="仿宋_GB2312" w:eastAsia="仿宋_GB2312" w:cs="仿宋_GB2312"/>
          <w:b w:val="0"/>
          <w:bCs/>
          <w:color w:val="000000"/>
          <w:kern w:val="1"/>
          <w:sz w:val="32"/>
          <w:szCs w:val="32"/>
          <w:u w:val="none" w:color="auto"/>
        </w:rPr>
        <w:t>住所（住址）：</w:t>
      </w:r>
      <w:bookmarkStart w:id="5" w:name="CALCULATE—DSR—tAjDsrs_cLxdzSheng"/>
      <w:r>
        <w:rPr>
          <w:rFonts w:hint="eastAsia" w:ascii="仿宋_GB2312" w:hAnsi="仿宋_GB2312" w:eastAsia="仿宋_GB2312" w:cs="仿宋_GB2312"/>
          <w:b w:val="0"/>
          <w:color w:val="000000"/>
          <w:sz w:val="32"/>
          <w:u w:val="none" w:color="auto"/>
        </w:rPr>
        <w:t>广西壮族自治区柳州市融水苗族自治县怀宝镇中寨街</w:t>
      </w:r>
      <w:bookmarkEnd w:id="5"/>
      <w:r>
        <w:rPr>
          <w:rFonts w:hint="eastAsia" w:ascii="仿宋_GB2312" w:hAnsi="仿宋_GB2312" w:eastAsia="仿宋_GB2312" w:cs="仿宋_GB2312"/>
          <w:b w:val="0"/>
          <w:color w:val="000000"/>
          <w:sz w:val="32"/>
          <w:u w:val="none" w:color="auto"/>
          <w:lang w:val="en-US" w:eastAsia="zh-CN"/>
        </w:rPr>
        <w:t>******</w:t>
      </w:r>
      <w:r>
        <w:rPr>
          <w:rFonts w:hint="eastAsia" w:ascii="仿宋_GB2312" w:hAnsi="仿宋_GB2312" w:eastAsia="仿宋_GB2312" w:cs="仿宋_GB2312"/>
          <w:b w:val="0"/>
          <w:bCs/>
          <w:color w:val="000000"/>
          <w:kern w:val="1"/>
          <w:sz w:val="32"/>
          <w:szCs w:val="32"/>
          <w:u w:val="none" w:color="auto"/>
        </w:rPr>
        <w:t xml:space="preserve">                                     </w:t>
      </w:r>
      <w:r>
        <w:rPr>
          <w:rFonts w:hint="eastAsia" w:ascii="仿宋_GB2312" w:hAnsi="仿宋_GB2312" w:eastAsia="仿宋_GB2312" w:cs="仿宋_GB2312"/>
          <w:b w:val="0"/>
          <w:bCs/>
          <w:color w:val="000000"/>
          <w:kern w:val="1"/>
          <w:sz w:val="32"/>
          <w:szCs w:val="32"/>
          <w:u w:val="none" w:color="auto"/>
          <w:lang w:val="en-US" w:eastAsia="zh-CN"/>
        </w:rPr>
        <w:t xml:space="preserve"> </w:t>
      </w:r>
    </w:p>
    <w:p w14:paraId="34FFD4F5">
      <w:pPr>
        <w:spacing w:line="540" w:lineRule="exact"/>
        <w:rPr>
          <w:rFonts w:hint="eastAsia" w:ascii="仿宋_GB2312" w:hAnsi="仿宋_GB2312" w:eastAsia="仿宋_GB2312" w:cs="仿宋_GB2312"/>
          <w:b w:val="0"/>
          <w:bCs/>
          <w:color w:val="auto"/>
          <w:kern w:val="1"/>
          <w:sz w:val="32"/>
          <w:szCs w:val="32"/>
          <w:u w:val="none" w:color="auto"/>
          <w:lang w:val="en-US" w:eastAsia="zh-CN"/>
        </w:rPr>
      </w:pPr>
      <w:r>
        <w:rPr>
          <w:rFonts w:hint="eastAsia" w:ascii="仿宋_GB2312" w:hAnsi="仿宋_GB2312" w:eastAsia="仿宋_GB2312" w:cs="仿宋_GB2312"/>
          <w:b w:val="0"/>
          <w:bCs/>
          <w:color w:val="000000"/>
          <w:kern w:val="1"/>
          <w:sz w:val="32"/>
          <w:szCs w:val="32"/>
          <w:u w:val="none" w:color="auto"/>
        </w:rPr>
        <w:t>法定代表人：</w:t>
      </w:r>
      <w:bookmarkStart w:id="6" w:name="CALCULATE—DSR—tAjDsrs_cFddbr"/>
      <w:r>
        <w:rPr>
          <w:rFonts w:hint="eastAsia" w:ascii="仿宋_GB2312" w:hAnsi="仿宋_GB2312" w:eastAsia="仿宋_GB2312" w:cs="仿宋_GB2312"/>
          <w:b w:val="0"/>
          <w:color w:val="000000"/>
          <w:sz w:val="32"/>
          <w:u w:val="none" w:color="auto"/>
        </w:rPr>
        <w:t>龙素梅</w:t>
      </w:r>
      <w:bookmarkEnd w:id="6"/>
      <w:r>
        <w:rPr>
          <w:rFonts w:hint="eastAsia" w:ascii="仿宋_GB2312" w:hAnsi="仿宋_GB2312" w:eastAsia="仿宋_GB2312" w:cs="仿宋_GB2312"/>
          <w:b w:val="0"/>
          <w:bCs/>
          <w:color w:val="000000"/>
          <w:kern w:val="1"/>
          <w:sz w:val="32"/>
          <w:szCs w:val="32"/>
          <w:u w:val="none" w:color="auto"/>
        </w:rPr>
        <w:t xml:space="preserve">                       </w:t>
      </w:r>
    </w:p>
    <w:p w14:paraId="296A42B2">
      <w:pPr>
        <w:spacing w:line="540" w:lineRule="exact"/>
        <w:ind w:left="140" w:hanging="140"/>
        <w:rPr>
          <w:rFonts w:hint="eastAsia" w:ascii="仿宋_GB2312" w:hAnsi="仿宋_GB2312" w:eastAsia="仿宋_GB2312" w:cs="仿宋_GB2312"/>
          <w:b w:val="0"/>
          <w:bCs/>
          <w:color w:val="auto"/>
          <w:kern w:val="1"/>
          <w:sz w:val="32"/>
          <w:szCs w:val="32"/>
          <w:u w:val="none" w:color="auto"/>
        </w:rPr>
      </w:pPr>
      <w:r>
        <w:rPr>
          <w:rFonts w:hint="eastAsia" w:ascii="仿宋_GB2312" w:hAnsi="仿宋_GB2312" w:eastAsia="仿宋_GB2312" w:cs="仿宋_GB2312"/>
          <w:b w:val="0"/>
          <w:bCs/>
          <w:color w:val="000000"/>
          <w:kern w:val="1"/>
          <w:sz w:val="32"/>
          <w:szCs w:val="32"/>
          <w:u w:val="none" w:color="auto"/>
        </w:rPr>
        <w:t>身份证件号码：</w:t>
      </w:r>
      <w:bookmarkStart w:id="7" w:name="CALCULATE—DSR—tAjDsrs_cZjhm"/>
      <w:r>
        <w:rPr>
          <w:rFonts w:hint="eastAsia" w:ascii="仿宋_GB2312" w:hAnsi="仿宋_GB2312" w:eastAsia="仿宋_GB2312" w:cs="仿宋_GB2312"/>
          <w:b w:val="0"/>
          <w:color w:val="000000"/>
          <w:sz w:val="32"/>
          <w:u w:val="none" w:color="auto"/>
        </w:rPr>
        <w:t>452229198907</w:t>
      </w:r>
      <w:bookmarkEnd w:id="7"/>
      <w:r>
        <w:rPr>
          <w:rFonts w:hint="eastAsia" w:ascii="仿宋_GB2312" w:hAnsi="仿宋_GB2312" w:eastAsia="仿宋_GB2312" w:cs="仿宋_GB2312"/>
          <w:b w:val="0"/>
          <w:color w:val="000000"/>
          <w:sz w:val="32"/>
          <w:u w:val="none" w:color="auto"/>
          <w:lang w:val="en-US" w:eastAsia="zh-CN"/>
        </w:rPr>
        <w:t>******</w:t>
      </w:r>
      <w:bookmarkStart w:id="18" w:name="_GoBack"/>
      <w:bookmarkEnd w:id="18"/>
      <w:r>
        <w:rPr>
          <w:rFonts w:hint="eastAsia" w:ascii="仿宋_GB2312" w:hAnsi="仿宋_GB2312" w:eastAsia="仿宋_GB2312" w:cs="仿宋_GB2312"/>
          <w:b w:val="0"/>
          <w:bCs/>
          <w:color w:val="000000"/>
          <w:kern w:val="1"/>
          <w:sz w:val="32"/>
          <w:szCs w:val="32"/>
          <w:u w:val="none" w:color="auto"/>
        </w:rPr>
        <w:t xml:space="preserve">   </w:t>
      </w:r>
    </w:p>
    <w:p w14:paraId="1DE97E80">
      <w:pPr>
        <w:spacing w:line="540" w:lineRule="exact"/>
        <w:ind w:left="140" w:hanging="140"/>
        <w:rPr>
          <w:rFonts w:hint="eastAsia" w:ascii="仿宋_GB2312" w:hAnsi="仿宋_GB2312" w:eastAsia="仿宋_GB2312" w:cs="仿宋_GB2312"/>
          <w:b w:val="0"/>
          <w:bCs/>
          <w:color w:val="auto"/>
          <w:sz w:val="32"/>
          <w:szCs w:val="32"/>
          <w:u w:val="none" w:color="auto"/>
        </w:rPr>
      </w:pPr>
      <w:r>
        <w:rPr>
          <w:rFonts w:hint="eastAsia" w:ascii="仿宋_GB2312" w:hAnsi="仿宋_GB2312" w:eastAsia="仿宋_GB2312" w:cs="仿宋_GB2312"/>
          <w:b w:val="0"/>
          <w:bCs/>
          <w:color w:val="000000"/>
          <w:kern w:val="1"/>
          <w:sz w:val="32"/>
          <w:szCs w:val="32"/>
          <w:u w:val="none" w:color="auto"/>
        </w:rPr>
        <w:t xml:space="preserve">                                  </w:t>
      </w:r>
    </w:p>
    <w:p w14:paraId="7A7757DF">
      <w:pPr>
        <w:pStyle w:val="3"/>
        <w:tabs>
          <w:tab w:val="left" w:pos="9060"/>
        </w:tabs>
        <w:spacing w:line="240" w:lineRule="auto"/>
        <w:ind w:firstLine="640" w:firstLineChars="200"/>
        <w:rPr>
          <w:rFonts w:hint="eastAsia" w:ascii="仿宋_GB2312" w:hAnsi="仿宋_GB2312" w:eastAsia="仿宋_GB2312" w:cs="仿宋_GB2312"/>
          <w:b w:val="0"/>
          <w:bCs/>
          <w:color w:val="auto"/>
          <w:sz w:val="32"/>
          <w:szCs w:val="32"/>
          <w:u w:val="none" w:color="auto"/>
          <w:lang w:val="en-US" w:eastAsia="zh-CN"/>
        </w:rPr>
      </w:pPr>
      <w:bookmarkStart w:id="8" w:name="CALCULATE—AYHC—tAjHc_cHcqkjlaay"/>
      <w:r>
        <w:rPr>
          <w:rFonts w:hint="eastAsia" w:ascii="仿宋_GB2312" w:hAnsi="仿宋_GB2312" w:eastAsia="仿宋_GB2312" w:cs="仿宋_GB2312"/>
          <w:b w:val="0"/>
          <w:color w:val="000000"/>
          <w:sz w:val="32"/>
          <w:u w:val="none" w:color="auto"/>
        </w:rPr>
        <w:t>2026年3月17日，融水苗族自治县市场监管局执法人员到融水苗族自治县怀宝镇卫生院检查时，发现该院放射科DR拍片室一台“数字化X射线摄影系统</w:t>
      </w:r>
      <w:r>
        <w:rPr>
          <w:rFonts w:hint="eastAsia" w:ascii="仿宋_GB2312" w:hAnsi="Times New Roman" w:eastAsia="仿宋_GB2312" w:cs="仿宋_GB2312"/>
          <w:color w:val="000000"/>
          <w:sz w:val="32"/>
          <w:u w:val="none"/>
        </w:rPr>
        <w:t>（产品型号：6600、注册号：粤械注准20162300899、生产日期：2017年11月、使用期限：5年）</w:t>
      </w:r>
      <w:r>
        <w:rPr>
          <w:rFonts w:hint="eastAsia" w:ascii="仿宋_GB2312" w:hAnsi="仿宋_GB2312" w:eastAsia="仿宋_GB2312" w:cs="仿宋_GB2312"/>
          <w:b w:val="0"/>
          <w:color w:val="000000"/>
          <w:sz w:val="32"/>
          <w:u w:val="none" w:color="auto"/>
        </w:rPr>
        <w:t>”已超过使用期限，该院涉嫌使用超过使用期限医疗器械，违反《医疗器械监督管理条例》第五十五条规定，依据《市场监督管理行政处罚程序规定》第十九条规定，</w:t>
      </w:r>
      <w:bookmarkEnd w:id="8"/>
      <w:r>
        <w:rPr>
          <w:rFonts w:hint="eastAsia" w:ascii="仿宋_GB2312" w:hAnsi="Times New Roman" w:eastAsia="仿宋_GB2312" w:cs="仿宋_GB2312"/>
          <w:color w:val="000000"/>
          <w:sz w:val="32"/>
          <w:u w:val="none"/>
          <w:lang w:val="en-US" w:eastAsia="zh-CN"/>
        </w:rPr>
        <w:t>2026年03月17日</w:t>
      </w:r>
      <w:r>
        <w:rPr>
          <w:rFonts w:hint="eastAsia" w:ascii="仿宋_GB2312" w:hAnsi="Times New Roman" w:eastAsia="仿宋_GB2312" w:cs="仿宋_GB2312"/>
          <w:color w:val="000000"/>
          <w:sz w:val="32"/>
          <w:u w:val="none"/>
        </w:rPr>
        <w:t>，</w:t>
      </w:r>
      <w:r>
        <w:rPr>
          <w:rFonts w:hint="eastAsia" w:ascii="仿宋_GB2312" w:hAnsi="仿宋_GB2312" w:eastAsia="仿宋_GB2312" w:cs="仿宋_GB2312"/>
          <w:color w:val="000000"/>
          <w:sz w:val="32"/>
          <w:u w:val="none"/>
        </w:rPr>
        <w:t>经报请局领导审批获准，</w:t>
      </w:r>
      <w:r>
        <w:rPr>
          <w:rFonts w:hint="eastAsia" w:ascii="仿宋_GB2312" w:hAnsi="Times New Roman" w:eastAsia="仿宋_GB2312" w:cs="仿宋_GB2312"/>
          <w:color w:val="000000"/>
          <w:sz w:val="32"/>
          <w:u w:val="none"/>
        </w:rPr>
        <w:t>对当事人的上述行为进行立案调查。</w:t>
      </w:r>
      <w:r>
        <w:rPr>
          <w:rFonts w:hint="eastAsia" w:ascii="仿宋_GB2312" w:hAnsi="仿宋_GB2312" w:eastAsia="仿宋_GB2312" w:cs="仿宋_GB2312"/>
          <w:b w:val="0"/>
          <w:bCs/>
          <w:color w:val="000000"/>
          <w:sz w:val="32"/>
          <w:szCs w:val="32"/>
          <w:u w:val="none" w:color="auto"/>
          <w:lang w:val="en-US" w:eastAsia="zh-CN"/>
        </w:rPr>
        <w:t xml:space="preserve"> </w:t>
      </w:r>
    </w:p>
    <w:p w14:paraId="7B58EB16">
      <w:pPr>
        <w:pStyle w:val="3"/>
        <w:tabs>
          <w:tab w:val="left" w:pos="8240"/>
        </w:tabs>
        <w:spacing w:line="240" w:lineRule="auto"/>
        <w:ind w:firstLine="640" w:firstLineChars="200"/>
        <w:rPr>
          <w:rFonts w:hint="eastAsia" w:ascii="仿宋_GB2312" w:hAnsi="仿宋_GB2312" w:eastAsia="仿宋_GB2312" w:cs="仿宋_GB2312"/>
          <w:b w:val="0"/>
          <w:bCs/>
          <w:color w:val="auto"/>
          <w:kern w:val="1"/>
          <w:sz w:val="32"/>
          <w:szCs w:val="32"/>
          <w:u w:val="none" w:color="auto"/>
          <w:lang w:val="en-US" w:eastAsia="zh-CN"/>
        </w:rPr>
      </w:pPr>
      <w:bookmarkStart w:id="9" w:name="CALCULATE—AJCF—tAjCfes_cAjss"/>
      <w:r>
        <w:rPr>
          <w:rFonts w:hint="eastAsia" w:ascii="仿宋_GB2312" w:hAnsi="仿宋_GB2312" w:eastAsia="仿宋_GB2312" w:cs="仿宋_GB2312"/>
          <w:b w:val="0"/>
          <w:color w:val="000000"/>
          <w:sz w:val="32"/>
          <w:u w:val="none" w:color="auto"/>
        </w:rPr>
        <w:t>经查，当事人持有合法有效的《事业单位法人证书》、《医疗机构执业许可证》，从事诊疗科目为:预防保健科/全科医疗外科/内科/外科/妇女保健科/儿科/口腔科/医学检验科/医学影像科/中医科******，属公益一类差额预算拨款事业单位。当事人使用的“数字化X射线摄影系统”（产品型号：6600、注册号：粤械注准20162300899、生产日期：2017年11月、使用期限：5年）属二类医疗器械，系卫生部门统一采购并调拨的，采购价为59.80万元/套，已于2022年12月超过使用期限，经融水苗族自治县价格认证中心认定货值金额为伍佰元整(￥500.00元）。当事人在上述“数字化X射线摄影系统”过期之后每年定期邀请第三方检测符合标准要求后，继续使用为患者提供诊疗服务。至案发时止，当事人使用的上述“数字化X射线摄影系统”在超过使用期限之后从2022年12月01日至2026年03月17日期间累计诊疗10034人次，以34.20元/次的单价，收取诊疗费用总额343162.80元。当事人已清退诊疗费用316606元,已退至当事人主管部门县卫生健康局退费专户26556.80元，已实际全部清退相关诊疗费用。综上，当事人已实际全部清退诊疗费用343162.80元，本案涉案货值金额为伍佰元整(￥500.00元）。</w:t>
      </w:r>
      <w:bookmarkEnd w:id="9"/>
      <w:r>
        <w:rPr>
          <w:rFonts w:hint="eastAsia" w:ascii="仿宋_GB2312" w:hAnsi="仿宋_GB2312" w:eastAsia="仿宋_GB2312" w:cs="仿宋_GB2312"/>
          <w:b w:val="0"/>
          <w:bCs/>
          <w:color w:val="000000"/>
          <w:kern w:val="1"/>
          <w:sz w:val="32"/>
          <w:szCs w:val="32"/>
          <w:u w:val="none" w:color="auto"/>
          <w:lang w:val="en-US" w:eastAsia="zh-CN"/>
        </w:rPr>
        <w:t xml:space="preserve"> </w:t>
      </w:r>
    </w:p>
    <w:p w14:paraId="76B19FF7">
      <w:pPr>
        <w:pStyle w:val="3"/>
        <w:tabs>
          <w:tab w:val="left" w:pos="8285"/>
        </w:tabs>
        <w:spacing w:line="520" w:lineRule="exact"/>
        <w:ind w:firstLine="640" w:firstLineChars="200"/>
        <w:rPr>
          <w:rFonts w:hint="eastAsia" w:ascii="仿宋_GB2312" w:hAnsi="仿宋_GB2312" w:eastAsia="仿宋_GB2312" w:cs="仿宋_GB2312"/>
          <w:b w:val="0"/>
          <w:bCs/>
          <w:color w:val="auto"/>
          <w:sz w:val="32"/>
          <w:szCs w:val="32"/>
          <w:u w:val="none" w:color="auto"/>
          <w:lang w:val="en-US"/>
        </w:rPr>
      </w:pPr>
      <w:r>
        <w:rPr>
          <w:rFonts w:hint="eastAsia" w:ascii="仿宋_GB2312" w:hAnsi="仿宋_GB2312" w:eastAsia="仿宋_GB2312" w:cs="仿宋_GB2312"/>
          <w:b w:val="0"/>
          <w:bCs/>
          <w:color w:val="000000"/>
          <w:kern w:val="1"/>
          <w:sz w:val="32"/>
          <w:szCs w:val="32"/>
          <w:u w:val="none" w:color="auto"/>
        </w:rPr>
        <w:t>上述事实，主要有以下证据证明：</w:t>
      </w:r>
    </w:p>
    <w:p w14:paraId="6572D867">
      <w:pPr>
        <w:pStyle w:val="3"/>
        <w:tabs>
          <w:tab w:val="left" w:pos="9060"/>
        </w:tabs>
        <w:spacing w:line="240" w:lineRule="auto"/>
        <w:rPr>
          <w:rFonts w:hint="eastAsia" w:ascii="仿宋_GB2312" w:hAnsi="仿宋_GB2312" w:eastAsia="仿宋_GB2312" w:cs="仿宋_GB2312"/>
          <w:b w:val="0"/>
          <w:bCs/>
          <w:color w:val="auto"/>
          <w:sz w:val="32"/>
          <w:szCs w:val="32"/>
          <w:u w:val="none" w:color="auto"/>
          <w:lang w:val="en-US" w:eastAsia="zh-CN"/>
        </w:rPr>
      </w:pPr>
      <w:bookmarkStart w:id="10" w:name="CALCULATE—ZJCL—tajCltjes_zjclxx"/>
      <w:r>
        <w:rPr>
          <w:rFonts w:hint="eastAsia" w:ascii="仿宋_GB2312" w:hAnsi="仿宋_GB2312" w:eastAsia="仿宋_GB2312" w:cs="仿宋_GB2312"/>
          <w:b w:val="0"/>
          <w:color w:val="000000"/>
          <w:sz w:val="32"/>
          <w:u w:val="none" w:color="auto"/>
        </w:rPr>
        <w:t>　　1.现场笔录，证明执法人员检查时，该卫生院现场的情况。</w:t>
      </w:r>
      <w:r>
        <w:rPr>
          <w:rFonts w:hint="eastAsia" w:ascii="仿宋_GB2312" w:hAnsi="仿宋_GB2312" w:eastAsia="仿宋_GB2312" w:cs="仿宋_GB2312"/>
          <w:b w:val="0"/>
          <w:color w:val="000000"/>
          <w:sz w:val="32"/>
          <w:u w:val="none" w:color="auto"/>
        </w:rPr>
        <w:br w:type="textWrapping"/>
      </w:r>
      <w:r>
        <w:rPr>
          <w:rFonts w:hint="eastAsia" w:ascii="仿宋_GB2312" w:hAnsi="仿宋_GB2312" w:eastAsia="仿宋_GB2312" w:cs="仿宋_GB2312"/>
          <w:b w:val="0"/>
          <w:color w:val="000000"/>
          <w:sz w:val="32"/>
          <w:u w:val="none" w:color="auto"/>
        </w:rPr>
        <w:t>　　2.《询问笔录》，证明当事人承认使用过期医疗器械、累计诊疗人次、收取的诊疗费用以及本局执法人员开展案件调查过程、处置等事实。</w:t>
      </w:r>
      <w:r>
        <w:rPr>
          <w:rFonts w:hint="eastAsia" w:ascii="仿宋_GB2312" w:hAnsi="仿宋_GB2312" w:eastAsia="仿宋_GB2312" w:cs="仿宋_GB2312"/>
          <w:b w:val="0"/>
          <w:color w:val="000000"/>
          <w:sz w:val="32"/>
          <w:u w:val="none" w:color="auto"/>
        </w:rPr>
        <w:br w:type="textWrapping"/>
      </w:r>
      <w:r>
        <w:rPr>
          <w:rFonts w:hint="eastAsia" w:ascii="仿宋_GB2312" w:hAnsi="仿宋_GB2312" w:eastAsia="仿宋_GB2312" w:cs="仿宋_GB2312"/>
          <w:b w:val="0"/>
          <w:color w:val="000000"/>
          <w:sz w:val="32"/>
          <w:u w:val="none" w:color="auto"/>
        </w:rPr>
        <w:t>　　3.《事业单位法人证书》、《医疗机构执业许可证》复印件，证明当事人的主体资质</w:t>
      </w:r>
      <w:r>
        <w:rPr>
          <w:rFonts w:hint="eastAsia" w:ascii="仿宋_GB2312" w:hAnsi="仿宋_GB2312" w:eastAsia="仿宋_GB2312" w:cs="仿宋_GB2312"/>
          <w:b w:val="0"/>
          <w:color w:val="000000"/>
          <w:sz w:val="32"/>
          <w:u w:val="none" w:color="auto"/>
        </w:rPr>
        <w:br w:type="textWrapping"/>
      </w:r>
      <w:r>
        <w:rPr>
          <w:rFonts w:hint="eastAsia" w:ascii="仿宋_GB2312" w:hAnsi="仿宋_GB2312" w:eastAsia="仿宋_GB2312" w:cs="仿宋_GB2312"/>
          <w:b w:val="0"/>
          <w:color w:val="000000"/>
          <w:sz w:val="32"/>
          <w:u w:val="none" w:color="auto"/>
        </w:rPr>
        <w:t>　　4.《广西农商联合银行进账单》（2026年01月23日）4张、《广西农商联合银行进账单》（2026年04月29日）1张、《广西农商联合银行进账单》（2026年04月30日）15张，证明当事人已全部清退使用过期医疗器械相关诊疗费用的凭证。</w:t>
      </w:r>
      <w:r>
        <w:rPr>
          <w:rFonts w:hint="eastAsia" w:ascii="仿宋_GB2312" w:hAnsi="仿宋_GB2312" w:eastAsia="仿宋_GB2312" w:cs="仿宋_GB2312"/>
          <w:b w:val="0"/>
          <w:color w:val="000000"/>
          <w:sz w:val="32"/>
          <w:u w:val="none" w:color="auto"/>
        </w:rPr>
        <w:br w:type="textWrapping"/>
      </w:r>
      <w:r>
        <w:rPr>
          <w:rFonts w:hint="eastAsia" w:ascii="仿宋_GB2312" w:hAnsi="仿宋_GB2312" w:eastAsia="仿宋_GB2312" w:cs="仿宋_GB2312"/>
          <w:b w:val="0"/>
          <w:color w:val="000000"/>
          <w:sz w:val="32"/>
          <w:u w:val="none" w:color="auto"/>
        </w:rPr>
        <w:t>　　5.《现场笔录》（2026年04月15日）、《电子数据证据固证清单》（编号：〔2026〕041501号）、光盘（2026年04月15日），证明本局执法人员2026年04月15日对当事人电子取证过程、现场情况以及电子取证具体数据以及当事人使用上述医疗器械超过使用期限之后累计诊疗人次、收取的诊疗费用等事实。</w:t>
      </w:r>
      <w:r>
        <w:rPr>
          <w:rFonts w:hint="eastAsia" w:ascii="仿宋_GB2312" w:hAnsi="仿宋_GB2312" w:eastAsia="仿宋_GB2312" w:cs="仿宋_GB2312"/>
          <w:b w:val="0"/>
          <w:color w:val="000000"/>
          <w:sz w:val="32"/>
          <w:u w:val="none" w:color="auto"/>
        </w:rPr>
        <w:br w:type="textWrapping"/>
      </w:r>
      <w:r>
        <w:rPr>
          <w:rFonts w:hint="eastAsia" w:ascii="仿宋_GB2312" w:hAnsi="仿宋_GB2312" w:eastAsia="仿宋_GB2312" w:cs="仿宋_GB2312"/>
          <w:b w:val="0"/>
          <w:color w:val="000000"/>
          <w:sz w:val="32"/>
          <w:u w:val="none" w:color="auto"/>
        </w:rPr>
        <w:t>　　6.《关于〈融水苗族自治县市场监督管理局协助调查函〉的复函》，证明过期医疗器械的货值金额计算依据</w:t>
      </w:r>
      <w:r>
        <w:rPr>
          <w:rFonts w:hint="eastAsia" w:ascii="仿宋_GB2312" w:hAnsi="仿宋_GB2312" w:eastAsia="仿宋_GB2312" w:cs="仿宋_GB2312"/>
          <w:b w:val="0"/>
          <w:color w:val="000000"/>
          <w:sz w:val="32"/>
          <w:u w:val="none" w:color="auto"/>
        </w:rPr>
        <w:br w:type="textWrapping"/>
      </w:r>
      <w:r>
        <w:rPr>
          <w:rFonts w:hint="eastAsia" w:ascii="仿宋_GB2312" w:hAnsi="仿宋_GB2312" w:eastAsia="仿宋_GB2312" w:cs="仿宋_GB2312"/>
          <w:b w:val="0"/>
          <w:color w:val="000000"/>
          <w:sz w:val="32"/>
          <w:u w:val="none" w:color="auto"/>
        </w:rPr>
        <w:t>　　7.《检验报告》（报告编号:GXFWA/JC2022-619、GXFWA/JC2023-739、GXFWA/JC2024-2777、GXFWA/JC2025-1873），证明当事人使用的涉案医疗器械超过使用期限之后定期检测符合要求的事实。</w:t>
      </w:r>
      <w:r>
        <w:rPr>
          <w:rFonts w:hint="eastAsia" w:ascii="仿宋_GB2312" w:hAnsi="仿宋_GB2312" w:eastAsia="仿宋_GB2312" w:cs="仿宋_GB2312"/>
          <w:b w:val="0"/>
          <w:color w:val="000000"/>
          <w:sz w:val="32"/>
          <w:u w:val="none" w:color="auto"/>
        </w:rPr>
        <w:br w:type="textWrapping"/>
      </w:r>
      <w:r>
        <w:rPr>
          <w:rFonts w:hint="eastAsia" w:ascii="仿宋_GB2312" w:hAnsi="仿宋_GB2312" w:eastAsia="仿宋_GB2312" w:cs="仿宋_GB2312"/>
          <w:b w:val="0"/>
          <w:color w:val="000000"/>
          <w:sz w:val="32"/>
          <w:u w:val="none" w:color="auto"/>
        </w:rPr>
        <w:t>　　8.《证据提取（照片采集）单》，证明本局执法人员的检查过程、采取的处置措施、调查取证情况、当事人张贴退费公告开展清退工作、收费截图的信息、涉案医疗器械的信息以及于2022年12月超过使用期限等事实。</w:t>
      </w:r>
      <w:r>
        <w:rPr>
          <w:rFonts w:hint="eastAsia" w:ascii="仿宋_GB2312" w:hAnsi="仿宋_GB2312" w:eastAsia="仿宋_GB2312" w:cs="仿宋_GB2312"/>
          <w:b w:val="0"/>
          <w:color w:val="000000"/>
          <w:sz w:val="32"/>
          <w:u w:val="none" w:color="auto"/>
        </w:rPr>
        <w:br w:type="textWrapping"/>
      </w:r>
      <w:r>
        <w:rPr>
          <w:rFonts w:hint="eastAsia" w:ascii="仿宋_GB2312" w:hAnsi="仿宋_GB2312" w:eastAsia="仿宋_GB2312" w:cs="仿宋_GB2312"/>
          <w:b w:val="0"/>
          <w:color w:val="000000"/>
          <w:sz w:val="32"/>
          <w:u w:val="none" w:color="auto"/>
        </w:rPr>
        <w:t>　　9.身份证复印件，证明当事人法定代表人龙素梅的合法身份</w:t>
      </w:r>
      <w:r>
        <w:rPr>
          <w:rFonts w:hint="eastAsia" w:ascii="仿宋_GB2312" w:hAnsi="仿宋_GB2312" w:eastAsia="仿宋_GB2312" w:cs="仿宋_GB2312"/>
          <w:b w:val="0"/>
          <w:color w:val="000000"/>
          <w:sz w:val="32"/>
          <w:u w:val="none" w:color="auto"/>
        </w:rPr>
        <w:br w:type="textWrapping"/>
      </w:r>
      <w:r>
        <w:rPr>
          <w:rFonts w:hint="eastAsia" w:ascii="仿宋_GB2312" w:hAnsi="仿宋_GB2312" w:eastAsia="仿宋_GB2312" w:cs="仿宋_GB2312"/>
          <w:b w:val="0"/>
          <w:color w:val="000000"/>
          <w:sz w:val="32"/>
          <w:u w:val="none" w:color="auto"/>
        </w:rPr>
        <w:t>　　10.行政检查审批表、通知书、送达地址确认书，证明执法人员检查过程已履行审批通知义务。</w:t>
      </w:r>
      <w:bookmarkEnd w:id="10"/>
      <w:r>
        <w:rPr>
          <w:rFonts w:hint="eastAsia" w:ascii="仿宋_GB2312" w:hAnsi="仿宋_GB2312" w:eastAsia="仿宋_GB2312" w:cs="仿宋_GB2312"/>
          <w:b w:val="0"/>
          <w:bCs/>
          <w:color w:val="000000"/>
          <w:sz w:val="32"/>
          <w:szCs w:val="32"/>
          <w:u w:val="none" w:color="auto"/>
          <w:lang w:val="en-US" w:eastAsia="zh-CN"/>
        </w:rPr>
        <w:t xml:space="preserve"> </w:t>
      </w:r>
    </w:p>
    <w:p w14:paraId="511592A1">
      <w:pPr>
        <w:pStyle w:val="3"/>
        <w:tabs>
          <w:tab w:val="left" w:pos="9060"/>
        </w:tabs>
        <w:spacing w:line="240" w:lineRule="auto"/>
        <w:rPr>
          <w:rFonts w:hint="eastAsia" w:ascii="仿宋_GB2312" w:hAnsi="仿宋_GB2312" w:eastAsia="仿宋_GB2312" w:cs="仿宋_GB2312"/>
          <w:b w:val="0"/>
          <w:bCs/>
          <w:color w:val="auto"/>
          <w:sz w:val="32"/>
          <w:szCs w:val="32"/>
          <w:u w:val="none" w:color="auto"/>
          <w:lang w:val="en-US" w:eastAsia="zh-CN"/>
        </w:rPr>
      </w:pPr>
      <w:r>
        <w:rPr>
          <w:rFonts w:hint="eastAsia" w:ascii="仿宋_GB2312" w:hAnsi="仿宋_GB2312" w:eastAsia="仿宋_GB2312" w:cs="仿宋_GB2312"/>
          <w:b w:val="0"/>
          <w:bCs/>
          <w:color w:val="000000"/>
          <w:sz w:val="32"/>
          <w:szCs w:val="32"/>
          <w:u w:val="none" w:color="auto"/>
          <w:lang w:val="en-US" w:eastAsia="zh-CN"/>
        </w:rPr>
        <w:t xml:space="preserve">    </w:t>
      </w:r>
      <w:bookmarkStart w:id="11" w:name="CALCULATE—XZCFJDS—cCfgzwsSdrq"/>
      <w:r>
        <w:rPr>
          <w:rFonts w:hint="eastAsia" w:ascii="仿宋_GB2312" w:hAnsi="仿宋_GB2312" w:eastAsia="仿宋_GB2312" w:cs="仿宋_GB2312"/>
          <w:b w:val="0"/>
          <w:color w:val="000000"/>
          <w:sz w:val="32"/>
          <w:u w:val="none" w:color="auto"/>
        </w:rPr>
        <w:t>2026年6月2日</w:t>
      </w:r>
      <w:bookmarkEnd w:id="11"/>
      <w:r>
        <w:rPr>
          <w:rFonts w:hint="eastAsia" w:ascii="仿宋_GB2312" w:hAnsi="仿宋_GB2312" w:eastAsia="仿宋_GB2312" w:cs="仿宋_GB2312"/>
          <w:b w:val="0"/>
          <w:bCs/>
          <w:color w:val="000000"/>
          <w:sz w:val="32"/>
          <w:szCs w:val="32"/>
          <w:u w:val="none" w:color="auto"/>
        </w:rPr>
        <w:t>，本局向当事人送达了本案《行政处罚告知书》(</w:t>
      </w:r>
      <w:bookmarkStart w:id="12" w:name="CALCULATE—XZCFJDS—cCfgzSdwswh"/>
      <w:r>
        <w:rPr>
          <w:rFonts w:hint="eastAsia" w:ascii="仿宋_GB2312" w:hAnsi="仿宋_GB2312" w:eastAsia="仿宋_GB2312" w:cs="仿宋_GB2312"/>
          <w:b w:val="0"/>
          <w:color w:val="000000"/>
          <w:sz w:val="32"/>
          <w:u w:val="none" w:color="auto"/>
        </w:rPr>
        <w:t>融水市监罚告〔2026〕97号</w:t>
      </w:r>
      <w:bookmarkEnd w:id="12"/>
      <w:r>
        <w:rPr>
          <w:rFonts w:hint="eastAsia" w:ascii="仿宋_GB2312" w:hAnsi="仿宋_GB2312" w:eastAsia="仿宋_GB2312" w:cs="仿宋_GB2312"/>
          <w:b w:val="0"/>
          <w:bCs/>
          <w:color w:val="000000"/>
          <w:sz w:val="32"/>
          <w:szCs w:val="32"/>
          <w:u w:val="none" w:color="auto"/>
        </w:rPr>
        <w:t>)，</w:t>
      </w:r>
      <w:bookmarkStart w:id="13" w:name="CALCULATE—XZCFJDS—nTccssb"/>
      <w:r>
        <w:rPr>
          <w:rFonts w:hint="eastAsia" w:ascii="仿宋_GB2312" w:hAnsi="仿宋_GB2312" w:eastAsia="仿宋_GB2312" w:cs="仿宋_GB2312"/>
          <w:b w:val="0"/>
          <w:color w:val="000000"/>
          <w:sz w:val="32"/>
          <w:u w:val="none" w:color="auto"/>
        </w:rPr>
        <w:t>当事人在法定期限内未提出任何陈述或申辩</w:t>
      </w:r>
      <w:bookmarkEnd w:id="13"/>
      <w:r>
        <w:rPr>
          <w:rFonts w:hint="eastAsia" w:ascii="仿宋_GB2312" w:hAnsi="仿宋_GB2312" w:eastAsia="仿宋_GB2312" w:cs="仿宋_GB2312"/>
          <w:b w:val="0"/>
          <w:color w:val="000000"/>
          <w:sz w:val="32"/>
          <w:u w:val="none" w:color="auto"/>
          <w:lang w:eastAsia="zh-CN"/>
        </w:rPr>
        <w:t>，</w:t>
      </w:r>
      <w:r>
        <w:rPr>
          <w:rFonts w:hint="eastAsia" w:ascii="仿宋_GB2312" w:hAnsi="仿宋_GB2312" w:eastAsia="仿宋_GB2312" w:cs="仿宋_GB2312"/>
          <w:b w:val="0"/>
          <w:bCs/>
          <w:color w:val="000000"/>
          <w:kern w:val="1"/>
          <w:sz w:val="32"/>
          <w:szCs w:val="32"/>
          <w:u w:val="none" w:color="auto"/>
          <w:lang w:val="en-US" w:eastAsia="zh-CN" w:bidi="ar-SA"/>
        </w:rPr>
        <w:t>视为放弃此权利。</w:t>
      </w:r>
      <w:r>
        <w:rPr>
          <w:rFonts w:hint="eastAsia" w:ascii="仿宋_GB2312" w:hAnsi="仿宋_GB2312" w:eastAsia="仿宋_GB2312" w:cs="仿宋_GB2312"/>
          <w:b w:val="0"/>
          <w:bCs/>
          <w:color w:val="000000"/>
          <w:sz w:val="32"/>
          <w:szCs w:val="32"/>
          <w:u w:val="none" w:color="auto"/>
        </w:rPr>
        <w:t xml:space="preserve">                                        </w:t>
      </w:r>
      <w:r>
        <w:rPr>
          <w:rFonts w:hint="eastAsia" w:ascii="仿宋_GB2312" w:hAnsi="仿宋_GB2312" w:eastAsia="仿宋_GB2312" w:cs="仿宋_GB2312"/>
          <w:b w:val="0"/>
          <w:bCs/>
          <w:color w:val="000000"/>
          <w:sz w:val="32"/>
          <w:szCs w:val="32"/>
          <w:u w:val="none" w:color="auto"/>
          <w:lang w:val="en-US" w:eastAsia="zh-CN"/>
        </w:rPr>
        <w:t xml:space="preserve">          </w:t>
      </w:r>
      <w:r>
        <w:rPr>
          <w:rFonts w:hint="eastAsia" w:ascii="仿宋_GB2312" w:hAnsi="仿宋_GB2312" w:eastAsia="仿宋_GB2312" w:cs="仿宋_GB2312"/>
          <w:b w:val="0"/>
          <w:bCs/>
          <w:color w:val="000000"/>
          <w:sz w:val="32"/>
          <w:szCs w:val="32"/>
          <w:u w:val="none" w:color="auto"/>
        </w:rPr>
        <w:t xml:space="preserve">                            </w:t>
      </w:r>
      <w:r>
        <w:rPr>
          <w:rFonts w:hint="eastAsia" w:ascii="仿宋_GB2312" w:hAnsi="仿宋_GB2312" w:eastAsia="仿宋_GB2312" w:cs="仿宋_GB2312"/>
          <w:b w:val="0"/>
          <w:bCs/>
          <w:color w:val="000000"/>
          <w:sz w:val="32"/>
          <w:szCs w:val="32"/>
          <w:u w:val="none" w:color="auto"/>
          <w:lang w:val="en-US" w:eastAsia="zh-CN"/>
        </w:rPr>
        <w:t xml:space="preserve">                                         </w:t>
      </w:r>
    </w:p>
    <w:p w14:paraId="475EC71A">
      <w:pPr>
        <w:pStyle w:val="3"/>
        <w:keepNext w:val="0"/>
        <w:keepLines w:val="0"/>
        <w:pageBreakBefore w:val="0"/>
        <w:kinsoku/>
        <w:overflowPunct/>
        <w:topLinePunct w:val="0"/>
        <w:bidi w:val="0"/>
        <w:spacing w:line="560" w:lineRule="exact"/>
        <w:ind w:left="0" w:right="0" w:rightChars="0" w:firstLine="640" w:firstLineChars="200"/>
        <w:jc w:val="both"/>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color w:val="000000"/>
          <w:kern w:val="1"/>
          <w:sz w:val="32"/>
          <w:szCs w:val="32"/>
          <w:u w:val="none" w:color="auto"/>
        </w:rPr>
        <w:t>本局认为，当事人</w:t>
      </w:r>
      <w:r>
        <w:rPr>
          <w:rFonts w:hint="eastAsia" w:ascii="仿宋_GB2312" w:hAnsi="Times New Roman" w:eastAsia="仿宋_GB2312" w:cs="仿宋_GB2312"/>
          <w:color w:val="000000"/>
          <w:sz w:val="32"/>
          <w:u w:val="none"/>
        </w:rPr>
        <w:t>在医疗器械超过使用期限后继续使用为患者提供诊疗服务的行为，违反</w:t>
      </w:r>
      <w:r>
        <w:rPr>
          <w:rFonts w:hint="eastAsia" w:ascii="仿宋_GB2312" w:hAnsi="Times New Roman" w:eastAsia="仿宋_GB2312" w:cs="仿宋_GB2312"/>
          <w:color w:val="000000"/>
          <w:sz w:val="32"/>
          <w:u w:val="none"/>
          <w:lang w:val="en-US" w:eastAsia="zh-CN"/>
        </w:rPr>
        <w:t>了</w:t>
      </w:r>
      <w:r>
        <w:rPr>
          <w:rFonts w:hint="eastAsia" w:ascii="仿宋_GB2312" w:hAnsi="Times New Roman" w:eastAsia="仿宋_GB2312" w:cs="仿宋_GB2312"/>
          <w:color w:val="000000"/>
          <w:sz w:val="32"/>
          <w:u w:val="none"/>
        </w:rPr>
        <w:t>《医疗器械监督管理条例》（2024修订）第五十五条</w:t>
      </w:r>
      <w:r>
        <w:rPr>
          <w:rFonts w:hint="eastAsia" w:ascii="仿宋_GB2312" w:hAnsi="Times New Roman" w:eastAsia="仿宋_GB2312" w:cs="仿宋_GB2312"/>
          <w:color w:val="000000"/>
          <w:sz w:val="32"/>
          <w:u w:val="none"/>
          <w:lang w:eastAsia="zh-CN"/>
        </w:rPr>
        <w:t>“</w:t>
      </w:r>
      <w:r>
        <w:rPr>
          <w:rFonts w:hint="eastAsia" w:ascii="仿宋_GB2312" w:hAnsi="仿宋_GB2312" w:eastAsia="仿宋_GB2312" w:cs="仿宋_GB2312"/>
          <w:b w:val="0"/>
          <w:color w:val="000000"/>
          <w:sz w:val="32"/>
          <w:u w:val="none" w:color="auto"/>
        </w:rPr>
        <w:t>医疗器械经营企业、使用单位不得经营、使用未依法注册或者备案、无合格证明文件以及过期、失效、淘汰的医疗器械</w:t>
      </w:r>
      <w:r>
        <w:rPr>
          <w:rFonts w:hint="eastAsia" w:ascii="仿宋_GB2312" w:hAnsi="仿宋_GB2312" w:eastAsia="仿宋_GB2312" w:cs="仿宋_GB2312"/>
          <w:b w:val="0"/>
          <w:color w:val="000000"/>
          <w:sz w:val="32"/>
          <w:u w:val="none" w:color="auto"/>
          <w:lang w:eastAsia="zh-CN"/>
        </w:rPr>
        <w:t>”</w:t>
      </w:r>
      <w:r>
        <w:rPr>
          <w:rFonts w:hint="eastAsia" w:ascii="仿宋_GB2312" w:hAnsi="仿宋_GB2312" w:eastAsia="仿宋_GB2312" w:cs="仿宋_GB2312"/>
          <w:b w:val="0"/>
          <w:color w:val="000000"/>
          <w:sz w:val="32"/>
          <w:u w:val="none" w:color="auto"/>
        </w:rPr>
        <w:t>的规定，</w:t>
      </w:r>
      <w:r>
        <w:rPr>
          <w:rFonts w:hint="eastAsia" w:ascii="仿宋_GB2312" w:hAnsi="Times New Roman" w:eastAsia="仿宋_GB2312" w:cs="仿宋_GB2312"/>
          <w:color w:val="000000"/>
          <w:sz w:val="32"/>
          <w:u w:val="none"/>
        </w:rPr>
        <w:t>构成了使用过期医疗器械的违法行为</w:t>
      </w:r>
      <w:r>
        <w:rPr>
          <w:rFonts w:hint="eastAsia" w:ascii="仿宋_GB2312" w:hAnsi="仿宋_GB2312" w:eastAsia="仿宋_GB2312" w:cs="仿宋_GB2312"/>
          <w:b w:val="0"/>
          <w:color w:val="000000"/>
          <w:sz w:val="32"/>
          <w:u w:val="none" w:color="auto"/>
        </w:rPr>
        <w:t>。</w:t>
      </w:r>
      <w:bookmarkStart w:id="14" w:name="CALCULATE—WFFLFGXX—tAjCfes_cCfyj"/>
      <w:r>
        <w:rPr>
          <w:rFonts w:hint="eastAsia" w:ascii="仿宋_GB2312" w:hAnsi="仿宋_GB2312" w:eastAsia="仿宋_GB2312" w:cs="仿宋_GB2312"/>
          <w:color w:val="000000"/>
          <w:sz w:val="32"/>
          <w:szCs w:val="32"/>
          <w:highlight w:val="none"/>
          <w:u w:val="none"/>
          <w:lang w:eastAsia="zh-CN"/>
        </w:rPr>
        <w:t>依据</w:t>
      </w:r>
      <w:r>
        <w:rPr>
          <w:rFonts w:hint="eastAsia" w:ascii="仿宋_GB2312" w:hAnsi="仿宋_GB2312" w:eastAsia="仿宋_GB2312" w:cs="仿宋_GB2312"/>
          <w:color w:val="000000"/>
          <w:sz w:val="32"/>
          <w:szCs w:val="32"/>
          <w:highlight w:val="none"/>
          <w:u w:val="none"/>
        </w:rPr>
        <w:t>《医疗器械监督管理条例》第八十六条</w:t>
      </w:r>
      <w:r>
        <w:rPr>
          <w:rFonts w:hint="eastAsia" w:ascii="仿宋_GB2312" w:hAnsi="仿宋_GB2312" w:eastAsia="仿宋_GB2312" w:cs="仿宋_GB2312"/>
          <w:color w:val="000000"/>
          <w:sz w:val="32"/>
          <w:szCs w:val="32"/>
          <w:highlight w:val="none"/>
          <w:u w:val="none"/>
          <w:lang w:eastAsia="zh-CN"/>
        </w:rPr>
        <w:t>第三项“</w:t>
      </w:r>
      <w:r>
        <w:rPr>
          <w:rFonts w:hint="eastAsia" w:ascii="仿宋_GB2312" w:hAnsi="仿宋_GB2312" w:eastAsia="仿宋_GB2312" w:cs="仿宋_GB2312"/>
          <w:color w:val="000000"/>
          <w:sz w:val="32"/>
          <w:szCs w:val="32"/>
          <w:highlight w:val="none"/>
          <w:u w:val="none"/>
        </w:rPr>
        <w:t>有下列情形之一的，由负责药品监督管理的部门责令改正，没收违法生产经营使用的医疗器械；违法生产经营使用的医疗器械货值金额不足1万元的，并处2万元以上5万元以下罚款；货值金额1万元以上的，并处货值金额5倍以上20倍以下罚款；情节严重的，责令停产停业，直至由原发证部门吊销医疗器械注册证、医疗器械生产许可证、医疗器械经营许可证，对违法单位的法定代表人、主要负责人、直接负责的主管人员和其他责任人员，没收违法行为发生期间自本单位所获收入，并处所获收入30%以上3倍以下罚款，10年内禁止其从事医疗器械生产经营活动：（三）经营、使用无合格证明文件、过期、失效、淘汰的医疗器械，或者使用未依法注册的医疗器械；</w:t>
      </w:r>
      <w:r>
        <w:rPr>
          <w:rFonts w:hint="default" w:ascii="仿宋_GB2312" w:hAnsi="仿宋_GB2312" w:eastAsia="仿宋_GB2312" w:cs="仿宋_GB2312"/>
          <w:color w:val="000000"/>
          <w:sz w:val="32"/>
          <w:szCs w:val="32"/>
          <w:highlight w:val="none"/>
          <w:u w:val="none"/>
          <w:lang w:val="en-US" w:eastAsia="zh-CN"/>
        </w:rPr>
        <w:t>”</w:t>
      </w:r>
      <w:bookmarkEnd w:id="14"/>
      <w:r>
        <w:rPr>
          <w:rFonts w:hint="eastAsia" w:ascii="仿宋_GB2312" w:hAnsi="仿宋_GB2312" w:eastAsia="仿宋_GB2312" w:cs="仿宋_GB2312"/>
          <w:color w:val="000000"/>
          <w:sz w:val="32"/>
          <w:szCs w:val="32"/>
          <w:highlight w:val="none"/>
          <w:u w:val="none"/>
          <w:lang w:eastAsia="zh-CN"/>
        </w:rPr>
        <w:t>的规定</w:t>
      </w:r>
      <w:r>
        <w:rPr>
          <w:rFonts w:hint="eastAsia" w:ascii="仿宋_GB2312" w:hAnsi="仿宋_GB2312" w:eastAsia="仿宋_GB2312" w:cs="仿宋_GB2312"/>
          <w:color w:val="000000"/>
          <w:sz w:val="32"/>
          <w:szCs w:val="32"/>
          <w:u w:val="none"/>
        </w:rPr>
        <w:t>予以行政处罚</w:t>
      </w:r>
      <w:r>
        <w:rPr>
          <w:rFonts w:hint="eastAsia" w:ascii="仿宋_GB2312" w:hAnsi="仿宋_GB2312" w:eastAsia="仿宋_GB2312" w:cs="仿宋_GB2312"/>
          <w:color w:val="000000"/>
          <w:sz w:val="32"/>
          <w:szCs w:val="32"/>
          <w:highlight w:val="none"/>
          <w:u w:val="none"/>
          <w:lang w:eastAsia="zh-CN"/>
        </w:rPr>
        <w:t>。</w:t>
      </w:r>
    </w:p>
    <w:p w14:paraId="7EF0BE2F">
      <w:pPr>
        <w:pStyle w:val="3"/>
        <w:keepNext w:val="0"/>
        <w:keepLines w:val="0"/>
        <w:pageBreakBefore w:val="0"/>
        <w:kinsoku/>
        <w:overflowPunct/>
        <w:topLinePunct w:val="0"/>
        <w:bidi w:val="0"/>
        <w:spacing w:line="560" w:lineRule="exact"/>
        <w:ind w:left="0" w:right="0" w:rightChars="0"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Times New Roman" w:eastAsia="仿宋_GB2312" w:cs="仿宋_GB2312"/>
          <w:color w:val="000000"/>
          <w:sz w:val="32"/>
          <w:u w:val="none"/>
          <w:lang w:eastAsia="zh-CN"/>
        </w:rPr>
        <w:t>鉴于</w:t>
      </w:r>
      <w:r>
        <w:rPr>
          <w:rFonts w:hint="eastAsia" w:ascii="仿宋_GB2312" w:hAnsi="Times New Roman" w:eastAsia="仿宋_GB2312" w:cs="仿宋_GB2312"/>
          <w:color w:val="000000"/>
          <w:sz w:val="32"/>
          <w:u w:val="none"/>
          <w:lang w:val="en-US" w:eastAsia="zh-CN"/>
        </w:rPr>
        <w:t>当事人</w:t>
      </w:r>
      <w:r>
        <w:rPr>
          <w:rFonts w:hint="eastAsia" w:ascii="仿宋_GB2312" w:hAnsi="Times New Roman" w:eastAsia="仿宋_GB2312" w:cs="仿宋_GB2312"/>
          <w:color w:val="000000"/>
          <w:sz w:val="32"/>
          <w:u w:val="none"/>
          <w:lang w:eastAsia="zh-CN"/>
        </w:rPr>
        <w:t>积极配合调查，如实陈述违法事实，主动提供证据材料，并已全部清退相关诊疗费用，截至目前，本局未收到因使用上述超过使用期限的医疗器械造成不良后果的相关信息；</w:t>
      </w:r>
      <w:r>
        <w:rPr>
          <w:rFonts w:hint="eastAsia" w:ascii="仿宋_GB2312" w:hAnsi="Times New Roman" w:eastAsia="仿宋_GB2312" w:cs="仿宋_GB2312"/>
          <w:color w:val="000000"/>
          <w:sz w:val="32"/>
          <w:u w:val="none"/>
          <w:lang w:val="en-US" w:eastAsia="zh-CN"/>
        </w:rPr>
        <w:t>依据</w:t>
      </w:r>
      <w:r>
        <w:rPr>
          <w:rFonts w:hint="eastAsia" w:ascii="仿宋_GB2312" w:hAnsi="仿宋_GB2312" w:eastAsia="仿宋_GB2312" w:cs="仿宋_GB2312"/>
          <w:color w:val="000000"/>
          <w:sz w:val="32"/>
          <w:szCs w:val="32"/>
          <w:highlight w:val="none"/>
          <w:u w:val="none"/>
          <w:lang w:val="en-US" w:eastAsia="zh-CN"/>
        </w:rPr>
        <w:t>《中华人民共和国行政处罚法》第三十二条第（五）项“当事人有下列情形之一，应当从轻或者减轻行政处罚：</w:t>
      </w:r>
      <w:r>
        <w:rPr>
          <w:rFonts w:hint="eastAsia" w:ascii="仿宋_GB2312" w:hAnsi="仿宋_GB2312" w:eastAsia="仿宋_GB2312" w:cs="仿宋_GB2312"/>
          <w:color w:val="000000"/>
          <w:sz w:val="32"/>
          <w:szCs w:val="32"/>
          <w:highlight w:val="none"/>
          <w:u w:val="none"/>
        </w:rPr>
        <w:t>……</w:t>
      </w:r>
      <w:r>
        <w:rPr>
          <w:rFonts w:hint="eastAsia" w:ascii="仿宋_GB2312" w:hAnsi="仿宋_GB2312" w:eastAsia="仿宋_GB2312" w:cs="仿宋_GB2312"/>
          <w:color w:val="000000"/>
          <w:sz w:val="32"/>
          <w:szCs w:val="32"/>
          <w:highlight w:val="none"/>
          <w:u w:val="none"/>
          <w:lang w:val="en-US" w:eastAsia="zh-CN"/>
        </w:rPr>
        <w:t>（五）法律、法规、规章规定其他应当从轻或者减轻行政处罚的。”、《</w:t>
      </w:r>
      <w:r>
        <w:rPr>
          <w:rFonts w:hint="eastAsia" w:ascii="仿宋_GB2312" w:hAnsi="仿宋_GB2312" w:eastAsia="仿宋_GB2312" w:cs="仿宋_GB2312"/>
          <w:color w:val="000000"/>
          <w:sz w:val="32"/>
          <w:szCs w:val="32"/>
          <w:highlight w:val="none"/>
          <w:u w:val="none"/>
        </w:rPr>
        <w:t>市场监管总局关于规范市场监督管理行政处罚裁量权的指导意见》（国市监法〔2022〕2号）第十四条第二项“有下列情形之一的，可以依法从轻或者减轻行政处罚</w:t>
      </w:r>
      <w:r>
        <w:rPr>
          <w:rFonts w:hint="eastAsia" w:ascii="仿宋_GB2312" w:hAnsi="仿宋_GB2312" w:eastAsia="仿宋_GB2312" w:cs="仿宋_GB2312"/>
          <w:color w:val="000000"/>
          <w:sz w:val="32"/>
          <w:szCs w:val="32"/>
          <w:highlight w:val="none"/>
          <w:u w:val="none"/>
          <w:lang w:eastAsia="zh-CN"/>
        </w:rPr>
        <w:t>：</w:t>
      </w:r>
      <w:r>
        <w:rPr>
          <w:rFonts w:hint="eastAsia" w:ascii="仿宋_GB2312" w:hAnsi="仿宋_GB2312" w:eastAsia="仿宋_GB2312" w:cs="仿宋_GB2312"/>
          <w:color w:val="000000"/>
          <w:sz w:val="32"/>
          <w:szCs w:val="32"/>
          <w:highlight w:val="none"/>
          <w:u w:val="none"/>
        </w:rPr>
        <w:t>（二）积极配合市场监管部门调查并主动提供证据材料的；”的规定，当事人符合</w:t>
      </w:r>
      <w:r>
        <w:rPr>
          <w:rFonts w:hint="eastAsia" w:ascii="仿宋_GB2312" w:hAnsi="仿宋_GB2312" w:eastAsia="仿宋_GB2312" w:cs="仿宋_GB2312"/>
          <w:color w:val="000000"/>
          <w:sz w:val="32"/>
          <w:szCs w:val="32"/>
          <w:highlight w:val="none"/>
          <w:u w:val="none"/>
          <w:lang w:eastAsia="zh-CN"/>
        </w:rPr>
        <w:t>上述</w:t>
      </w:r>
      <w:r>
        <w:rPr>
          <w:rFonts w:hint="eastAsia" w:ascii="仿宋_GB2312" w:hAnsi="仿宋_GB2312" w:eastAsia="仿宋_GB2312" w:cs="仿宋_GB2312"/>
          <w:color w:val="000000"/>
          <w:sz w:val="32"/>
          <w:szCs w:val="32"/>
          <w:highlight w:val="none"/>
          <w:u w:val="none"/>
        </w:rPr>
        <w:t>减轻</w:t>
      </w:r>
      <w:r>
        <w:rPr>
          <w:rFonts w:hint="eastAsia" w:ascii="仿宋_GB2312" w:hAnsi="仿宋_GB2312" w:eastAsia="仿宋_GB2312" w:cs="仿宋_GB2312"/>
          <w:color w:val="000000"/>
          <w:sz w:val="32"/>
          <w:szCs w:val="32"/>
          <w:highlight w:val="none"/>
          <w:u w:val="none"/>
          <w:lang w:val="en-US" w:eastAsia="zh-CN"/>
        </w:rPr>
        <w:t>行政</w:t>
      </w:r>
      <w:r>
        <w:rPr>
          <w:rFonts w:hint="eastAsia" w:ascii="仿宋_GB2312" w:hAnsi="仿宋_GB2312" w:eastAsia="仿宋_GB2312" w:cs="仿宋_GB2312"/>
          <w:color w:val="000000"/>
          <w:sz w:val="32"/>
          <w:szCs w:val="32"/>
          <w:highlight w:val="none"/>
          <w:u w:val="none"/>
        </w:rPr>
        <w:t>处罚</w:t>
      </w:r>
      <w:r>
        <w:rPr>
          <w:rFonts w:hint="eastAsia" w:ascii="仿宋_GB2312" w:hAnsi="仿宋_GB2312" w:eastAsia="仿宋_GB2312" w:cs="仿宋_GB2312"/>
          <w:color w:val="000000"/>
          <w:sz w:val="32"/>
          <w:szCs w:val="32"/>
          <w:highlight w:val="none"/>
          <w:u w:val="none"/>
          <w:lang w:val="en-US" w:eastAsia="zh-CN"/>
        </w:rPr>
        <w:t>的</w:t>
      </w:r>
      <w:r>
        <w:rPr>
          <w:rFonts w:hint="eastAsia" w:ascii="仿宋_GB2312" w:hAnsi="仿宋_GB2312" w:eastAsia="仿宋_GB2312" w:cs="仿宋_GB2312"/>
          <w:color w:val="000000"/>
          <w:sz w:val="32"/>
          <w:szCs w:val="32"/>
          <w:highlight w:val="none"/>
          <w:u w:val="none"/>
        </w:rPr>
        <w:t>情形。</w:t>
      </w:r>
      <w:r>
        <w:rPr>
          <w:rFonts w:hint="eastAsia" w:ascii="仿宋_GB2312" w:hAnsi="仿宋_GB2312" w:eastAsia="仿宋_GB2312" w:cs="仿宋_GB2312"/>
          <w:color w:val="000000"/>
          <w:sz w:val="32"/>
          <w:szCs w:val="32"/>
          <w:highlight w:val="none"/>
          <w:u w:val="none"/>
          <w:lang w:eastAsia="zh-CN"/>
        </w:rPr>
        <w:t>参照</w:t>
      </w:r>
      <w:r>
        <w:rPr>
          <w:rFonts w:hint="eastAsia" w:ascii="仿宋_GB2312" w:hAnsi="仿宋_GB2312" w:eastAsia="仿宋_GB2312" w:cs="仿宋_GB2312"/>
          <w:color w:val="000000"/>
          <w:sz w:val="32"/>
          <w:szCs w:val="32"/>
          <w:highlight w:val="none"/>
          <w:u w:val="none"/>
        </w:rPr>
        <w:t>《广西壮族自治区医疗器械监管行政处罚裁量基准（202</w:t>
      </w:r>
      <w:r>
        <w:rPr>
          <w:rFonts w:hint="eastAsia" w:ascii="仿宋_GB2312" w:hAnsi="仿宋_GB2312" w:eastAsia="仿宋_GB2312" w:cs="仿宋_GB2312"/>
          <w:color w:val="000000"/>
          <w:sz w:val="32"/>
          <w:szCs w:val="32"/>
          <w:highlight w:val="none"/>
          <w:u w:val="none"/>
          <w:lang w:val="en-US" w:eastAsia="zh-CN"/>
        </w:rPr>
        <w:t>6</w:t>
      </w:r>
      <w:r>
        <w:rPr>
          <w:rFonts w:hint="eastAsia" w:ascii="仿宋_GB2312" w:hAnsi="仿宋_GB2312" w:eastAsia="仿宋_GB2312" w:cs="仿宋_GB2312"/>
          <w:color w:val="000000"/>
          <w:sz w:val="32"/>
          <w:szCs w:val="32"/>
          <w:highlight w:val="none"/>
          <w:u w:val="none"/>
        </w:rPr>
        <w:t>年修订版）</w:t>
      </w:r>
      <w:r>
        <w:rPr>
          <w:rFonts w:hint="eastAsia" w:ascii="仿宋_GB2312" w:hAnsi="仿宋_GB2312" w:eastAsia="仿宋_GB2312" w:cs="仿宋_GB2312"/>
          <w:color w:val="000000"/>
          <w:sz w:val="32"/>
          <w:szCs w:val="32"/>
          <w:highlight w:val="none"/>
          <w:u w:val="none"/>
          <w:lang w:eastAsia="zh-CN"/>
        </w:rPr>
        <w:t>》第十六条第一款、第二款“本条是对《医疗器械监督管理条例》第八十六条</w:t>
      </w:r>
      <w:r>
        <w:rPr>
          <w:rFonts w:hint="eastAsia" w:ascii="仿宋_GB2312" w:hAnsi="仿宋_GB2312" w:eastAsia="仿宋_GB2312" w:cs="仿宋_GB2312"/>
          <w:color w:val="000000"/>
          <w:sz w:val="32"/>
          <w:szCs w:val="32"/>
          <w:highlight w:val="none"/>
          <w:u w:val="none"/>
          <w:lang w:val="en-US" w:eastAsia="zh-CN"/>
        </w:rPr>
        <w:t xml:space="preserve"> </w:t>
      </w:r>
      <w:r>
        <w:rPr>
          <w:rFonts w:hint="eastAsia" w:ascii="仿宋_GB2312" w:hAnsi="仿宋_GB2312" w:eastAsia="仿宋_GB2312" w:cs="仿宋_GB2312"/>
          <w:color w:val="000000"/>
          <w:sz w:val="32"/>
          <w:szCs w:val="32"/>
          <w:highlight w:val="none"/>
          <w:u w:val="none"/>
          <w:lang w:eastAsia="zh-CN"/>
        </w:rPr>
        <w:t>‘违法生产、经营或者使用的医疗器械货值金额不足 1 万元的，并处 2 万元以上 5 万元以下罚款’裁量基准的规定。</w:t>
      </w:r>
      <w:r>
        <w:rPr>
          <w:rFonts w:hint="eastAsia" w:ascii="仿宋_GB2312" w:hAnsi="仿宋_GB2312" w:eastAsia="仿宋_GB2312" w:cs="仿宋_GB2312"/>
          <w:color w:val="000000"/>
          <w:sz w:val="32"/>
          <w:szCs w:val="32"/>
          <w:highlight w:val="none"/>
          <w:u w:val="none"/>
          <w:lang w:val="en-US" w:eastAsia="zh-CN"/>
        </w:rPr>
        <w:t>符合裁量规则减轻行政处罚情形的，减轻行政处罚，处低于2万元的罚款</w:t>
      </w:r>
      <w:r>
        <w:rPr>
          <w:rFonts w:hint="default" w:ascii="仿宋_GB2312" w:hAnsi="仿宋_GB2312" w:eastAsia="仿宋_GB2312" w:cs="仿宋_GB2312"/>
          <w:color w:val="000000"/>
          <w:sz w:val="32"/>
          <w:szCs w:val="32"/>
          <w:highlight w:val="none"/>
          <w:u w:val="none"/>
          <w:lang w:val="en-US" w:eastAsia="zh-CN"/>
        </w:rPr>
        <w:t>”</w:t>
      </w:r>
      <w:r>
        <w:rPr>
          <w:rFonts w:hint="eastAsia" w:ascii="仿宋_GB2312" w:hAnsi="仿宋_GB2312" w:eastAsia="仿宋_GB2312" w:cs="仿宋_GB2312"/>
          <w:color w:val="000000"/>
          <w:sz w:val="32"/>
          <w:szCs w:val="32"/>
          <w:highlight w:val="none"/>
          <w:u w:val="none"/>
          <w:lang w:val="en-US" w:eastAsia="zh-CN"/>
        </w:rPr>
        <w:t>的规定，予以减轻行政处罚。</w:t>
      </w:r>
    </w:p>
    <w:p w14:paraId="55C61639">
      <w:pPr>
        <w:pStyle w:val="3"/>
        <w:keepNext w:val="0"/>
        <w:keepLines w:val="0"/>
        <w:pageBreakBefore w:val="0"/>
        <w:kinsoku/>
        <w:overflowPunct/>
        <w:topLinePunct w:val="0"/>
        <w:bidi w:val="0"/>
        <w:spacing w:line="560" w:lineRule="exact"/>
        <w:ind w:left="0" w:right="0" w:rightChars="0" w:firstLine="640" w:firstLineChars="200"/>
        <w:jc w:val="both"/>
        <w:textAlignment w:val="auto"/>
        <w:rPr>
          <w:rFonts w:hint="eastAsia" w:ascii="仿宋_GB2312" w:hAnsi="仿宋_GB2312" w:eastAsia="仿宋_GB2312" w:cs="仿宋_GB2312"/>
          <w:sz w:val="32"/>
          <w:szCs w:val="32"/>
          <w:highlight w:val="none"/>
          <w:lang w:eastAsia="zh-CN"/>
        </w:rPr>
      </w:pPr>
      <w:r>
        <w:rPr>
          <w:rFonts w:hint="eastAsia" w:ascii="仿宋_GB2312" w:hAnsi="Times New Roman" w:eastAsia="仿宋_GB2312" w:cs="仿宋_GB2312"/>
          <w:color w:val="000000" w:themeColor="text1"/>
          <w:sz w:val="32"/>
          <w:u w:val="none"/>
          <w14:textFill>
            <w14:solidFill>
              <w14:schemeClr w14:val="tx1"/>
            </w14:solidFill>
          </w14:textFill>
        </w:rPr>
        <w:t>综上，</w:t>
      </w:r>
      <w:r>
        <w:rPr>
          <w:rFonts w:hint="eastAsia" w:ascii="仿宋_GB2312" w:hAnsi="仿宋_GB2312" w:eastAsia="仿宋_GB2312" w:cs="仿宋_GB2312"/>
          <w:b w:val="0"/>
          <w:bCs/>
          <w:color w:val="000000"/>
          <w:kern w:val="1"/>
          <w:sz w:val="32"/>
          <w:szCs w:val="32"/>
          <w:u w:val="none" w:color="auto"/>
          <w:lang w:val="en-US" w:eastAsia="zh-CN" w:bidi="ar-SA"/>
        </w:rPr>
        <w:t>本局决定责令当事人停止违法行为，并对当事人违法行为给予减轻处罚如下：</w:t>
      </w:r>
    </w:p>
    <w:p w14:paraId="4CFBF244">
      <w:pPr>
        <w:pStyle w:val="3"/>
        <w:tabs>
          <w:tab w:val="left" w:pos="9060"/>
        </w:tabs>
        <w:spacing w:line="520" w:lineRule="exact"/>
        <w:ind w:firstLine="640" w:firstLineChars="200"/>
        <w:rPr>
          <w:rFonts w:hint="eastAsia" w:ascii="仿宋_GB2312" w:hAnsi="仿宋_GB2312" w:eastAsia="仿宋_GB2312" w:cs="仿宋_GB2312"/>
          <w:b w:val="0"/>
          <w:bCs/>
          <w:color w:val="auto"/>
          <w:sz w:val="32"/>
          <w:szCs w:val="32"/>
          <w:u w:val="none" w:color="auto"/>
          <w:lang w:val="en-US" w:eastAsia="zh-CN"/>
        </w:rPr>
      </w:pPr>
      <w:bookmarkStart w:id="15" w:name="CALCULATE—XZCFJDS—cfjycxzcfnr"/>
      <w:r>
        <w:rPr>
          <w:rFonts w:hint="eastAsia" w:ascii="仿宋_GB2312" w:hAnsi="仿宋_GB2312" w:eastAsia="仿宋_GB2312" w:cs="仿宋_GB2312"/>
          <w:b w:val="0"/>
          <w:color w:val="000000"/>
          <w:sz w:val="32"/>
          <w:u w:val="none" w:color="auto"/>
        </w:rPr>
        <w:t>1、没收《财物清单》（文书编号：融水市监强制〔2026〕15号）中所列物品；</w:t>
      </w:r>
      <w:r>
        <w:rPr>
          <w:rFonts w:hint="eastAsia" w:ascii="仿宋_GB2312" w:hAnsi="仿宋_GB2312" w:eastAsia="仿宋_GB2312" w:cs="仿宋_GB2312"/>
          <w:b w:val="0"/>
          <w:color w:val="000000"/>
          <w:sz w:val="32"/>
          <w:u w:val="none" w:color="auto"/>
        </w:rPr>
        <w:br w:type="textWrapping"/>
      </w:r>
      <w:r>
        <w:rPr>
          <w:rFonts w:hint="eastAsia" w:ascii="仿宋_GB2312" w:hAnsi="仿宋_GB2312" w:eastAsia="仿宋_GB2312" w:cs="仿宋_GB2312"/>
          <w:b w:val="0"/>
          <w:color w:val="000000"/>
          <w:sz w:val="32"/>
          <w:u w:val="none" w:color="auto"/>
          <w:lang w:eastAsia="zh-CN"/>
        </w:rPr>
        <w:t>　　</w:t>
      </w:r>
      <w:r>
        <w:rPr>
          <w:rFonts w:hint="eastAsia" w:ascii="仿宋_GB2312" w:hAnsi="仿宋_GB2312" w:eastAsia="仿宋_GB2312" w:cs="仿宋_GB2312"/>
          <w:b w:val="0"/>
          <w:color w:val="000000"/>
          <w:sz w:val="32"/>
          <w:u w:val="none" w:color="auto"/>
        </w:rPr>
        <w:t>2、罚款</w:t>
      </w:r>
      <w:r>
        <w:rPr>
          <w:rFonts w:hint="eastAsia" w:ascii="仿宋_GB2312" w:hAnsi="仿宋_GB2312" w:eastAsia="仿宋_GB2312" w:cs="仿宋_GB2312"/>
          <w:b w:val="0"/>
          <w:color w:val="000000"/>
          <w:sz w:val="32"/>
          <w:u w:val="none" w:color="auto"/>
          <w:lang w:eastAsia="zh-CN"/>
        </w:rPr>
        <w:t>人民币</w:t>
      </w:r>
      <w:r>
        <w:rPr>
          <w:rFonts w:hint="eastAsia" w:ascii="仿宋_GB2312" w:hAnsi="仿宋_GB2312" w:eastAsia="仿宋_GB2312" w:cs="仿宋_GB2312"/>
          <w:b w:val="0"/>
          <w:color w:val="000000"/>
          <w:sz w:val="32"/>
          <w:u w:val="none" w:color="auto"/>
        </w:rPr>
        <w:t>壹万元整（¥10000.00元）。</w:t>
      </w:r>
      <w:bookmarkEnd w:id="15"/>
      <w:r>
        <w:rPr>
          <w:rFonts w:hint="eastAsia" w:ascii="仿宋_GB2312" w:hAnsi="仿宋_GB2312" w:eastAsia="仿宋_GB2312" w:cs="仿宋_GB2312"/>
          <w:b w:val="0"/>
          <w:bCs/>
          <w:color w:val="000000"/>
          <w:sz w:val="32"/>
          <w:szCs w:val="32"/>
          <w:u w:val="none" w:color="auto"/>
          <w:lang w:val="en-US" w:eastAsia="zh-CN"/>
        </w:rPr>
        <w:t xml:space="preserve">  </w:t>
      </w:r>
    </w:p>
    <w:p w14:paraId="3DB5230B">
      <w:pPr>
        <w:keepNext w:val="0"/>
        <w:keepLines w:val="0"/>
        <w:pageBreakBefore w:val="0"/>
        <w:widowControl/>
        <w:tabs>
          <w:tab w:val="left" w:pos="3730"/>
        </w:tabs>
        <w:kinsoku/>
        <w:wordWrap/>
        <w:overflowPunct/>
        <w:topLinePunct/>
        <w:autoSpaceDE w:val="0"/>
        <w:bidi w:val="0"/>
        <w:adjustRightInd w:val="0"/>
        <w:snapToGrid/>
        <w:spacing w:line="540" w:lineRule="exact"/>
        <w:ind w:firstLine="640" w:firstLineChars="200"/>
        <w:jc w:val="both"/>
        <w:textAlignment w:val="baseline"/>
        <w:rPr>
          <w:rFonts w:hint="eastAsia" w:ascii="仿宋_GB2312" w:hAnsi="仿宋_GB2312" w:eastAsia="仿宋_GB2312" w:cs="仿宋_GB2312"/>
          <w:b w:val="0"/>
          <w:bCs/>
          <w:color w:val="auto"/>
          <w:kern w:val="1"/>
          <w:sz w:val="32"/>
          <w:szCs w:val="32"/>
          <w:u w:val="none" w:color="auto"/>
          <w:lang w:val="en-US" w:eastAsia="zh-CN" w:bidi="ar-SA"/>
        </w:rPr>
      </w:pPr>
      <w:r>
        <w:rPr>
          <w:rFonts w:hint="eastAsia" w:ascii="仿宋_GB2312" w:hAnsi="仿宋_GB2312" w:eastAsia="仿宋_GB2312" w:cs="仿宋_GB2312"/>
          <w:b w:val="0"/>
          <w:bCs/>
          <w:color w:val="000000"/>
          <w:kern w:val="1"/>
          <w:sz w:val="32"/>
          <w:szCs w:val="32"/>
          <w:u w:val="none" w:color="auto"/>
          <w:lang w:val="en-US" w:eastAsia="zh-CN" w:bidi="ar-SA"/>
        </w:rPr>
        <w:t>当事人应当自收到本行政处罚决定之日起十五日内到融水苗族自治县市场监督管理局财务股开具《广西壮族自治区非税收入电子缴款通知书》，持此缴款通知书到相应银行缴纳罚没款。到期不缴纳罚款的，依据《中华人民共和国行政处罚法》第七十二条的规定，本局将每日按罚款数额的百分之三加处罚款，并依法申请人民法院强制执行。</w:t>
      </w:r>
    </w:p>
    <w:p w14:paraId="5A991027">
      <w:pPr>
        <w:pStyle w:val="3"/>
        <w:keepNext w:val="0"/>
        <w:keepLines w:val="0"/>
        <w:pageBreakBefore w:val="0"/>
        <w:widowControl w:val="0"/>
        <w:tabs>
          <w:tab w:val="left" w:pos="8395"/>
        </w:tabs>
        <w:kinsoku/>
        <w:wordWrap w:val="0"/>
        <w:overflowPunct/>
        <w:topLinePunct w:val="0"/>
        <w:autoSpaceDE w:val="0"/>
        <w:autoSpaceDN w:val="0"/>
        <w:bidi w:val="0"/>
        <w:adjustRightInd w:val="0"/>
        <w:snapToGrid/>
        <w:spacing w:line="560" w:lineRule="exact"/>
        <w:ind w:left="0" w:right="0" w:rightChars="0" w:firstLine="640" w:firstLineChars="200"/>
        <w:jc w:val="both"/>
        <w:textAlignment w:val="auto"/>
        <w:rPr>
          <w:rFonts w:hint="default" w:ascii="Times New Roman" w:eastAsia="仿宋_GB2312" w:cs="仿宋_GB2312"/>
          <w:b w:val="0"/>
          <w:bCs/>
          <w:color w:val="auto"/>
          <w:u w:val="none" w:color="auto"/>
          <w:lang w:val="en-US" w:eastAsia="zh-CN"/>
        </w:rPr>
      </w:pPr>
      <w:r>
        <w:rPr>
          <w:rFonts w:hint="eastAsia" w:ascii="仿宋_GB2312" w:hAnsi="仿宋_GB2312" w:eastAsia="仿宋_GB2312" w:cs="仿宋_GB2312"/>
          <w:b w:val="0"/>
          <w:bCs/>
          <w:color w:val="000000"/>
          <w:kern w:val="1"/>
          <w:sz w:val="32"/>
          <w:szCs w:val="32"/>
          <w:u w:val="none" w:color="auto"/>
          <w:lang w:val="en-US" w:eastAsia="zh-CN" w:bidi="ar-SA"/>
        </w:rPr>
        <w:t>当事人如不服本行政处罚决定，可以在收到本行政处罚决定书之日起六十日内融水苗族自治县人民政府申请行政复议；也可在六个月内依法向柳州市柳北区人民法院提起行政诉讼。申请行政复议或者提起行政诉讼期间，行政处罚不停止执行。</w:t>
      </w:r>
    </w:p>
    <w:p w14:paraId="0CDA4976">
      <w:pPr>
        <w:pStyle w:val="3"/>
        <w:keepNext w:val="0"/>
        <w:keepLines w:val="0"/>
        <w:pageBreakBefore w:val="0"/>
        <w:widowControl w:val="0"/>
        <w:tabs>
          <w:tab w:val="left" w:pos="8395"/>
        </w:tabs>
        <w:kinsoku/>
        <w:wordWrap w:val="0"/>
        <w:overflowPunct/>
        <w:topLinePunct w:val="0"/>
        <w:autoSpaceDE w:val="0"/>
        <w:autoSpaceDN w:val="0"/>
        <w:bidi w:val="0"/>
        <w:adjustRightInd w:val="0"/>
        <w:snapToGrid/>
        <w:spacing w:line="520" w:lineRule="exact"/>
        <w:ind w:firstLine="640" w:firstLineChars="200"/>
        <w:textAlignment w:val="auto"/>
        <w:rPr>
          <w:rFonts w:hint="default" w:ascii="Times New Roman" w:eastAsia="仿宋_GB2312" w:cs="仿宋_GB2312"/>
          <w:b w:val="0"/>
          <w:bCs/>
          <w:color w:val="auto"/>
          <w:u w:val="none" w:color="auto"/>
          <w:lang w:val="en-US" w:eastAsia="zh-CN"/>
        </w:rPr>
      </w:pPr>
    </w:p>
    <w:p w14:paraId="4C0502C0">
      <w:pPr>
        <w:widowControl/>
        <w:snapToGrid w:val="0"/>
        <w:spacing w:line="520" w:lineRule="exact"/>
        <w:jc w:val="left"/>
        <w:rPr>
          <w:rFonts w:ascii="Times New Roman" w:hAnsi="Times New Roman" w:eastAsia="仿宋_GB2312" w:cs="仿宋_GB2312"/>
          <w:color w:val="auto"/>
          <w:sz w:val="32"/>
          <w:szCs w:val="32"/>
        </w:rPr>
      </w:pPr>
    </w:p>
    <w:p w14:paraId="7B45F4CD">
      <w:pPr>
        <w:widowControl/>
        <w:snapToGrid w:val="0"/>
        <w:spacing w:line="520" w:lineRule="exact"/>
        <w:ind w:firstLine="6240" w:firstLineChars="1950"/>
        <w:jc w:val="left"/>
        <w:rPr>
          <w:rFonts w:hint="eastAsia" w:ascii="Times New Roman" w:hAnsi="Times New Roman" w:eastAsia="仿宋_GB2312" w:cs="仿宋_GB2312"/>
          <w:color w:val="auto"/>
          <w:sz w:val="32"/>
          <w:szCs w:val="32"/>
          <w:lang w:val="en-US" w:eastAsia="zh-Hans"/>
        </w:rPr>
      </w:pPr>
    </w:p>
    <w:p w14:paraId="03E79F59">
      <w:pPr>
        <w:spacing w:line="560" w:lineRule="exact"/>
        <w:ind w:right="640" w:firstLine="601"/>
        <w:jc w:val="right"/>
        <w:rPr>
          <w:rFonts w:ascii="Times New Roman" w:hAnsi="Times New Roman" w:eastAsia="仿宋_GB2312" w:cs="仿宋"/>
          <w:color w:val="auto"/>
          <w:sz w:val="32"/>
          <w:szCs w:val="32"/>
        </w:rPr>
      </w:pPr>
      <w:bookmarkStart w:id="16" w:name="DYNAMIC—DWXX—tAj_dwmc—2"/>
      <w:r>
        <w:rPr>
          <w:rFonts w:hint="eastAsia" w:ascii="Times New Roman" w:hAnsi="Times New Roman" w:eastAsia="仿宋_GB2312" w:cs="仿宋"/>
          <w:color w:val="000000"/>
          <w:sz w:val="32"/>
          <w:u w:val="none"/>
        </w:rPr>
        <w:t>融水苗族自治县市场监督管理局</w:t>
      </w:r>
      <w:bookmarkEnd w:id="16"/>
      <w:r>
        <w:rPr>
          <w:rFonts w:hint="eastAsia" w:ascii="Times New Roman" w:hAnsi="Times New Roman" w:eastAsia="仿宋_GB2312" w:cs="仿宋"/>
          <w:color w:val="000000"/>
          <w:sz w:val="32"/>
          <w:szCs w:val="32"/>
          <w:u w:val="none"/>
        </w:rPr>
        <w:t xml:space="preserve">    </w:t>
      </w:r>
    </w:p>
    <w:p w14:paraId="344EC145">
      <w:pPr>
        <w:spacing w:line="560" w:lineRule="exact"/>
        <w:ind w:right="640" w:firstLine="601"/>
        <w:jc w:val="right"/>
        <w:outlineLvl w:val="1"/>
        <w:rPr>
          <w:rFonts w:ascii="Times New Roman" w:hAnsi="Times New Roman" w:eastAsia="仿宋_GB2312" w:cs="仿宋"/>
          <w:color w:val="auto"/>
          <w:sz w:val="32"/>
          <w:szCs w:val="32"/>
        </w:rPr>
      </w:pPr>
      <w:r>
        <w:rPr>
          <w:rFonts w:hint="eastAsia" w:ascii="Times New Roman" w:hAnsi="Times New Roman" w:eastAsia="仿宋_GB2312" w:cs="仿宋"/>
          <w:color w:val="000000"/>
          <w:sz w:val="32"/>
          <w:szCs w:val="32"/>
          <w:u w:val="none"/>
        </w:rPr>
        <w:t>（印 章）</w:t>
      </w:r>
    </w:p>
    <w:p w14:paraId="4E593318">
      <w:pPr>
        <w:keepNext w:val="0"/>
        <w:keepLines w:val="0"/>
        <w:pageBreakBefore w:val="0"/>
        <w:widowControl w:val="0"/>
        <w:kinsoku/>
        <w:wordWrap/>
        <w:overflowPunct/>
        <w:topLinePunct w:val="0"/>
        <w:autoSpaceDE/>
        <w:autoSpaceDN/>
        <w:bidi w:val="0"/>
        <w:adjustRightInd/>
        <w:snapToGrid/>
        <w:spacing w:line="560" w:lineRule="exact"/>
        <w:ind w:left="0" w:leftChars="0" w:right="630" w:rightChars="300" w:firstLine="600" w:firstLineChars="0"/>
        <w:jc w:val="right"/>
        <w:textAlignment w:val="auto"/>
        <w:outlineLvl w:val="9"/>
        <w:rPr>
          <w:rFonts w:ascii="Times New Roman" w:hAnsi="Times New Roman" w:eastAsia="仿宋_GB2312" w:cs="仿宋_GB2312"/>
          <w:color w:val="auto"/>
          <w:sz w:val="32"/>
          <w:szCs w:val="32"/>
        </w:rPr>
      </w:pPr>
      <w:bookmarkStart w:id="17" w:name="CALCULATE—TIME—NOW"/>
      <w:r>
        <w:rPr>
          <w:rFonts w:ascii="仿宋_GB2312" w:hAnsi="仿宋_GB2312" w:eastAsia="仿宋_GB2312" w:cs="仿宋_GB2312"/>
          <w:sz w:val="32"/>
        </w:rPr>
        <w:t>2026年06月12日</w:t>
      </w:r>
      <w:bookmarkEnd w:id="17"/>
      <w:r>
        <w:rPr>
          <w:rFonts w:hint="eastAsia" w:ascii="Times New Roman" w:hAnsi="Times New Roman" w:eastAsia="仿宋_GB2312" w:cs="仿宋_GB2312"/>
          <w:color w:val="000000"/>
          <w:sz w:val="32"/>
          <w:szCs w:val="32"/>
          <w:u w:val="none"/>
        </w:rPr>
        <w:t xml:space="preserve">  </w:t>
      </w:r>
    </w:p>
    <w:p w14:paraId="794549D7">
      <w:pPr>
        <w:widowControl/>
        <w:snapToGrid w:val="0"/>
        <w:spacing w:line="520" w:lineRule="exact"/>
        <w:jc w:val="right"/>
        <w:rPr>
          <w:rFonts w:ascii="Times New Roman" w:hAnsi="Times New Roman" w:eastAsia="仿宋_GB2312" w:cs="Mongolian Baiti"/>
          <w:color w:val="auto"/>
          <w:sz w:val="32"/>
          <w:szCs w:val="32"/>
        </w:rPr>
      </w:pPr>
    </w:p>
    <w:p w14:paraId="7EA24817">
      <w:pPr>
        <w:pStyle w:val="3"/>
        <w:spacing w:before="1"/>
        <w:ind w:left="163"/>
        <w:rPr>
          <w:rFonts w:ascii="Times New Roman" w:hAnsi="Times New Roman" w:eastAsia="仿宋_GB2312" w:cs="仿宋"/>
          <w:bCs/>
          <w:color w:val="auto"/>
          <w:sz w:val="44"/>
          <w:szCs w:val="44"/>
        </w:rPr>
      </w:pPr>
      <w:r>
        <w:rPr>
          <w:rFonts w:ascii="Times New Roman" w:hAnsi="Times New Roman" w:eastAsia="仿宋_GB2312"/>
          <w:color w:val="000000"/>
          <w:sz w:val="32"/>
          <w:u w:val="none"/>
        </w:rPr>
        <mc:AlternateContent>
          <mc:Choice Requires="wps">
            <w:drawing>
              <wp:anchor distT="0" distB="0" distL="114300" distR="114300" simplePos="0" relativeHeight="251661312" behindDoc="0" locked="0" layoutInCell="1" allowOverlap="1">
                <wp:simplePos x="0" y="0"/>
                <wp:positionH relativeFrom="column">
                  <wp:posOffset>27305</wp:posOffset>
                </wp:positionH>
                <wp:positionV relativeFrom="paragraph">
                  <wp:posOffset>396875</wp:posOffset>
                </wp:positionV>
                <wp:extent cx="5550535" cy="635"/>
                <wp:effectExtent l="0" t="0" r="0" b="0"/>
                <wp:wrapNone/>
                <wp:docPr id="14" name="直接连接符 14"/>
                <wp:cNvGraphicFramePr/>
                <a:graphic xmlns:a="http://schemas.openxmlformats.org/drawingml/2006/main">
                  <a:graphicData uri="http://schemas.microsoft.com/office/word/2010/wordprocessingShape">
                    <wps:wsp>
                      <wps:cNvCnPr/>
                      <wps:spPr>
                        <a:xfrm>
                          <a:off x="0" y="0"/>
                          <a:ext cx="5550535" cy="635"/>
                        </a:xfrm>
                        <a:prstGeom prst="line">
                          <a:avLst/>
                        </a:prstGeom>
                        <a:ln w="1587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2.15pt;margin-top:31.25pt;height:0.05pt;width:437.05pt;z-index:251661312;mso-width-relative:page;mso-height-relative:page;" filled="f" stroked="t" coordsize="21600,21600" o:gfxdata="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d&#10;1F2Z1gAAAAcBAAAPAAAAAAAAAAEAIAAAACIAAABkcnMvZG93bnJldi54bWxQSwECFAAUAAAACACH&#10;TuJAlk3HAe0BAADdAwAADgAAAAAAAAABACAAAAAlAQAAZHJzL2Uyb0RvYy54bWxQSwUGAAAAAAYA&#10;BgBZAQAAhAUAAAAA&#10;">
                <v:fill on="f" focussize="0,0"/>
                <v:stroke weight="1.25pt" color="#000000" joinstyle="round"/>
                <v:imagedata o:title=""/>
                <o:lock v:ext="edit" aspectratio="f"/>
              </v:line>
            </w:pict>
          </mc:Fallback>
        </mc:AlternateContent>
      </w:r>
      <w:r>
        <w:rPr>
          <w:rFonts w:hint="eastAsia" w:ascii="黑体" w:hAnsi="黑体" w:eastAsia="黑体"/>
          <w:color w:val="000000"/>
          <w:spacing w:val="-16"/>
          <w:u w:val="none"/>
        </w:rPr>
        <w:t>（市场监督管理部门将依法向社会公开行政处罚决定信息）</w:t>
      </w:r>
    </w:p>
    <w:p w14:paraId="6BA376F7">
      <w:pPr>
        <w:spacing w:line="500" w:lineRule="exact"/>
        <w:rPr>
          <w:color w:val="auto"/>
        </w:rPr>
      </w:pPr>
      <w:r>
        <w:rPr>
          <w:rFonts w:hint="eastAsia" w:ascii="Times New Roman" w:hAnsi="Times New Roman" w:eastAsia="仿宋_GB2312" w:cs="仿宋"/>
          <w:color w:val="000000"/>
          <w:sz w:val="32"/>
          <w:szCs w:val="32"/>
          <w:u w:val="none" w:color="auto"/>
        </w:rPr>
        <w:t>本文书一式</w:t>
      </w:r>
      <w:r>
        <w:rPr>
          <w:rFonts w:hint="eastAsia" w:ascii="Times New Roman" w:hAnsi="Times New Roman" w:eastAsia="仿宋_GB2312" w:cs="仿宋"/>
          <w:color w:val="000000"/>
          <w:sz w:val="32"/>
          <w:szCs w:val="32"/>
          <w:u w:val="none" w:color="auto"/>
          <w:lang w:val="en-US" w:eastAsia="zh-CN"/>
        </w:rPr>
        <w:t>二</w:t>
      </w:r>
      <w:r>
        <w:rPr>
          <w:rFonts w:hint="eastAsia" w:ascii="Times New Roman" w:hAnsi="Times New Roman" w:eastAsia="仿宋_GB2312" w:cs="仿宋"/>
          <w:color w:val="000000"/>
          <w:sz w:val="32"/>
          <w:szCs w:val="32"/>
          <w:u w:val="none" w:color="auto"/>
        </w:rPr>
        <w:t>份，</w:t>
      </w:r>
      <w:r>
        <w:rPr>
          <w:rFonts w:hint="eastAsia" w:ascii="Times New Roman" w:hAnsi="Times New Roman" w:eastAsia="仿宋_GB2312" w:cs="仿宋"/>
          <w:color w:val="000000"/>
          <w:sz w:val="32"/>
          <w:szCs w:val="32"/>
          <w:u w:val="none" w:color="auto"/>
          <w:lang w:val="en-US" w:eastAsia="zh-CN"/>
        </w:rPr>
        <w:t>一</w:t>
      </w:r>
      <w:r>
        <w:rPr>
          <w:rFonts w:hint="eastAsia" w:ascii="Times New Roman" w:hAnsi="Times New Roman" w:eastAsia="仿宋_GB2312" w:cs="仿宋"/>
          <w:color w:val="000000"/>
          <w:sz w:val="32"/>
          <w:szCs w:val="32"/>
          <w:u w:val="none" w:color="auto"/>
        </w:rPr>
        <w:t>份送达，一份归档。</w:t>
      </w:r>
      <w:r>
        <w:rPr>
          <w:rFonts w:ascii="Times New Roman" w:hAnsi="Times New Roman" w:eastAsia="仿宋_GB2312" w:cs="仿宋"/>
          <w:bCs/>
          <w:color w:val="000000"/>
          <w:sz w:val="32"/>
          <w:szCs w:val="32"/>
          <w:u w:val="none"/>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20807045</wp:posOffset>
                </wp:positionV>
                <wp:extent cx="5762625" cy="1270"/>
                <wp:effectExtent l="0" t="0" r="0" b="0"/>
                <wp:wrapNone/>
                <wp:docPr id="13" name="直接连接符 13"/>
                <wp:cNvGraphicFramePr/>
                <a:graphic xmlns:a="http://schemas.openxmlformats.org/drawingml/2006/main">
                  <a:graphicData uri="http://schemas.microsoft.com/office/word/2010/wordprocessingShape">
                    <wps:wsp>
                      <wps:cNvCnPr/>
                      <wps:spPr>
                        <a:xfrm>
                          <a:off x="0" y="0"/>
                          <a:ext cx="5762625" cy="1270"/>
                        </a:xfrm>
                        <a:prstGeom prst="line">
                          <a:avLst/>
                        </a:prstGeom>
                        <a:ln w="9360" cap="sq"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0pt;margin-top:1638.35pt;height:0.1pt;width:453.75pt;z-index:251660288;mso-width-relative:page;mso-height-relative:page;" filled="f" stroked="t" coordsize="21600,21600" o:gfxdata="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Ivv85HXAAAACgEAAA8AAAAAAAAAAQAgAAAAIgAAAGRycy9kb3ducmV2LnhtbFBLAQIUABQA&#10;AAAIAIdO4kAJ1svO8QEAANsDAAAOAAAAAAAAAAEAIAAAACYBAABkcnMvZTJvRG9jLnhtbFBLBQYA&#10;AAAABgAGAFkBAACJBQAAAAA=&#10;">
                <v:fill on="f" focussize="0,0"/>
                <v:stroke weight="0.737007874015748pt" color="#000000" joinstyle="round" endcap="square"/>
                <v:imagedata o:title=""/>
                <o:lock v:ext="edit" aspectratio="f"/>
              </v:line>
            </w:pict>
          </mc:Fallback>
        </mc:AlternateConten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angal">
    <w:altName w:val="DejaVu Math TeX Gyre"/>
    <w:panose1 w:val="02040503050203030202"/>
    <w:charset w:val="00"/>
    <w:family w:val="roman"/>
    <w:pitch w:val="default"/>
    <w:sig w:usb0="00000000" w:usb1="00000000" w:usb2="00000000" w:usb3="00000000" w:csb0="00000001" w:csb1="00000000"/>
  </w:font>
  <w:font w:name="Arial Unicode MS">
    <w:altName w:val="宋体"/>
    <w:panose1 w:val="020B0604020202020204"/>
    <w:charset w:val="86"/>
    <w:family w:val="auto"/>
    <w:pitch w:val="default"/>
    <w:sig w:usb0="00000000" w:usb1="00000000" w:usb2="0000003F" w:usb3="00000000" w:csb0="603F01FF" w:csb1="FFFF0000"/>
  </w:font>
  <w:font w:name="方正小标宋简体">
    <w:panose1 w:val="02000000000000000000"/>
    <w:charset w:val="86"/>
    <w:family w:val="script"/>
    <w:pitch w:val="default"/>
    <w:sig w:usb0="A00002BF" w:usb1="184F6CFA" w:usb2="00000012"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Mongolian Baiti">
    <w:panose1 w:val="03000500000000000000"/>
    <w:charset w:val="00"/>
    <w:family w:val="script"/>
    <w:pitch w:val="default"/>
    <w:sig w:usb0="80000023" w:usb1="00000000" w:usb2="00020000" w:usb3="00000000" w:csb0="0000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D566FF">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6CC939">
                          <w:pPr>
                            <w:pStyle w:val="4"/>
                            <w:rPr>
                              <w:rFonts w:hint="eastAsia" w:ascii="宋体" w:hAnsi="宋体" w:eastAsia="宋体" w:cs="宋体"/>
                              <w:sz w:val="28"/>
                              <w:szCs w:val="28"/>
                            </w:rPr>
                          </w:pPr>
                          <w:r>
                            <w:rPr>
                              <w:rFonts w:hint="eastAsia" w:ascii="宋体" w:hAnsi="宋体" w:eastAsia="宋体" w:cs="宋体"/>
                              <w:sz w:val="28"/>
                              <w:szCs w:val="28"/>
                            </w:rPr>
                            <w:t xml:space="preserve">第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页 共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NUMPAGES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66CC939">
                    <w:pPr>
                      <w:pStyle w:val="4"/>
                      <w:rPr>
                        <w:rFonts w:hint="eastAsia" w:ascii="宋体" w:hAnsi="宋体" w:eastAsia="宋体" w:cs="宋体"/>
                        <w:sz w:val="28"/>
                        <w:szCs w:val="28"/>
                      </w:rPr>
                    </w:pPr>
                    <w:r>
                      <w:rPr>
                        <w:rFonts w:hint="eastAsia" w:ascii="宋体" w:hAnsi="宋体" w:eastAsia="宋体" w:cs="宋体"/>
                        <w:sz w:val="28"/>
                        <w:szCs w:val="28"/>
                      </w:rPr>
                      <w:t xml:space="preserve">第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页 共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NUMPAGES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8"/>
    <w:multiLevelType w:val="multilevel"/>
    <w:tmpl w:val="00000008"/>
    <w:lvl w:ilvl="0" w:tentative="0">
      <w:start w:val="1"/>
      <w:numFmt w:val="none"/>
      <w:suff w:val="nothing"/>
      <w:lvlText w:val=""/>
      <w:lvlJc w:val="left"/>
      <w:pPr>
        <w:tabs>
          <w:tab w:val="left" w:pos="0"/>
        </w:tabs>
        <w:ind w:left="0" w:firstLine="0"/>
      </w:pPr>
    </w:lvl>
    <w:lvl w:ilvl="1" w:tentative="0">
      <w:start w:val="1"/>
      <w:numFmt w:val="none"/>
      <w:suff w:val="nothing"/>
      <w:lvlText w:val=""/>
      <w:lvlJc w:val="left"/>
      <w:pPr>
        <w:tabs>
          <w:tab w:val="left" w:pos="0"/>
        </w:tabs>
        <w:ind w:left="0" w:firstLine="0"/>
      </w:pPr>
    </w:lvl>
    <w:lvl w:ilvl="2" w:tentative="0">
      <w:start w:val="1"/>
      <w:numFmt w:val="none"/>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abstractNum w:abstractNumId="1">
    <w:nsid w:val="0000000A"/>
    <w:multiLevelType w:val="multilevel"/>
    <w:tmpl w:val="0000000A"/>
    <w:lvl w:ilvl="0" w:tentative="0">
      <w:start w:val="1"/>
      <w:numFmt w:val="none"/>
      <w:pStyle w:val="2"/>
      <w:suff w:val="nothing"/>
      <w:lvlText w:val=""/>
      <w:lvlJc w:val="left"/>
      <w:pPr>
        <w:tabs>
          <w:tab w:val="left" w:pos="0"/>
        </w:tabs>
        <w:ind w:left="0" w:firstLine="0"/>
      </w:pPr>
    </w:lvl>
    <w:lvl w:ilvl="1" w:tentative="0">
      <w:start w:val="1"/>
      <w:numFmt w:val="none"/>
      <w:suff w:val="nothing"/>
      <w:lvlText w:val=""/>
      <w:lvlJc w:val="left"/>
      <w:pPr>
        <w:tabs>
          <w:tab w:val="left" w:pos="0"/>
        </w:tabs>
        <w:ind w:left="0" w:firstLine="0"/>
      </w:pPr>
    </w:lvl>
    <w:lvl w:ilvl="2" w:tentative="0">
      <w:start w:val="1"/>
      <w:numFmt w:val="none"/>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EyM2U5YzI2ZWYzNzA3YjY5MWY2NDE1MjMyNWZjOTUifQ=="/>
    <w:docVar w:name="KSO_WPS_MARK_KEY" w:val="3a570657-d4b9-4633-8bde-b1be1a221b99"/>
  </w:docVars>
  <w:rsids>
    <w:rsidRoot w:val="5BA419F7"/>
    <w:rsid w:val="00193C35"/>
    <w:rsid w:val="0032134F"/>
    <w:rsid w:val="010A478A"/>
    <w:rsid w:val="0279651D"/>
    <w:rsid w:val="02B83402"/>
    <w:rsid w:val="042774DD"/>
    <w:rsid w:val="048D2705"/>
    <w:rsid w:val="04CD463F"/>
    <w:rsid w:val="04FA4431"/>
    <w:rsid w:val="05C51508"/>
    <w:rsid w:val="06476E0A"/>
    <w:rsid w:val="06BAE61F"/>
    <w:rsid w:val="071C7669"/>
    <w:rsid w:val="07580619"/>
    <w:rsid w:val="0776795A"/>
    <w:rsid w:val="07DA78EE"/>
    <w:rsid w:val="08365B64"/>
    <w:rsid w:val="087864F3"/>
    <w:rsid w:val="090B4D3A"/>
    <w:rsid w:val="09290BEC"/>
    <w:rsid w:val="09AA7B69"/>
    <w:rsid w:val="0A2F38BD"/>
    <w:rsid w:val="0A3665F0"/>
    <w:rsid w:val="0B22091D"/>
    <w:rsid w:val="0CF71776"/>
    <w:rsid w:val="0D242541"/>
    <w:rsid w:val="0FB748D6"/>
    <w:rsid w:val="103E22C5"/>
    <w:rsid w:val="11524677"/>
    <w:rsid w:val="115320F9"/>
    <w:rsid w:val="119E3BCA"/>
    <w:rsid w:val="1350279A"/>
    <w:rsid w:val="14203063"/>
    <w:rsid w:val="143E1E38"/>
    <w:rsid w:val="1490670C"/>
    <w:rsid w:val="152E563E"/>
    <w:rsid w:val="15B93156"/>
    <w:rsid w:val="16D23D7F"/>
    <w:rsid w:val="18325353"/>
    <w:rsid w:val="188449CB"/>
    <w:rsid w:val="18B229B2"/>
    <w:rsid w:val="19FE4517"/>
    <w:rsid w:val="1AE345F4"/>
    <w:rsid w:val="1B37398D"/>
    <w:rsid w:val="1C7339BB"/>
    <w:rsid w:val="1C7A5BA8"/>
    <w:rsid w:val="1E664711"/>
    <w:rsid w:val="1EC222D9"/>
    <w:rsid w:val="1F2B5D07"/>
    <w:rsid w:val="1FC004DE"/>
    <w:rsid w:val="1FD31F15"/>
    <w:rsid w:val="212E3259"/>
    <w:rsid w:val="22287087"/>
    <w:rsid w:val="228F54BF"/>
    <w:rsid w:val="237778B4"/>
    <w:rsid w:val="23F5677C"/>
    <w:rsid w:val="24626694"/>
    <w:rsid w:val="258D6CE0"/>
    <w:rsid w:val="26551754"/>
    <w:rsid w:val="27A45517"/>
    <w:rsid w:val="2ADD51FC"/>
    <w:rsid w:val="2B1B3EFC"/>
    <w:rsid w:val="2CEA3815"/>
    <w:rsid w:val="2DE10173"/>
    <w:rsid w:val="2F327E79"/>
    <w:rsid w:val="2F7CE1EF"/>
    <w:rsid w:val="2F8A6913"/>
    <w:rsid w:val="30DB5683"/>
    <w:rsid w:val="30FA2F6D"/>
    <w:rsid w:val="31562B39"/>
    <w:rsid w:val="31BE0AF5"/>
    <w:rsid w:val="31C6519A"/>
    <w:rsid w:val="32CE76E8"/>
    <w:rsid w:val="3334290F"/>
    <w:rsid w:val="33740640"/>
    <w:rsid w:val="33A2330C"/>
    <w:rsid w:val="3585615B"/>
    <w:rsid w:val="363C12E3"/>
    <w:rsid w:val="368E5656"/>
    <w:rsid w:val="377FBB27"/>
    <w:rsid w:val="37F16547"/>
    <w:rsid w:val="38B63DA7"/>
    <w:rsid w:val="3930619F"/>
    <w:rsid w:val="3A4E178D"/>
    <w:rsid w:val="3BF97ECA"/>
    <w:rsid w:val="3C2965F0"/>
    <w:rsid w:val="3D6B1177"/>
    <w:rsid w:val="3E5F4AE1"/>
    <w:rsid w:val="3E853745"/>
    <w:rsid w:val="3F2604DF"/>
    <w:rsid w:val="3F6783E4"/>
    <w:rsid w:val="3F842066"/>
    <w:rsid w:val="3FFF82D4"/>
    <w:rsid w:val="402E7C06"/>
    <w:rsid w:val="40FE5F8F"/>
    <w:rsid w:val="425049CE"/>
    <w:rsid w:val="442B16EC"/>
    <w:rsid w:val="458F64B9"/>
    <w:rsid w:val="45C51FFB"/>
    <w:rsid w:val="46157ACD"/>
    <w:rsid w:val="47243FC5"/>
    <w:rsid w:val="48C10000"/>
    <w:rsid w:val="4A555101"/>
    <w:rsid w:val="4ADF49AE"/>
    <w:rsid w:val="4B8F0B22"/>
    <w:rsid w:val="4C02380F"/>
    <w:rsid w:val="4C7C04B3"/>
    <w:rsid w:val="4CC8271B"/>
    <w:rsid w:val="4D9306AE"/>
    <w:rsid w:val="4E8950D9"/>
    <w:rsid w:val="4F722566"/>
    <w:rsid w:val="4F93378A"/>
    <w:rsid w:val="503F09B5"/>
    <w:rsid w:val="516D5500"/>
    <w:rsid w:val="52802336"/>
    <w:rsid w:val="53A0483E"/>
    <w:rsid w:val="547C0750"/>
    <w:rsid w:val="55FE5622"/>
    <w:rsid w:val="57503162"/>
    <w:rsid w:val="58A4140A"/>
    <w:rsid w:val="591F0542"/>
    <w:rsid w:val="59A10938"/>
    <w:rsid w:val="5BA419F7"/>
    <w:rsid w:val="5BEF1DBF"/>
    <w:rsid w:val="5BF91583"/>
    <w:rsid w:val="5BFB2E57"/>
    <w:rsid w:val="5C5D2BD9"/>
    <w:rsid w:val="5DD7483B"/>
    <w:rsid w:val="5E5FAB03"/>
    <w:rsid w:val="5E605C94"/>
    <w:rsid w:val="5EA00CBE"/>
    <w:rsid w:val="5F9FEDD5"/>
    <w:rsid w:val="5FBEF003"/>
    <w:rsid w:val="5FE33914"/>
    <w:rsid w:val="5FFA4D85"/>
    <w:rsid w:val="602422E6"/>
    <w:rsid w:val="60B635F2"/>
    <w:rsid w:val="60C16F3B"/>
    <w:rsid w:val="612E7E8C"/>
    <w:rsid w:val="617678F3"/>
    <w:rsid w:val="61DC2B1A"/>
    <w:rsid w:val="636955DE"/>
    <w:rsid w:val="646E5E05"/>
    <w:rsid w:val="64E43803"/>
    <w:rsid w:val="657F58CB"/>
    <w:rsid w:val="66934D57"/>
    <w:rsid w:val="678270B4"/>
    <w:rsid w:val="67B36358"/>
    <w:rsid w:val="6AD7030F"/>
    <w:rsid w:val="6BA277B7"/>
    <w:rsid w:val="6BCC1BB9"/>
    <w:rsid w:val="6C6723F1"/>
    <w:rsid w:val="6CA517CF"/>
    <w:rsid w:val="6D064CEC"/>
    <w:rsid w:val="6D6C7F13"/>
    <w:rsid w:val="6D923254"/>
    <w:rsid w:val="6DD2313B"/>
    <w:rsid w:val="6E04767D"/>
    <w:rsid w:val="6E355D52"/>
    <w:rsid w:val="6E6950E9"/>
    <w:rsid w:val="6ED952C0"/>
    <w:rsid w:val="6F013B3F"/>
    <w:rsid w:val="6F732ABB"/>
    <w:rsid w:val="6FF58B64"/>
    <w:rsid w:val="6FF8F863"/>
    <w:rsid w:val="70CF02CA"/>
    <w:rsid w:val="70F532B7"/>
    <w:rsid w:val="71013020"/>
    <w:rsid w:val="710D7C3E"/>
    <w:rsid w:val="71FC56E7"/>
    <w:rsid w:val="7376089F"/>
    <w:rsid w:val="74E06ABE"/>
    <w:rsid w:val="75B2DA43"/>
    <w:rsid w:val="75BD90DB"/>
    <w:rsid w:val="75CC41D0"/>
    <w:rsid w:val="75F8119D"/>
    <w:rsid w:val="76222141"/>
    <w:rsid w:val="76704CDE"/>
    <w:rsid w:val="76D869B3"/>
    <w:rsid w:val="76FD0A98"/>
    <w:rsid w:val="77DF8BD4"/>
    <w:rsid w:val="77EFD5CC"/>
    <w:rsid w:val="77FFADAC"/>
    <w:rsid w:val="7835649C"/>
    <w:rsid w:val="789620E4"/>
    <w:rsid w:val="78FD530C"/>
    <w:rsid w:val="7AFB4DD2"/>
    <w:rsid w:val="7B0F6E9A"/>
    <w:rsid w:val="7BA46A39"/>
    <w:rsid w:val="7BFD6076"/>
    <w:rsid w:val="7C8E43D6"/>
    <w:rsid w:val="7DA813EB"/>
    <w:rsid w:val="7DFF108F"/>
    <w:rsid w:val="7EED8AE6"/>
    <w:rsid w:val="7F0A1EF1"/>
    <w:rsid w:val="7F5A6980"/>
    <w:rsid w:val="7FEADF5C"/>
    <w:rsid w:val="91BF8AB9"/>
    <w:rsid w:val="9FF1B21D"/>
    <w:rsid w:val="B7BFD803"/>
    <w:rsid w:val="BD5EB179"/>
    <w:rsid w:val="BD7F788E"/>
    <w:rsid w:val="DEFF1EB3"/>
    <w:rsid w:val="DF3F4C88"/>
    <w:rsid w:val="DF7A9960"/>
    <w:rsid w:val="DFBF15D5"/>
    <w:rsid w:val="DFD70EC8"/>
    <w:rsid w:val="DFFE6C63"/>
    <w:rsid w:val="E53DE605"/>
    <w:rsid w:val="E775D448"/>
    <w:rsid w:val="ECC7B000"/>
    <w:rsid w:val="F0ED2927"/>
    <w:rsid w:val="F3EF5848"/>
    <w:rsid w:val="F5A28C7E"/>
    <w:rsid w:val="F9BF6AE4"/>
    <w:rsid w:val="FB57F652"/>
    <w:rsid w:val="FBBF88F6"/>
    <w:rsid w:val="FBFEBC90"/>
    <w:rsid w:val="FCF69F69"/>
    <w:rsid w:val="FD7BEF22"/>
    <w:rsid w:val="FD8BB826"/>
    <w:rsid w:val="FD9199D6"/>
    <w:rsid w:val="FDAC17BA"/>
    <w:rsid w:val="FDDF4064"/>
    <w:rsid w:val="FDF46C9E"/>
    <w:rsid w:val="FEAFF630"/>
    <w:rsid w:val="FEDEBCAC"/>
    <w:rsid w:val="FF7F62AA"/>
    <w:rsid w:val="FFDBA3A8"/>
    <w:rsid w:val="FFDF073B"/>
    <w:rsid w:val="FFFE0A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numPr>
        <w:ilvl w:val="0"/>
        <w:numId w:val="1"/>
      </w:numPr>
      <w:spacing w:before="240" w:after="120"/>
      <w:jc w:val="left"/>
      <w:outlineLvl w:val="0"/>
    </w:pPr>
    <w:rPr>
      <w:rFonts w:ascii="Times New Roman" w:hAnsi="Times New Roman" w:cs="Mangal"/>
      <w:color w:val="00000A"/>
      <w:sz w:val="24"/>
      <w:lang w:val="zh-CN" w:bidi="hi-IN"/>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pPr>
      <w:autoSpaceDE w:val="0"/>
      <w:autoSpaceDN w:val="0"/>
      <w:adjustRightInd w:val="0"/>
      <w:jc w:val="left"/>
    </w:pPr>
    <w:rPr>
      <w:rFonts w:ascii="Arial Unicode MS" w:hAnsi="Times New Roman" w:eastAsia="Arial Unicode MS"/>
      <w:kern w:val="0"/>
      <w:sz w:val="32"/>
      <w:szCs w:val="32"/>
    </w:rPr>
  </w:style>
  <w:style w:type="paragraph" w:styleId="4">
    <w:name w:val="footer"/>
    <w:basedOn w:val="1"/>
    <w:unhideWhenUsed/>
    <w:qFormat/>
    <w:uiPriority w:val="99"/>
    <w:pPr>
      <w:tabs>
        <w:tab w:val="center" w:pos="4153"/>
        <w:tab w:val="right" w:pos="8306"/>
      </w:tabs>
      <w:snapToGrid w:val="0"/>
      <w:jc w:val="left"/>
    </w:pPr>
    <w:rPr>
      <w:rFonts w:ascii="Calibri" w:hAnsi="Calibri" w:eastAsia="宋体" w:cs="Times New Roman"/>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2812</Words>
  <Characters>3119</Characters>
  <Lines>0</Lines>
  <Paragraphs>0</Paragraphs>
  <TotalTime>0</TotalTime>
  <ScaleCrop>false</ScaleCrop>
  <LinksUpToDate>false</LinksUpToDate>
  <CharactersWithSpaces>3494</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2021-08-02T10:04:00Z</dcterms:created>
  <dc:creator>胖林宝宝噜啦噜～</dc:creator>
  <cp:lastModifiedBy>Administrator</cp:lastModifiedBy>
  <dcterms:modified xsi:type="dcterms:W3CDTF">2026-06-25T01:55:35Z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526F4C53292B48849053E71A59849707</vt:lpwstr>
  </property>
  <property fmtid="{D5CDD505-2E9C-101B-9397-08002B2CF9AE}" pid="4" name="KSOTemplateDocerSaveRecord">
    <vt:lpwstr>eyJoZGlkIjoiYjM5ZjgxZjBkODVhYTZhMWNlMzdmZDJlMzA4ZDU4MDgiLCJ1c2VySWQiOiIxMjA0ODM2MTUwIn0=</vt:lpwstr>
  </property>
</Properties>
</file>