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B75A94">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default" w:ascii="方正小标宋简体" w:hAnsi="方正小标宋简体" w:eastAsia="方正小标宋简体" w:cs="方正小标宋简体"/>
          <w:color w:val="000000"/>
          <w:sz w:val="44"/>
          <w:u w:val="none"/>
        </w:rPr>
        <w:t>融水苗族自治县市场监督管理局</w:t>
      </w:r>
      <w:bookmarkEnd w:id="0"/>
    </w:p>
    <w:p w14:paraId="25A62291">
      <w:pPr>
        <w:pStyle w:val="3"/>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000000"/>
          <w:sz w:val="44"/>
          <w:szCs w:val="44"/>
          <w:u w:val="none"/>
          <w:lang w:val="en-US"/>
        </w:rPr>
        <w:t>行政处罚</w:t>
      </w:r>
      <w:r>
        <w:rPr>
          <w:rFonts w:hint="eastAsia" w:hAnsi="方正小标宋简体" w:eastAsia="方正小标宋简体" w:cs="方正小标宋简体"/>
          <w:color w:val="000000"/>
          <w:sz w:val="44"/>
          <w:szCs w:val="44"/>
          <w:u w:val="none"/>
          <w:lang w:val="en-US" w:eastAsia="zh-Hans"/>
        </w:rPr>
        <w:t>决定</w:t>
      </w:r>
      <w:r>
        <w:rPr>
          <w:rFonts w:hint="eastAsia" w:hAnsi="方正小标宋简体" w:eastAsia="方正小标宋简体" w:cs="方正小标宋简体"/>
          <w:color w:val="000000"/>
          <w:sz w:val="44"/>
          <w:szCs w:val="44"/>
          <w:u w:val="none"/>
          <w:lang w:val="en-US"/>
        </w:rPr>
        <w:t>书</w:t>
      </w:r>
      <w:bookmarkEnd w:id="1"/>
    </w:p>
    <w:p w14:paraId="02D98B21">
      <w:pPr>
        <w:widowControl/>
        <w:snapToGrid w:val="0"/>
        <w:spacing w:line="560" w:lineRule="exact"/>
        <w:ind w:right="55"/>
        <w:jc w:val="center"/>
        <w:outlineLvl w:val="1"/>
        <w:rPr>
          <w:rFonts w:hint="eastAsia" w:ascii="Times New Roman" w:hAnsi="仿宋_GB2312" w:eastAsia="仿宋_GB2312" w:cs="仿宋_GB2312"/>
          <w:bCs/>
          <w:color w:val="auto"/>
          <w:sz w:val="32"/>
          <w:szCs w:val="32"/>
        </w:rPr>
      </w:pPr>
      <w:bookmarkStart w:id="2" w:name="tAj_wh"/>
      <w:r>
        <w:rPr>
          <w:rFonts w:hint="eastAsia" w:ascii="Times New Roman" w:hAnsi="Times New Roman" w:eastAsia="仿宋_GB2312" w:cs="Mongolian Baiti"/>
          <w:color w:val="000000"/>
          <w:sz w:val="32"/>
          <w:u w:val="none"/>
        </w:rPr>
        <w:t>融水市监处罚〔2026〕99号</w:t>
      </w:r>
      <w:bookmarkEnd w:id="2"/>
    </w:p>
    <w:p w14:paraId="048CB1F0">
      <w:pPr>
        <w:keepNext w:val="0"/>
        <w:keepLines w:val="0"/>
        <w:pageBreakBefore w:val="0"/>
        <w:kinsoku/>
        <w:wordWrap/>
        <w:overflowPunct/>
        <w:topLinePunct w:val="0"/>
        <w:bidi w:val="0"/>
        <w:snapToGrid/>
        <w:spacing w:before="315" w:beforeLines="100" w:line="560" w:lineRule="exact"/>
        <w:ind w:left="142" w:hanging="142"/>
        <w:jc w:val="left"/>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000000"/>
          <w:kern w:val="1"/>
          <w:sz w:val="32"/>
          <w:szCs w:val="32"/>
          <w:u w:val="none"/>
        </w:rPr>
        <w:t>当事人：</w:t>
      </w:r>
      <w:bookmarkStart w:id="3" w:name="CALCULATE—DSR—tAjDsrs_cMc"/>
      <w:r>
        <w:rPr>
          <w:rFonts w:hint="eastAsia" w:ascii="仿宋_GB2312" w:hAnsi="仿宋_GB2312" w:eastAsia="仿宋_GB2312" w:cs="仿宋_GB2312"/>
          <w:b w:val="0"/>
          <w:color w:val="000000"/>
          <w:sz w:val="32"/>
          <w:u w:val="none"/>
        </w:rPr>
        <w:t>广西柳州创康医药连锁有限公司康源药店</w:t>
      </w:r>
      <w:bookmarkEnd w:id="3"/>
      <w:r>
        <w:rPr>
          <w:rFonts w:hint="eastAsia" w:ascii="仿宋_GB2312" w:hAnsi="仿宋_GB2312" w:eastAsia="仿宋_GB2312" w:cs="仿宋_GB2312"/>
          <w:b w:val="0"/>
          <w:bCs/>
          <w:color w:val="000000"/>
          <w:kern w:val="1"/>
          <w:sz w:val="32"/>
          <w:szCs w:val="32"/>
          <w:u w:val="none"/>
        </w:rPr>
        <w:t xml:space="preserve">                                            </w:t>
      </w:r>
    </w:p>
    <w:p w14:paraId="30262602">
      <w:pPr>
        <w:keepNext w:val="0"/>
        <w:keepLines w:val="0"/>
        <w:pageBreakBefore w:val="0"/>
        <w:kinsoku/>
        <w:wordWrap/>
        <w:overflowPunct/>
        <w:topLinePunct w:val="0"/>
        <w:bidi w:val="0"/>
        <w:snapToGrid/>
        <w:spacing w:line="560" w:lineRule="exact"/>
        <w:ind w:left="140" w:hanging="140"/>
        <w:jc w:val="left"/>
        <w:textAlignment w:val="auto"/>
        <w:rPr>
          <w:rFonts w:hint="eastAsia" w:ascii="仿宋_GB2312" w:hAnsi="仿宋_GB2312" w:eastAsia="仿宋_GB2312" w:cs="仿宋_GB2312"/>
          <w:b w:val="0"/>
          <w:bCs/>
          <w:color w:val="auto"/>
          <w:kern w:val="1"/>
          <w:sz w:val="32"/>
          <w:szCs w:val="32"/>
          <w:u w:val="single"/>
        </w:rPr>
      </w:pPr>
      <w:r>
        <w:rPr>
          <w:rFonts w:hint="eastAsia" w:ascii="仿宋_GB2312" w:hAnsi="仿宋_GB2312" w:eastAsia="仿宋_GB2312" w:cs="仿宋_GB2312"/>
          <w:b w:val="0"/>
          <w:bCs/>
          <w:color w:val="000000"/>
          <w:kern w:val="1"/>
          <w:sz w:val="32"/>
          <w:szCs w:val="32"/>
          <w:u w:val="none"/>
        </w:rPr>
        <w:t>主体资格证照名称：</w:t>
      </w:r>
      <w:bookmarkStart w:id="4" w:name="CALCULATE—DSR—tAjDsrs_cZtzgzzmc"/>
      <w:r>
        <w:rPr>
          <w:rFonts w:hint="eastAsia" w:ascii="仿宋_GB2312" w:hAnsi="仿宋_GB2312" w:eastAsia="仿宋_GB2312" w:cs="仿宋_GB2312"/>
          <w:b w:val="0"/>
          <w:color w:val="000000"/>
          <w:sz w:val="32"/>
          <w:u w:val="none"/>
        </w:rPr>
        <w:t>营业执照</w:t>
      </w:r>
      <w:bookmarkEnd w:id="4"/>
      <w:r>
        <w:rPr>
          <w:rFonts w:hint="eastAsia" w:ascii="仿宋_GB2312" w:hAnsi="仿宋_GB2312" w:eastAsia="仿宋_GB2312" w:cs="仿宋_GB2312"/>
          <w:b w:val="0"/>
          <w:bCs/>
          <w:color w:val="000000"/>
          <w:kern w:val="1"/>
          <w:sz w:val="32"/>
          <w:szCs w:val="32"/>
          <w:u w:val="none"/>
        </w:rPr>
        <w:t xml:space="preserve">                                  </w:t>
      </w:r>
    </w:p>
    <w:p w14:paraId="3375625B">
      <w:pPr>
        <w:keepNext w:val="0"/>
        <w:keepLines w:val="0"/>
        <w:pageBreakBefore w:val="0"/>
        <w:kinsoku/>
        <w:wordWrap/>
        <w:overflowPunct/>
        <w:topLinePunct w:val="0"/>
        <w:bidi w:val="0"/>
        <w:snapToGrid/>
        <w:spacing w:line="560" w:lineRule="exact"/>
        <w:ind w:left="140" w:hanging="140"/>
        <w:jc w:val="left"/>
        <w:textAlignment w:val="auto"/>
        <w:rPr>
          <w:rFonts w:hint="eastAsia" w:ascii="仿宋_GB2312" w:hAnsi="仿宋_GB2312" w:eastAsia="仿宋_GB2312" w:cs="仿宋_GB2312"/>
          <w:b w:val="0"/>
          <w:bCs/>
          <w:color w:val="auto"/>
          <w:kern w:val="1"/>
          <w:sz w:val="32"/>
          <w:szCs w:val="32"/>
          <w:u w:val="single"/>
          <w:lang w:val="en-US" w:eastAsia="zh-CN"/>
        </w:rPr>
      </w:pPr>
      <w:r>
        <w:rPr>
          <w:rFonts w:hint="eastAsia" w:ascii="仿宋_GB2312" w:hAnsi="仿宋_GB2312" w:eastAsia="仿宋_GB2312" w:cs="仿宋_GB2312"/>
          <w:b w:val="0"/>
          <w:bCs/>
          <w:color w:val="000000"/>
          <w:kern w:val="1"/>
          <w:sz w:val="32"/>
          <w:szCs w:val="32"/>
          <w:u w:val="none"/>
        </w:rPr>
        <w:t>统一社会信用代码：</w:t>
      </w:r>
      <w:bookmarkStart w:id="5" w:name="CALCULATE—DSR—tAjDsrs_cTzshxydm"/>
      <w:r>
        <w:rPr>
          <w:rFonts w:hint="eastAsia" w:ascii="仿宋_GB2312" w:hAnsi="仿宋_GB2312" w:eastAsia="仿宋_GB2312" w:cs="仿宋_GB2312"/>
          <w:b w:val="0"/>
          <w:color w:val="000000"/>
          <w:sz w:val="32"/>
          <w:u w:val="none"/>
        </w:rPr>
        <w:t>91450225MA5PACQNXY</w:t>
      </w:r>
      <w:bookmarkEnd w:id="5"/>
      <w:r>
        <w:rPr>
          <w:rFonts w:hint="eastAsia" w:ascii="仿宋_GB2312" w:hAnsi="仿宋_GB2312" w:eastAsia="仿宋_GB2312" w:cs="仿宋_GB2312"/>
          <w:b w:val="0"/>
          <w:bCs/>
          <w:color w:val="000000"/>
          <w:kern w:val="1"/>
          <w:sz w:val="32"/>
          <w:szCs w:val="32"/>
          <w:u w:val="none"/>
        </w:rPr>
        <w:t xml:space="preserve">                                  </w:t>
      </w:r>
    </w:p>
    <w:p w14:paraId="416ED7B9">
      <w:pPr>
        <w:keepNext w:val="0"/>
        <w:keepLines w:val="0"/>
        <w:pageBreakBefore w:val="0"/>
        <w:kinsoku/>
        <w:wordWrap/>
        <w:overflowPunct/>
        <w:topLinePunct w:val="0"/>
        <w:bidi w:val="0"/>
        <w:snapToGrid/>
        <w:spacing w:line="560" w:lineRule="exact"/>
        <w:ind w:left="140" w:hanging="140"/>
        <w:jc w:val="left"/>
        <w:textAlignment w:val="auto"/>
        <w:rPr>
          <w:rFonts w:hint="eastAsia" w:ascii="仿宋_GB2312" w:hAnsi="仿宋_GB2312" w:eastAsia="仿宋_GB2312" w:cs="仿宋_GB2312"/>
          <w:b w:val="0"/>
          <w:bCs/>
          <w:color w:val="auto"/>
          <w:kern w:val="1"/>
          <w:sz w:val="32"/>
          <w:szCs w:val="32"/>
          <w:lang w:val="en-US" w:eastAsia="zh-CN"/>
        </w:rPr>
      </w:pPr>
      <w:r>
        <w:rPr>
          <w:rFonts w:hint="eastAsia" w:ascii="仿宋_GB2312" w:hAnsi="仿宋_GB2312" w:eastAsia="仿宋_GB2312" w:cs="仿宋_GB2312"/>
          <w:b w:val="0"/>
          <w:bCs/>
          <w:color w:val="000000"/>
          <w:kern w:val="1"/>
          <w:sz w:val="32"/>
          <w:szCs w:val="32"/>
          <w:u w:val="none"/>
        </w:rPr>
        <w:t>住所（住址）：</w:t>
      </w:r>
      <w:bookmarkStart w:id="6" w:name="CALCULATE—DSR—tAjDsrs_cLxdzSheng"/>
      <w:r>
        <w:rPr>
          <w:rFonts w:hint="eastAsia" w:ascii="仿宋_GB2312" w:hAnsi="仿宋_GB2312" w:eastAsia="仿宋_GB2312" w:cs="仿宋_GB2312"/>
          <w:b w:val="0"/>
          <w:color w:val="000000"/>
          <w:sz w:val="32"/>
          <w:u w:val="none"/>
        </w:rPr>
        <w:t>广西壮族自治区柳州市融水苗族自治县融水县融水镇玉华中路</w:t>
      </w:r>
      <w:bookmarkEnd w:id="6"/>
      <w:r>
        <w:rPr>
          <w:rFonts w:hint="eastAsia" w:ascii="仿宋_GB2312" w:hAnsi="仿宋_GB2312" w:eastAsia="仿宋_GB2312" w:cs="仿宋_GB2312"/>
          <w:b w:val="0"/>
          <w:color w:val="000000"/>
          <w:sz w:val="32"/>
          <w:u w:val="none"/>
          <w:lang w:val="en-US" w:eastAsia="zh-CN"/>
        </w:rPr>
        <w:t>******</w:t>
      </w:r>
      <w:r>
        <w:rPr>
          <w:rFonts w:hint="eastAsia" w:ascii="仿宋_GB2312" w:hAnsi="仿宋_GB2312" w:eastAsia="仿宋_GB2312" w:cs="仿宋_GB2312"/>
          <w:b w:val="0"/>
          <w:bCs/>
          <w:color w:val="000000"/>
          <w:kern w:val="1"/>
          <w:sz w:val="32"/>
          <w:szCs w:val="32"/>
          <w:u w:val="none"/>
        </w:rPr>
        <w:t xml:space="preserve">                                     </w:t>
      </w:r>
      <w:r>
        <w:rPr>
          <w:rFonts w:hint="eastAsia" w:ascii="仿宋_GB2312" w:hAnsi="仿宋_GB2312" w:eastAsia="仿宋_GB2312" w:cs="仿宋_GB2312"/>
          <w:b w:val="0"/>
          <w:bCs/>
          <w:color w:val="000000"/>
          <w:kern w:val="1"/>
          <w:sz w:val="32"/>
          <w:szCs w:val="32"/>
          <w:u w:val="none"/>
          <w:lang w:val="en-US" w:eastAsia="zh-CN"/>
        </w:rPr>
        <w:t xml:space="preserve"> </w:t>
      </w:r>
    </w:p>
    <w:p w14:paraId="1B4E6A9B">
      <w:pPr>
        <w:keepNext w:val="0"/>
        <w:keepLines w:val="0"/>
        <w:pageBreakBefore w:val="0"/>
        <w:kinsoku/>
        <w:wordWrap/>
        <w:overflowPunct/>
        <w:topLinePunct w:val="0"/>
        <w:bidi w:val="0"/>
        <w:snapToGrid/>
        <w:spacing w:line="560" w:lineRule="exact"/>
        <w:jc w:val="left"/>
        <w:textAlignment w:val="auto"/>
        <w:rPr>
          <w:rFonts w:hint="eastAsia" w:ascii="仿宋_GB2312" w:hAnsi="仿宋_GB2312" w:eastAsia="仿宋_GB2312" w:cs="仿宋_GB2312"/>
          <w:b w:val="0"/>
          <w:bCs/>
          <w:color w:val="auto"/>
          <w:kern w:val="1"/>
          <w:sz w:val="32"/>
          <w:szCs w:val="32"/>
          <w:lang w:val="en-US" w:eastAsia="zh-CN"/>
        </w:rPr>
      </w:pPr>
      <w:r>
        <w:rPr>
          <w:rFonts w:hint="eastAsia" w:ascii="仿宋_GB2312" w:hAnsi="仿宋_GB2312" w:eastAsia="仿宋_GB2312" w:cs="仿宋_GB2312"/>
          <w:b w:val="0"/>
          <w:bCs/>
          <w:color w:val="000000"/>
          <w:kern w:val="1"/>
          <w:sz w:val="32"/>
          <w:szCs w:val="32"/>
          <w:u w:val="none"/>
        </w:rPr>
        <w:t>法定代表人（负责人</w:t>
      </w:r>
      <w:r>
        <w:rPr>
          <w:rFonts w:hint="eastAsia" w:ascii="仿宋_GB2312" w:hAnsi="仿宋_GB2312" w:eastAsia="仿宋_GB2312" w:cs="仿宋_GB2312"/>
          <w:b w:val="0"/>
          <w:bCs/>
          <w:color w:val="000000"/>
          <w:kern w:val="1"/>
          <w:sz w:val="32"/>
          <w:szCs w:val="32"/>
          <w:u w:val="none"/>
          <w:lang w:eastAsia="zh-CN"/>
        </w:rPr>
        <w:t>、经营者</w:t>
      </w:r>
      <w:r>
        <w:rPr>
          <w:rFonts w:hint="eastAsia" w:ascii="仿宋_GB2312" w:hAnsi="仿宋_GB2312" w:eastAsia="仿宋_GB2312" w:cs="仿宋_GB2312"/>
          <w:b w:val="0"/>
          <w:bCs/>
          <w:color w:val="000000"/>
          <w:kern w:val="1"/>
          <w:sz w:val="32"/>
          <w:szCs w:val="32"/>
          <w:u w:val="none"/>
        </w:rPr>
        <w:t>）：</w:t>
      </w:r>
      <w:bookmarkStart w:id="7" w:name="CALCULATE—DSR—tAjDsrs_cFddbr"/>
      <w:r>
        <w:rPr>
          <w:rFonts w:hint="eastAsia" w:ascii="仿宋_GB2312" w:hAnsi="仿宋_GB2312" w:eastAsia="仿宋_GB2312" w:cs="仿宋_GB2312"/>
          <w:b w:val="0"/>
          <w:color w:val="000000"/>
          <w:sz w:val="32"/>
          <w:u w:val="none"/>
        </w:rPr>
        <w:t>唐明耀</w:t>
      </w:r>
      <w:bookmarkEnd w:id="7"/>
      <w:r>
        <w:rPr>
          <w:rFonts w:hint="eastAsia" w:ascii="仿宋_GB2312" w:hAnsi="仿宋_GB2312" w:eastAsia="仿宋_GB2312" w:cs="仿宋_GB2312"/>
          <w:b w:val="0"/>
          <w:bCs/>
          <w:color w:val="000000"/>
          <w:kern w:val="1"/>
          <w:sz w:val="32"/>
          <w:szCs w:val="32"/>
          <w:u w:val="none"/>
        </w:rPr>
        <w:t xml:space="preserve">                       </w:t>
      </w:r>
    </w:p>
    <w:p w14:paraId="66361C94">
      <w:pPr>
        <w:keepNext w:val="0"/>
        <w:keepLines w:val="0"/>
        <w:pageBreakBefore w:val="0"/>
        <w:kinsoku/>
        <w:wordWrap/>
        <w:overflowPunct/>
        <w:topLinePunct w:val="0"/>
        <w:bidi w:val="0"/>
        <w:snapToGrid/>
        <w:spacing w:line="560" w:lineRule="exact"/>
        <w:ind w:left="140" w:hanging="140"/>
        <w:jc w:val="left"/>
        <w:textAlignment w:val="auto"/>
        <w:rPr>
          <w:rFonts w:hint="eastAsia" w:ascii="仿宋_GB2312" w:hAnsi="仿宋_GB2312" w:eastAsia="仿宋_GB2312" w:cs="仿宋_GB2312"/>
          <w:b w:val="0"/>
          <w:bCs/>
          <w:color w:val="auto"/>
          <w:sz w:val="32"/>
          <w:szCs w:val="32"/>
          <w:u w:val="single" w:color="231F20"/>
        </w:rPr>
      </w:pPr>
      <w:r>
        <w:rPr>
          <w:rFonts w:hint="eastAsia" w:ascii="仿宋_GB2312" w:hAnsi="仿宋_GB2312" w:eastAsia="仿宋_GB2312" w:cs="仿宋_GB2312"/>
          <w:b w:val="0"/>
          <w:bCs/>
          <w:color w:val="000000"/>
          <w:kern w:val="1"/>
          <w:sz w:val="32"/>
          <w:szCs w:val="32"/>
          <w:u w:val="none"/>
        </w:rPr>
        <w:t>身份证件号码：</w:t>
      </w:r>
      <w:bookmarkStart w:id="8" w:name="CALCULATE—DSR—tAjDsrs_cZjhm"/>
      <w:r>
        <w:rPr>
          <w:rFonts w:hint="eastAsia" w:ascii="仿宋_GB2312" w:hAnsi="仿宋_GB2312" w:eastAsia="仿宋_GB2312" w:cs="仿宋_GB2312"/>
          <w:b w:val="0"/>
          <w:color w:val="000000"/>
          <w:sz w:val="32"/>
          <w:u w:val="none"/>
        </w:rPr>
        <w:t>452229197612</w:t>
      </w:r>
      <w:bookmarkEnd w:id="8"/>
      <w:r>
        <w:rPr>
          <w:rFonts w:hint="eastAsia" w:ascii="仿宋_GB2312" w:hAnsi="仿宋_GB2312" w:eastAsia="仿宋_GB2312" w:cs="仿宋_GB2312"/>
          <w:b w:val="0"/>
          <w:color w:val="000000"/>
          <w:sz w:val="32"/>
          <w:u w:val="none"/>
          <w:lang w:val="en-US" w:eastAsia="zh-CN"/>
        </w:rPr>
        <w:t>******</w:t>
      </w:r>
      <w:r>
        <w:rPr>
          <w:rFonts w:hint="eastAsia" w:ascii="仿宋_GB2312" w:hAnsi="仿宋_GB2312" w:eastAsia="仿宋_GB2312" w:cs="仿宋_GB2312"/>
          <w:b w:val="0"/>
          <w:bCs/>
          <w:color w:val="000000"/>
          <w:kern w:val="1"/>
          <w:sz w:val="32"/>
          <w:szCs w:val="32"/>
          <w:u w:val="none"/>
        </w:rPr>
        <w:t xml:space="preserve">                                     </w:t>
      </w:r>
    </w:p>
    <w:p w14:paraId="157383AA">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jc w:val="left"/>
        <w:textAlignment w:val="auto"/>
        <w:rPr>
          <w:rFonts w:hint="eastAsia" w:ascii="仿宋_GB2312" w:hAnsi="仿宋_GB2312" w:eastAsia="仿宋_GB2312" w:cs="仿宋_GB2312"/>
          <w:sz w:val="32"/>
          <w:szCs w:val="32"/>
          <w:highlight w:val="none"/>
          <w:u w:val="none"/>
          <w:lang w:val="en-US" w:eastAsia="zh-CN"/>
        </w:rPr>
      </w:pPr>
      <w:bookmarkStart w:id="9" w:name="OLE_LINK5"/>
      <w:r>
        <w:rPr>
          <w:rFonts w:hint="eastAsia" w:ascii="仿宋_GB2312" w:hAnsi="仿宋_GB2312" w:eastAsia="仿宋_GB2312" w:cs="仿宋_GB2312"/>
          <w:color w:val="000000"/>
          <w:sz w:val="32"/>
          <w:szCs w:val="32"/>
          <w:highlight w:val="none"/>
          <w:u w:val="none"/>
          <w:lang w:val="zh-CN"/>
        </w:rPr>
        <w:t>2026年</w:t>
      </w:r>
      <w:r>
        <w:rPr>
          <w:rFonts w:hint="eastAsia" w:ascii="仿宋_GB2312" w:hAnsi="仿宋_GB2312" w:eastAsia="仿宋_GB2312" w:cs="仿宋_GB2312"/>
          <w:color w:val="000000"/>
          <w:sz w:val="32"/>
          <w:szCs w:val="32"/>
          <w:highlight w:val="none"/>
          <w:u w:val="none"/>
          <w:lang w:val="en-US" w:eastAsia="zh-CN"/>
        </w:rPr>
        <w:t>4</w:t>
      </w:r>
      <w:r>
        <w:rPr>
          <w:rFonts w:hint="eastAsia" w:ascii="仿宋_GB2312" w:hAnsi="仿宋_GB2312" w:eastAsia="仿宋_GB2312" w:cs="仿宋_GB2312"/>
          <w:color w:val="000000"/>
          <w:sz w:val="32"/>
          <w:szCs w:val="32"/>
          <w:highlight w:val="none"/>
          <w:u w:val="none"/>
          <w:lang w:val="zh-CN"/>
        </w:rPr>
        <w:t>月</w:t>
      </w:r>
      <w:r>
        <w:rPr>
          <w:rFonts w:hint="eastAsia" w:ascii="仿宋_GB2312" w:hAnsi="仿宋_GB2312" w:eastAsia="仿宋_GB2312" w:cs="仿宋_GB2312"/>
          <w:color w:val="000000"/>
          <w:sz w:val="32"/>
          <w:szCs w:val="32"/>
          <w:highlight w:val="none"/>
          <w:u w:val="none"/>
          <w:lang w:val="en-US" w:eastAsia="zh-CN"/>
        </w:rPr>
        <w:t>23</w:t>
      </w:r>
      <w:r>
        <w:rPr>
          <w:rFonts w:hint="eastAsia" w:ascii="仿宋_GB2312" w:hAnsi="仿宋_GB2312" w:eastAsia="仿宋_GB2312" w:cs="仿宋_GB2312"/>
          <w:color w:val="000000"/>
          <w:sz w:val="32"/>
          <w:szCs w:val="32"/>
          <w:highlight w:val="none"/>
          <w:u w:val="none"/>
          <w:lang w:val="zh-CN"/>
        </w:rPr>
        <w:t>日，本局执法人员到广西柳州创康医药连锁有限公司康源药店（</w:t>
      </w:r>
      <w:r>
        <w:rPr>
          <w:rFonts w:hint="eastAsia" w:ascii="仿宋_GB2312" w:hAnsi="仿宋_GB2312" w:eastAsia="仿宋_GB2312" w:cs="仿宋_GB2312"/>
          <w:color w:val="000000"/>
          <w:sz w:val="32"/>
          <w:szCs w:val="32"/>
          <w:highlight w:val="none"/>
          <w:u w:val="none"/>
          <w:lang w:val="en-US" w:eastAsia="zh-CN"/>
        </w:rPr>
        <w:t>以下简称当事人</w:t>
      </w:r>
      <w:r>
        <w:rPr>
          <w:rFonts w:hint="eastAsia" w:ascii="仿宋_GB2312" w:hAnsi="仿宋_GB2312" w:eastAsia="仿宋_GB2312" w:cs="仿宋_GB2312"/>
          <w:color w:val="000000"/>
          <w:sz w:val="32"/>
          <w:szCs w:val="32"/>
          <w:highlight w:val="none"/>
          <w:u w:val="none"/>
          <w:lang w:val="zh-CN"/>
        </w:rPr>
        <w:t>）开展监督检查，</w:t>
      </w:r>
      <w:r>
        <w:rPr>
          <w:rFonts w:hint="eastAsia" w:ascii="仿宋_GB2312" w:hAnsi="仿宋_GB2312" w:eastAsia="仿宋_GB2312" w:cs="仿宋_GB2312"/>
          <w:color w:val="000000"/>
          <w:sz w:val="32"/>
          <w:szCs w:val="32"/>
          <w:highlight w:val="none"/>
          <w:u w:val="none"/>
          <w:lang w:val="en-US" w:eastAsia="zh-CN"/>
        </w:rPr>
        <w:t>当事人</w:t>
      </w:r>
      <w:r>
        <w:rPr>
          <w:rFonts w:hint="eastAsia" w:ascii="仿宋_GB2312" w:hAnsi="仿宋_GB2312" w:eastAsia="仿宋_GB2312" w:cs="仿宋_GB2312"/>
          <w:color w:val="000000"/>
          <w:sz w:val="32"/>
          <w:szCs w:val="32"/>
          <w:highlight w:val="none"/>
          <w:u w:val="none"/>
          <w:lang w:val="zh-CN"/>
        </w:rPr>
        <w:t>正常开门营业，</w:t>
      </w:r>
      <w:r>
        <w:rPr>
          <w:rFonts w:hint="eastAsia" w:ascii="仿宋_GB2312" w:hAnsi="仿宋_GB2312" w:eastAsia="仿宋_GB2312" w:cs="仿宋_GB2312"/>
          <w:color w:val="000000"/>
          <w:sz w:val="32"/>
          <w:szCs w:val="32"/>
          <w:highlight w:val="none"/>
          <w:u w:val="none"/>
          <w:lang w:val="en-US" w:eastAsia="zh-CN"/>
        </w:rPr>
        <w:t>在经营者唐明耀的陪同下</w:t>
      </w:r>
      <w:r>
        <w:rPr>
          <w:rFonts w:hint="eastAsia" w:ascii="仿宋_GB2312" w:hAnsi="仿宋_GB2312" w:eastAsia="仿宋_GB2312"/>
          <w:color w:val="000000"/>
          <w:sz w:val="32"/>
          <w:szCs w:val="24"/>
          <w:highlight w:val="none"/>
          <w:u w:val="none"/>
          <w:lang w:val="zh-CN"/>
        </w:rPr>
        <w:t>执法人员</w:t>
      </w:r>
      <w:r>
        <w:rPr>
          <w:rFonts w:hint="eastAsia" w:ascii="仿宋_GB2312" w:hAnsi="仿宋_GB2312" w:eastAsia="仿宋_GB2312"/>
          <w:color w:val="000000"/>
          <w:sz w:val="32"/>
          <w:szCs w:val="24"/>
          <w:highlight w:val="none"/>
          <w:u w:val="none"/>
          <w:lang w:val="en-US" w:eastAsia="zh-CN"/>
        </w:rPr>
        <w:t>检查</w:t>
      </w:r>
      <w:r>
        <w:rPr>
          <w:rFonts w:hint="eastAsia" w:ascii="仿宋_GB2312" w:hAnsi="仿宋_GB2312" w:eastAsia="仿宋_GB2312"/>
          <w:color w:val="000000"/>
          <w:sz w:val="32"/>
          <w:szCs w:val="24"/>
          <w:highlight w:val="none"/>
          <w:u w:val="none"/>
          <w:lang w:val="zh-CN"/>
        </w:rPr>
        <w:t>发现：1、复方板蓝根颗粒4 盒（批准文号：国药准字251020883、生产批号：230416、生产企业名称：好医生药业集团有限公司、</w:t>
      </w:r>
      <w:r>
        <w:rPr>
          <w:rFonts w:hint="eastAsia" w:ascii="仿宋_GB2312" w:hAnsi="仿宋_GB2312" w:eastAsia="仿宋_GB2312"/>
          <w:color w:val="000000"/>
          <w:sz w:val="32"/>
          <w:szCs w:val="24"/>
          <w:highlight w:val="none"/>
          <w:u w:val="none"/>
          <w:lang w:val="en-US" w:eastAsia="zh-CN"/>
        </w:rPr>
        <w:t>生产日期</w:t>
      </w:r>
      <w:bookmarkStart w:id="10" w:name="OLE_LINK3"/>
      <w:r>
        <w:rPr>
          <w:rFonts w:hint="eastAsia" w:ascii="仿宋_GB2312" w:hAnsi="仿宋_GB2312" w:eastAsia="仿宋_GB2312"/>
          <w:color w:val="000000"/>
          <w:sz w:val="32"/>
          <w:szCs w:val="24"/>
          <w:highlight w:val="none"/>
          <w:u w:val="none"/>
          <w:lang w:val="en-US" w:eastAsia="zh-CN"/>
        </w:rPr>
        <w:t>2023年04月04日，有效期至2026年04月03日</w:t>
      </w:r>
      <w:bookmarkEnd w:id="10"/>
      <w:r>
        <w:rPr>
          <w:rFonts w:hint="eastAsia" w:ascii="仿宋_GB2312" w:hAnsi="仿宋_GB2312" w:eastAsia="仿宋_GB2312"/>
          <w:color w:val="000000"/>
          <w:sz w:val="32"/>
          <w:szCs w:val="24"/>
          <w:highlight w:val="none"/>
          <w:u w:val="none"/>
          <w:lang w:val="en-US" w:eastAsia="zh-CN"/>
        </w:rPr>
        <w:t>)</w:t>
      </w:r>
      <w:r>
        <w:rPr>
          <w:rFonts w:hint="eastAsia" w:ascii="仿宋_GB2312" w:hAnsi="仿宋_GB2312" w:eastAsia="仿宋_GB2312"/>
          <w:color w:val="000000"/>
          <w:sz w:val="32"/>
          <w:szCs w:val="24"/>
          <w:highlight w:val="none"/>
          <w:u w:val="none"/>
          <w:lang w:val="zh-CN"/>
        </w:rPr>
        <w:t>；2、阿莫西林克拉维酸钾颗粒4盒(批准文号：国药准字H20083802、生产批号：2401093、生产企业：山东益康药业股份有限公司)、生产日期202</w:t>
      </w:r>
      <w:r>
        <w:rPr>
          <w:rFonts w:hint="eastAsia" w:ascii="仿宋_GB2312" w:hAnsi="仿宋_GB2312" w:eastAsia="仿宋_GB2312"/>
          <w:color w:val="000000"/>
          <w:sz w:val="32"/>
          <w:szCs w:val="24"/>
          <w:highlight w:val="none"/>
          <w:u w:val="none"/>
          <w:lang w:val="en-US" w:eastAsia="zh-CN"/>
        </w:rPr>
        <w:t>4</w:t>
      </w:r>
      <w:r>
        <w:rPr>
          <w:rFonts w:hint="eastAsia" w:ascii="仿宋_GB2312" w:hAnsi="仿宋_GB2312" w:eastAsia="仿宋_GB2312"/>
          <w:color w:val="000000"/>
          <w:sz w:val="32"/>
          <w:szCs w:val="24"/>
          <w:highlight w:val="none"/>
          <w:u w:val="none"/>
          <w:lang w:val="zh-CN"/>
        </w:rPr>
        <w:t>年0</w:t>
      </w:r>
      <w:r>
        <w:rPr>
          <w:rFonts w:hint="eastAsia" w:ascii="仿宋_GB2312" w:hAnsi="仿宋_GB2312" w:eastAsia="仿宋_GB2312"/>
          <w:color w:val="000000"/>
          <w:sz w:val="32"/>
          <w:szCs w:val="24"/>
          <w:highlight w:val="none"/>
          <w:u w:val="none"/>
          <w:lang w:val="en-US" w:eastAsia="zh-CN"/>
        </w:rPr>
        <w:t>1</w:t>
      </w:r>
      <w:r>
        <w:rPr>
          <w:rFonts w:hint="eastAsia" w:ascii="仿宋_GB2312" w:hAnsi="仿宋_GB2312" w:eastAsia="仿宋_GB2312"/>
          <w:color w:val="000000"/>
          <w:sz w:val="32"/>
          <w:szCs w:val="24"/>
          <w:highlight w:val="none"/>
          <w:u w:val="none"/>
          <w:lang w:val="zh-CN"/>
        </w:rPr>
        <w:t>月0</w:t>
      </w:r>
      <w:r>
        <w:rPr>
          <w:rFonts w:hint="eastAsia" w:ascii="仿宋_GB2312" w:hAnsi="仿宋_GB2312" w:eastAsia="仿宋_GB2312"/>
          <w:color w:val="000000"/>
          <w:sz w:val="32"/>
          <w:szCs w:val="24"/>
          <w:highlight w:val="none"/>
          <w:u w:val="none"/>
          <w:lang w:val="en-US" w:eastAsia="zh-CN"/>
        </w:rPr>
        <w:t>9</w:t>
      </w:r>
      <w:r>
        <w:rPr>
          <w:rFonts w:hint="eastAsia" w:ascii="仿宋_GB2312" w:hAnsi="仿宋_GB2312" w:eastAsia="仿宋_GB2312"/>
          <w:color w:val="000000"/>
          <w:sz w:val="32"/>
          <w:szCs w:val="24"/>
          <w:highlight w:val="none"/>
          <w:u w:val="none"/>
          <w:lang w:val="zh-CN"/>
        </w:rPr>
        <w:t>日，有效期至2026年0</w:t>
      </w:r>
      <w:r>
        <w:rPr>
          <w:rFonts w:hint="eastAsia" w:ascii="仿宋_GB2312" w:hAnsi="仿宋_GB2312" w:eastAsia="仿宋_GB2312"/>
          <w:color w:val="000000"/>
          <w:sz w:val="32"/>
          <w:szCs w:val="24"/>
          <w:highlight w:val="none"/>
          <w:u w:val="none"/>
          <w:lang w:val="en-US" w:eastAsia="zh-CN"/>
        </w:rPr>
        <w:t>1</w:t>
      </w:r>
      <w:r>
        <w:rPr>
          <w:rFonts w:hint="eastAsia" w:ascii="仿宋_GB2312" w:hAnsi="仿宋_GB2312" w:eastAsia="仿宋_GB2312"/>
          <w:color w:val="000000"/>
          <w:sz w:val="32"/>
          <w:szCs w:val="24"/>
          <w:highlight w:val="none"/>
          <w:u w:val="none"/>
          <w:lang w:val="zh-CN"/>
        </w:rPr>
        <w:t>月0</w:t>
      </w:r>
      <w:r>
        <w:rPr>
          <w:rFonts w:hint="eastAsia" w:ascii="仿宋_GB2312" w:hAnsi="仿宋_GB2312" w:eastAsia="仿宋_GB2312"/>
          <w:color w:val="000000"/>
          <w:sz w:val="32"/>
          <w:szCs w:val="24"/>
          <w:highlight w:val="none"/>
          <w:u w:val="none"/>
          <w:lang w:val="en-US" w:eastAsia="zh-CN"/>
        </w:rPr>
        <w:t>8</w:t>
      </w:r>
      <w:r>
        <w:rPr>
          <w:rFonts w:hint="eastAsia" w:ascii="仿宋_GB2312" w:hAnsi="仿宋_GB2312" w:eastAsia="仿宋_GB2312"/>
          <w:color w:val="000000"/>
          <w:sz w:val="32"/>
          <w:szCs w:val="24"/>
          <w:highlight w:val="none"/>
          <w:u w:val="none"/>
          <w:lang w:val="zh-CN"/>
        </w:rPr>
        <w:t>日</w:t>
      </w:r>
      <w:r>
        <w:rPr>
          <w:rFonts w:hint="eastAsia" w:ascii="仿宋_GB2312" w:hAnsi="仿宋_GB2312" w:eastAsia="仿宋_GB2312"/>
          <w:color w:val="000000"/>
          <w:sz w:val="32"/>
          <w:szCs w:val="24"/>
          <w:highlight w:val="none"/>
          <w:u w:val="none"/>
          <w:lang w:val="en-US" w:eastAsia="zh-CN"/>
        </w:rPr>
        <w:t>)</w:t>
      </w:r>
      <w:r>
        <w:rPr>
          <w:rFonts w:hint="eastAsia" w:ascii="仿宋_GB2312" w:hAnsi="仿宋_GB2312" w:eastAsia="仿宋_GB2312"/>
          <w:color w:val="000000"/>
          <w:sz w:val="32"/>
          <w:szCs w:val="24"/>
          <w:highlight w:val="none"/>
          <w:u w:val="none"/>
          <w:lang w:val="zh-CN"/>
        </w:rPr>
        <w:t>；3、复方氨酚烷胺颗粒3盒(批准文号：国药准字H20067258、产品批号：23021205、生产企业：葵花药业集团(衡水)得菲尔有限公司、生产日期2023年0</w:t>
      </w:r>
      <w:r>
        <w:rPr>
          <w:rFonts w:hint="eastAsia" w:ascii="仿宋_GB2312" w:hAnsi="仿宋_GB2312" w:eastAsia="仿宋_GB2312"/>
          <w:color w:val="000000"/>
          <w:sz w:val="32"/>
          <w:szCs w:val="24"/>
          <w:highlight w:val="none"/>
          <w:u w:val="none"/>
          <w:lang w:val="en-US" w:eastAsia="zh-CN"/>
        </w:rPr>
        <w:t>2</w:t>
      </w:r>
      <w:r>
        <w:rPr>
          <w:rFonts w:hint="eastAsia" w:ascii="仿宋_GB2312" w:hAnsi="仿宋_GB2312" w:eastAsia="仿宋_GB2312"/>
          <w:color w:val="000000"/>
          <w:sz w:val="32"/>
          <w:szCs w:val="24"/>
          <w:highlight w:val="none"/>
          <w:u w:val="none"/>
          <w:lang w:val="zh-CN"/>
        </w:rPr>
        <w:t>月</w:t>
      </w:r>
      <w:r>
        <w:rPr>
          <w:rFonts w:hint="eastAsia" w:ascii="仿宋_GB2312" w:hAnsi="仿宋_GB2312" w:eastAsia="仿宋_GB2312"/>
          <w:color w:val="000000"/>
          <w:sz w:val="32"/>
          <w:szCs w:val="24"/>
          <w:highlight w:val="none"/>
          <w:u w:val="none"/>
          <w:lang w:val="en-US" w:eastAsia="zh-CN"/>
        </w:rPr>
        <w:t>18</w:t>
      </w:r>
      <w:r>
        <w:rPr>
          <w:rFonts w:hint="eastAsia" w:ascii="仿宋_GB2312" w:hAnsi="仿宋_GB2312" w:eastAsia="仿宋_GB2312"/>
          <w:color w:val="000000"/>
          <w:sz w:val="32"/>
          <w:szCs w:val="24"/>
          <w:highlight w:val="none"/>
          <w:u w:val="none"/>
          <w:lang w:val="zh-CN"/>
        </w:rPr>
        <w:t>日，有效期至2026年0</w:t>
      </w:r>
      <w:r>
        <w:rPr>
          <w:rFonts w:hint="eastAsia" w:ascii="仿宋_GB2312" w:hAnsi="仿宋_GB2312" w:eastAsia="仿宋_GB2312"/>
          <w:color w:val="000000"/>
          <w:sz w:val="32"/>
          <w:szCs w:val="24"/>
          <w:highlight w:val="none"/>
          <w:u w:val="none"/>
          <w:lang w:val="en-US" w:eastAsia="zh-CN"/>
        </w:rPr>
        <w:t>1</w:t>
      </w:r>
      <w:r>
        <w:rPr>
          <w:rFonts w:hint="eastAsia" w:ascii="仿宋_GB2312" w:hAnsi="仿宋_GB2312" w:eastAsia="仿宋_GB2312"/>
          <w:color w:val="000000"/>
          <w:sz w:val="32"/>
          <w:szCs w:val="24"/>
          <w:highlight w:val="none"/>
          <w:u w:val="none"/>
          <w:lang w:val="zh-CN"/>
        </w:rPr>
        <w:t>月)；4、复方氯唑沙宗胶囊5盒(批准文号：国药准字Z23020790、生产批号：230407、生产企业：好医生药业集团有限公司、生产日期2023年04月0</w:t>
      </w:r>
      <w:r>
        <w:rPr>
          <w:rFonts w:hint="eastAsia" w:ascii="仿宋_GB2312" w:hAnsi="仿宋_GB2312" w:eastAsia="仿宋_GB2312"/>
          <w:color w:val="000000"/>
          <w:sz w:val="32"/>
          <w:szCs w:val="24"/>
          <w:highlight w:val="none"/>
          <w:u w:val="none"/>
          <w:lang w:val="en-US" w:eastAsia="zh-CN"/>
        </w:rPr>
        <w:t>2</w:t>
      </w:r>
      <w:r>
        <w:rPr>
          <w:rFonts w:hint="eastAsia" w:ascii="仿宋_GB2312" w:hAnsi="仿宋_GB2312" w:eastAsia="仿宋_GB2312"/>
          <w:color w:val="000000"/>
          <w:sz w:val="32"/>
          <w:szCs w:val="24"/>
          <w:highlight w:val="none"/>
          <w:u w:val="none"/>
          <w:lang w:val="zh-CN"/>
        </w:rPr>
        <w:t>日，有效期至2026年04月0</w:t>
      </w:r>
      <w:r>
        <w:rPr>
          <w:rFonts w:hint="eastAsia" w:ascii="仿宋_GB2312" w:hAnsi="仿宋_GB2312" w:eastAsia="仿宋_GB2312"/>
          <w:color w:val="000000"/>
          <w:sz w:val="32"/>
          <w:szCs w:val="24"/>
          <w:highlight w:val="none"/>
          <w:u w:val="none"/>
          <w:lang w:val="en-US" w:eastAsia="zh-CN"/>
        </w:rPr>
        <w:t>1</w:t>
      </w:r>
      <w:r>
        <w:rPr>
          <w:rFonts w:hint="eastAsia" w:ascii="仿宋_GB2312" w:hAnsi="仿宋_GB2312" w:eastAsia="仿宋_GB2312"/>
          <w:color w:val="000000"/>
          <w:sz w:val="32"/>
          <w:szCs w:val="24"/>
          <w:highlight w:val="none"/>
          <w:u w:val="none"/>
          <w:lang w:val="zh-CN"/>
        </w:rPr>
        <w:t>日)；5、</w:t>
      </w:r>
      <w:bookmarkStart w:id="11" w:name="OLE_LINK4"/>
      <w:r>
        <w:rPr>
          <w:rFonts w:hint="eastAsia" w:ascii="仿宋_GB2312" w:hAnsi="仿宋_GB2312" w:eastAsia="仿宋_GB2312"/>
          <w:color w:val="000000"/>
          <w:sz w:val="32"/>
          <w:szCs w:val="24"/>
          <w:highlight w:val="none"/>
          <w:u w:val="none"/>
          <w:lang w:val="zh-CN"/>
        </w:rPr>
        <w:t>双黄连颗粒</w:t>
      </w:r>
      <w:bookmarkEnd w:id="11"/>
      <w:r>
        <w:rPr>
          <w:rFonts w:hint="eastAsia" w:ascii="仿宋_GB2312" w:hAnsi="仿宋_GB2312" w:eastAsia="仿宋_GB2312"/>
          <w:color w:val="000000"/>
          <w:sz w:val="32"/>
          <w:szCs w:val="24"/>
          <w:highlight w:val="none"/>
          <w:u w:val="none"/>
          <w:lang w:val="zh-CN"/>
        </w:rPr>
        <w:t>5盒</w:t>
      </w:r>
      <w:bookmarkStart w:id="12" w:name="OLE_LINK2"/>
      <w:r>
        <w:rPr>
          <w:rFonts w:hint="eastAsia" w:ascii="仿宋_GB2312" w:hAnsi="仿宋_GB2312" w:eastAsia="仿宋_GB2312"/>
          <w:color w:val="000000"/>
          <w:sz w:val="32"/>
          <w:szCs w:val="24"/>
          <w:highlight w:val="none"/>
          <w:u w:val="none"/>
          <w:lang w:val="zh-CN"/>
        </w:rPr>
        <w:t>(批准文号：国药准号 Z23020790、生产批号：230120、生产企业：哈尔滨儿童制药厂有限公司、生产日期2023年0</w:t>
      </w:r>
      <w:r>
        <w:rPr>
          <w:rFonts w:hint="eastAsia" w:ascii="仿宋_GB2312" w:hAnsi="仿宋_GB2312" w:eastAsia="仿宋_GB2312"/>
          <w:color w:val="000000"/>
          <w:sz w:val="32"/>
          <w:szCs w:val="24"/>
          <w:highlight w:val="none"/>
          <w:u w:val="none"/>
          <w:lang w:val="en-US" w:eastAsia="zh-CN"/>
        </w:rPr>
        <w:t>1</w:t>
      </w:r>
      <w:r>
        <w:rPr>
          <w:rFonts w:hint="eastAsia" w:ascii="仿宋_GB2312" w:hAnsi="仿宋_GB2312" w:eastAsia="仿宋_GB2312"/>
          <w:color w:val="000000"/>
          <w:sz w:val="32"/>
          <w:szCs w:val="24"/>
          <w:highlight w:val="none"/>
          <w:u w:val="none"/>
          <w:lang w:val="zh-CN"/>
        </w:rPr>
        <w:t>月</w:t>
      </w:r>
      <w:r>
        <w:rPr>
          <w:rFonts w:hint="eastAsia" w:ascii="仿宋_GB2312" w:hAnsi="仿宋_GB2312" w:eastAsia="仿宋_GB2312"/>
          <w:color w:val="000000"/>
          <w:sz w:val="32"/>
          <w:szCs w:val="24"/>
          <w:highlight w:val="none"/>
          <w:u w:val="none"/>
          <w:lang w:val="en-US" w:eastAsia="zh-CN"/>
        </w:rPr>
        <w:t>2</w:t>
      </w:r>
      <w:r>
        <w:rPr>
          <w:rFonts w:hint="eastAsia" w:ascii="仿宋_GB2312" w:hAnsi="仿宋_GB2312" w:eastAsia="仿宋_GB2312"/>
          <w:color w:val="000000"/>
          <w:sz w:val="32"/>
          <w:szCs w:val="24"/>
          <w:highlight w:val="none"/>
          <w:u w:val="none"/>
          <w:lang w:val="zh-CN"/>
        </w:rPr>
        <w:t>4日，有效期至202</w:t>
      </w:r>
      <w:r>
        <w:rPr>
          <w:rFonts w:hint="eastAsia" w:ascii="仿宋_GB2312" w:hAnsi="仿宋_GB2312" w:eastAsia="仿宋_GB2312"/>
          <w:color w:val="000000"/>
          <w:sz w:val="32"/>
          <w:szCs w:val="24"/>
          <w:highlight w:val="none"/>
          <w:u w:val="none"/>
          <w:lang w:val="en-US" w:eastAsia="zh-CN"/>
        </w:rPr>
        <w:t>5</w:t>
      </w:r>
      <w:r>
        <w:rPr>
          <w:rFonts w:hint="eastAsia" w:ascii="仿宋_GB2312" w:hAnsi="仿宋_GB2312" w:eastAsia="仿宋_GB2312"/>
          <w:color w:val="000000"/>
          <w:sz w:val="32"/>
          <w:szCs w:val="24"/>
          <w:highlight w:val="none"/>
          <w:u w:val="none"/>
          <w:lang w:val="zh-CN"/>
        </w:rPr>
        <w:t>年</w:t>
      </w:r>
      <w:r>
        <w:rPr>
          <w:rFonts w:hint="eastAsia" w:ascii="仿宋_GB2312" w:hAnsi="仿宋_GB2312" w:eastAsia="仿宋_GB2312"/>
          <w:color w:val="000000"/>
          <w:sz w:val="32"/>
          <w:szCs w:val="24"/>
          <w:highlight w:val="none"/>
          <w:u w:val="none"/>
          <w:lang w:val="en-US" w:eastAsia="zh-CN"/>
        </w:rPr>
        <w:t>12</w:t>
      </w:r>
      <w:r>
        <w:rPr>
          <w:rFonts w:hint="eastAsia" w:ascii="仿宋_GB2312" w:hAnsi="仿宋_GB2312" w:eastAsia="仿宋_GB2312"/>
          <w:color w:val="000000"/>
          <w:sz w:val="32"/>
          <w:szCs w:val="24"/>
          <w:highlight w:val="none"/>
          <w:u w:val="none"/>
          <w:lang w:val="zh-CN"/>
        </w:rPr>
        <w:t>月）；</w:t>
      </w:r>
      <w:r>
        <w:rPr>
          <w:rFonts w:hint="eastAsia" w:ascii="仿宋_GB2312" w:hAnsi="仿宋_GB2312" w:eastAsia="仿宋_GB2312"/>
          <w:color w:val="000000"/>
          <w:sz w:val="32"/>
          <w:szCs w:val="24"/>
          <w:highlight w:val="none"/>
          <w:u w:val="none"/>
          <w:lang w:val="en-US" w:eastAsia="zh-CN"/>
        </w:rPr>
        <w:t>6、维生素D滴剂3</w:t>
      </w:r>
      <w:bookmarkEnd w:id="12"/>
      <w:r>
        <w:rPr>
          <w:rFonts w:hint="eastAsia" w:ascii="仿宋_GB2312" w:hAnsi="仿宋_GB2312" w:eastAsia="仿宋_GB2312"/>
          <w:color w:val="000000"/>
          <w:sz w:val="32"/>
          <w:szCs w:val="24"/>
          <w:highlight w:val="none"/>
          <w:u w:val="none"/>
          <w:lang w:val="en-US" w:eastAsia="zh-CN"/>
        </w:rPr>
        <w:t>盒(批准文号：国药准字 H35021450、生产批号：129241056、生产企业：国药控股星鲨制药（厦门）有限公司、生产日期2024年02月03日，有效期至2026年01月）；7、消炎止痢灵片(批准文号：国药准字 Z23020028、生产批号：230202、生产企业：黑龙江康麦斯药业有限公司、生产日期2023年02月19日，有效期至2026年01月）；8、宝咳宁颗粒(批准文号：国药准字 Z51021685、生产批号：230313、生产企业：成都迪康药业股份有限公司、生产日期2023年03月10日，有效期至2026年03月09日）；9、骨刺消痛胶囊(批准文号：国药准字 Z20064292、生产批号：230503、生产企业：吉林省通化博祥药业股份有限公司、生产日期2023年05月28日，有效期至2026年04月）；10、阿奇霉素干混悬剂(批准文号：国药准字 H20057207、生产批号：1240306、生产企业：湖南迪诺制药股份有限公司、生产日期2024年03月02日，有效期至2026年02月）；11、地奥</w:t>
      </w:r>
      <w:r>
        <w:rPr>
          <w:rFonts w:hint="eastAsia" w:ascii="仿宋_GB2312" w:hAnsi="仿宋_GB2312" w:eastAsia="仿宋_GB2312"/>
          <w:color w:val="000000"/>
          <w:sz w:val="32"/>
          <w:szCs w:val="24"/>
          <w:highlight w:val="none"/>
          <w:u w:val="none"/>
          <w:lang w:val="zh-CN"/>
        </w:rPr>
        <w:t>心血康胶囊(批准文号：国药准字 Z10910051、生产批号：2404022、生产企业：成都掉制药集团有限公司、生产日期2024年04月12日，有效期至2026年04月11日），上述药品共11个品种37盒均超过有效期，</w:t>
      </w:r>
      <w:r>
        <w:rPr>
          <w:rFonts w:hint="eastAsia" w:ascii="仿宋_GB2312" w:hAnsi="仿宋_GB2312" w:eastAsia="仿宋_GB2312" w:cs="仿宋_GB2312"/>
          <w:color w:val="000000"/>
          <w:sz w:val="32"/>
          <w:szCs w:val="32"/>
          <w:highlight w:val="none"/>
          <w:u w:val="none"/>
          <w:lang w:val="zh-CN"/>
        </w:rPr>
        <w:t>经请示局领导，</w:t>
      </w:r>
      <w:r>
        <w:rPr>
          <w:rFonts w:hint="eastAsia" w:ascii="仿宋_GB2312" w:hAnsi="仿宋_GB2312" w:eastAsia="仿宋_GB2312"/>
          <w:color w:val="000000"/>
          <w:sz w:val="32"/>
          <w:szCs w:val="24"/>
          <w:highlight w:val="none"/>
          <w:u w:val="none"/>
          <w:lang w:val="zh-CN"/>
        </w:rPr>
        <w:t>执法人员对上述超过有效期</w:t>
      </w:r>
      <w:r>
        <w:rPr>
          <w:rFonts w:hint="eastAsia" w:ascii="仿宋_GB2312" w:hAnsi="仿宋_GB2312" w:eastAsia="仿宋_GB2312"/>
          <w:color w:val="000000"/>
          <w:sz w:val="32"/>
          <w:szCs w:val="24"/>
          <w:highlight w:val="none"/>
          <w:u w:val="none"/>
          <w:lang w:val="en-US" w:eastAsia="zh-CN"/>
        </w:rPr>
        <w:t>的</w:t>
      </w:r>
      <w:r>
        <w:rPr>
          <w:rFonts w:hint="eastAsia" w:ascii="仿宋_GB2312" w:hAnsi="仿宋_GB2312" w:eastAsia="仿宋_GB2312"/>
          <w:color w:val="000000"/>
          <w:sz w:val="32"/>
          <w:szCs w:val="24"/>
          <w:highlight w:val="none"/>
          <w:u w:val="none"/>
          <w:lang w:val="zh-CN"/>
        </w:rPr>
        <w:t>药品进行扣押，下达《实施行政强制措施决定书》（融水市监强制〔2026〕</w:t>
      </w:r>
      <w:r>
        <w:rPr>
          <w:rFonts w:hint="eastAsia" w:ascii="仿宋_GB2312" w:hAnsi="仿宋_GB2312" w:eastAsia="仿宋_GB2312"/>
          <w:color w:val="000000"/>
          <w:sz w:val="32"/>
          <w:szCs w:val="24"/>
          <w:highlight w:val="none"/>
          <w:u w:val="none"/>
          <w:lang w:val="en-US" w:eastAsia="zh-CN"/>
        </w:rPr>
        <w:t>33</w:t>
      </w:r>
      <w:r>
        <w:rPr>
          <w:rFonts w:hint="eastAsia" w:ascii="仿宋_GB2312" w:hAnsi="仿宋_GB2312" w:eastAsia="仿宋_GB2312"/>
          <w:color w:val="000000"/>
          <w:sz w:val="32"/>
          <w:szCs w:val="24"/>
          <w:highlight w:val="none"/>
          <w:u w:val="none"/>
          <w:lang w:val="zh-CN"/>
        </w:rPr>
        <w:t>号）及《财务清单》各一份，制作《现场笔录》</w:t>
      </w:r>
      <w:r>
        <w:rPr>
          <w:rFonts w:hint="eastAsia" w:ascii="仿宋_GB2312" w:hAnsi="仿宋_GB2312" w:eastAsia="仿宋_GB2312" w:cs="仿宋_GB2312"/>
          <w:color w:val="000000"/>
          <w:sz w:val="32"/>
          <w:szCs w:val="32"/>
          <w:highlight w:val="none"/>
          <w:u w:val="none"/>
          <w:lang w:val="zh-CN"/>
        </w:rPr>
        <w:t>，由</w:t>
      </w:r>
      <w:r>
        <w:rPr>
          <w:rFonts w:hint="eastAsia" w:ascii="仿宋_GB2312" w:hAnsi="仿宋_GB2312" w:eastAsia="仿宋_GB2312" w:cs="仿宋_GB2312"/>
          <w:color w:val="000000"/>
          <w:sz w:val="32"/>
          <w:szCs w:val="32"/>
          <w:highlight w:val="none"/>
          <w:u w:val="none"/>
          <w:lang w:val="en-US" w:eastAsia="zh-CN"/>
        </w:rPr>
        <w:t>唐明耀</w:t>
      </w:r>
      <w:r>
        <w:rPr>
          <w:rFonts w:hint="eastAsia" w:ascii="仿宋_GB2312" w:hAnsi="仿宋_GB2312" w:eastAsia="仿宋_GB2312" w:cs="仿宋_GB2312"/>
          <w:color w:val="000000"/>
          <w:sz w:val="32"/>
          <w:szCs w:val="32"/>
          <w:highlight w:val="none"/>
          <w:u w:val="none"/>
          <w:lang w:val="zh-CN"/>
        </w:rPr>
        <w:t>签字确认。2026年</w:t>
      </w:r>
      <w:r>
        <w:rPr>
          <w:rFonts w:hint="eastAsia" w:ascii="仿宋_GB2312" w:hAnsi="仿宋_GB2312" w:eastAsia="仿宋_GB2312" w:cs="仿宋_GB2312"/>
          <w:color w:val="000000"/>
          <w:sz w:val="32"/>
          <w:szCs w:val="32"/>
          <w:highlight w:val="none"/>
          <w:u w:val="none"/>
          <w:lang w:val="en-US" w:eastAsia="zh-CN"/>
        </w:rPr>
        <w:t>4</w:t>
      </w:r>
      <w:r>
        <w:rPr>
          <w:rFonts w:hint="eastAsia" w:ascii="仿宋_GB2312" w:hAnsi="仿宋_GB2312" w:eastAsia="仿宋_GB2312" w:cs="仿宋_GB2312"/>
          <w:color w:val="000000"/>
          <w:sz w:val="32"/>
          <w:szCs w:val="32"/>
          <w:highlight w:val="none"/>
          <w:u w:val="none"/>
          <w:lang w:val="zh-CN"/>
        </w:rPr>
        <w:t>月</w:t>
      </w:r>
      <w:r>
        <w:rPr>
          <w:rFonts w:hint="eastAsia" w:ascii="仿宋_GB2312" w:hAnsi="仿宋_GB2312" w:eastAsia="仿宋_GB2312" w:cs="仿宋_GB2312"/>
          <w:color w:val="000000"/>
          <w:sz w:val="32"/>
          <w:szCs w:val="32"/>
          <w:highlight w:val="none"/>
          <w:u w:val="none"/>
          <w:lang w:val="en-US" w:eastAsia="zh-CN"/>
        </w:rPr>
        <w:t>29</w:t>
      </w:r>
      <w:r>
        <w:rPr>
          <w:rFonts w:hint="eastAsia" w:ascii="仿宋_GB2312" w:hAnsi="仿宋_GB2312" w:eastAsia="仿宋_GB2312" w:cs="仿宋_GB2312"/>
          <w:color w:val="000000"/>
          <w:sz w:val="32"/>
          <w:szCs w:val="32"/>
          <w:highlight w:val="none"/>
          <w:u w:val="none"/>
          <w:lang w:val="zh-CN"/>
        </w:rPr>
        <w:t>日，经局领导批准对当事人</w:t>
      </w:r>
      <w:r>
        <w:rPr>
          <w:rFonts w:hint="eastAsia" w:ascii="仿宋_GB2312" w:hAnsi="仿宋_GB2312" w:eastAsia="仿宋_GB2312" w:cs="仿宋_GB2312"/>
          <w:color w:val="000000"/>
          <w:sz w:val="32"/>
          <w:szCs w:val="32"/>
          <w:highlight w:val="none"/>
          <w:u w:val="none"/>
          <w:lang w:val="en-US" w:eastAsia="zh-CN"/>
        </w:rPr>
        <w:t>销售超过有效期</w:t>
      </w:r>
      <w:r>
        <w:rPr>
          <w:rFonts w:hint="eastAsia" w:ascii="仿宋_GB2312" w:hAnsi="仿宋_GB2312" w:eastAsia="仿宋_GB2312" w:cs="仿宋_GB2312"/>
          <w:color w:val="000000"/>
          <w:sz w:val="32"/>
          <w:szCs w:val="32"/>
          <w:highlight w:val="none"/>
          <w:u w:val="none"/>
          <w:lang w:val="zh-CN"/>
        </w:rPr>
        <w:t>药品的行为进行立案调查，2026年</w:t>
      </w:r>
      <w:r>
        <w:rPr>
          <w:rFonts w:hint="eastAsia" w:ascii="仿宋_GB2312" w:hAnsi="仿宋_GB2312" w:eastAsia="仿宋_GB2312" w:cs="仿宋_GB2312"/>
          <w:color w:val="000000"/>
          <w:sz w:val="32"/>
          <w:szCs w:val="32"/>
          <w:highlight w:val="none"/>
          <w:u w:val="none"/>
          <w:lang w:val="en-US" w:eastAsia="zh-CN"/>
        </w:rPr>
        <w:t>5</w:t>
      </w:r>
      <w:r>
        <w:rPr>
          <w:rFonts w:hint="eastAsia" w:ascii="仿宋_GB2312" w:hAnsi="仿宋_GB2312" w:eastAsia="仿宋_GB2312" w:cs="仿宋_GB2312"/>
          <w:color w:val="000000"/>
          <w:sz w:val="32"/>
          <w:szCs w:val="32"/>
          <w:highlight w:val="none"/>
          <w:u w:val="none"/>
          <w:lang w:val="zh-CN"/>
        </w:rPr>
        <w:t>月</w:t>
      </w:r>
      <w:r>
        <w:rPr>
          <w:rFonts w:hint="eastAsia" w:ascii="仿宋_GB2312" w:hAnsi="仿宋_GB2312" w:eastAsia="仿宋_GB2312" w:cs="仿宋_GB2312"/>
          <w:color w:val="000000"/>
          <w:sz w:val="32"/>
          <w:szCs w:val="32"/>
          <w:highlight w:val="none"/>
          <w:u w:val="none"/>
          <w:lang w:val="en-US" w:eastAsia="zh-CN"/>
        </w:rPr>
        <w:t>12</w:t>
      </w:r>
      <w:r>
        <w:rPr>
          <w:rFonts w:hint="eastAsia" w:ascii="仿宋_GB2312" w:hAnsi="仿宋_GB2312" w:eastAsia="仿宋_GB2312" w:cs="仿宋_GB2312"/>
          <w:color w:val="000000"/>
          <w:sz w:val="32"/>
          <w:szCs w:val="32"/>
          <w:highlight w:val="none"/>
          <w:u w:val="none"/>
          <w:lang w:val="zh-CN"/>
        </w:rPr>
        <w:t>日，</w:t>
      </w:r>
      <w:r>
        <w:rPr>
          <w:rFonts w:hint="eastAsia" w:ascii="仿宋_GB2312" w:hAnsi="仿宋_GB2312" w:eastAsia="仿宋_GB2312" w:cs="仿宋_GB2312"/>
          <w:color w:val="000000"/>
          <w:sz w:val="32"/>
          <w:szCs w:val="32"/>
          <w:highlight w:val="none"/>
          <w:u w:val="none"/>
          <w:lang w:val="en-US" w:eastAsia="zh-CN"/>
        </w:rPr>
        <w:t>经营者唐明耀到本局接受询问调查，并提供了相关证据材料。</w:t>
      </w:r>
    </w:p>
    <w:p w14:paraId="2DACE2F9">
      <w:pPr>
        <w:keepNext w:val="0"/>
        <w:keepLines w:val="0"/>
        <w:pageBreakBefore w:val="0"/>
        <w:widowControl/>
        <w:kinsoku/>
        <w:wordWrap/>
        <w:overflowPunct/>
        <w:topLinePunct w:val="0"/>
        <w:autoSpaceDE/>
        <w:autoSpaceDN/>
        <w:bidi w:val="0"/>
        <w:adjustRightInd/>
        <w:snapToGrid/>
        <w:spacing w:beforeLines="0" w:afterLines="0" w:line="560" w:lineRule="exact"/>
        <w:ind w:firstLine="640"/>
        <w:jc w:val="left"/>
        <w:textAlignment w:val="auto"/>
        <w:rPr>
          <w:rFonts w:hint="eastAsia" w:ascii="仿宋_GB2312" w:hAnsi="仿宋_GB2312" w:eastAsia="仿宋_GB2312" w:cs="仿宋_GB2312"/>
          <w:sz w:val="32"/>
          <w:szCs w:val="32"/>
          <w:highlight w:val="none"/>
          <w:u w:val="none"/>
          <w:lang w:val="zh-CN"/>
        </w:rPr>
      </w:pPr>
      <w:r>
        <w:rPr>
          <w:rFonts w:hint="eastAsia" w:ascii="仿宋_GB2312" w:hAnsi="仿宋_GB2312" w:eastAsia="仿宋_GB2312" w:cs="仿宋_GB2312"/>
          <w:color w:val="000000"/>
          <w:sz w:val="32"/>
          <w:szCs w:val="32"/>
          <w:highlight w:val="none"/>
          <w:u w:val="none"/>
          <w:lang w:val="zh-CN"/>
        </w:rPr>
        <w:t>经查，当事人于2024年12月30日取得《营业执照》，并于2025年02月13日取得《药品经营许可证》后在</w:t>
      </w:r>
      <w:r>
        <w:rPr>
          <w:rFonts w:hint="eastAsia" w:ascii="仿宋_GB2312" w:hAnsi="仿宋_GB2312" w:eastAsia="仿宋_GB2312" w:cs="仿宋_GB2312"/>
          <w:color w:val="000000"/>
          <w:sz w:val="32"/>
          <w:szCs w:val="32"/>
          <w:highlight w:val="none"/>
          <w:u w:val="none"/>
          <w:lang w:val="en-US" w:eastAsia="zh-CN"/>
        </w:rPr>
        <w:t>融水县融水镇玉华中路******开展药品经营活动</w:t>
      </w:r>
      <w:r>
        <w:rPr>
          <w:rFonts w:hint="eastAsia" w:ascii="仿宋_GB2312" w:hAnsi="仿宋_GB2312" w:eastAsia="仿宋_GB2312" w:cs="仿宋_GB2312"/>
          <w:color w:val="000000"/>
          <w:sz w:val="32"/>
          <w:szCs w:val="32"/>
          <w:highlight w:val="none"/>
          <w:u w:val="none"/>
          <w:lang w:val="zh-CN"/>
        </w:rPr>
        <w:t>，经营范围：</w:t>
      </w:r>
      <w:r>
        <w:rPr>
          <w:rFonts w:hint="eastAsia" w:ascii="仿宋_GB2312" w:hAnsi="仿宋_GB2312" w:eastAsia="仿宋_GB2312" w:cs="仿宋_GB2312"/>
          <w:color w:val="000000"/>
          <w:sz w:val="32"/>
          <w:szCs w:val="32"/>
          <w:highlight w:val="none"/>
          <w:u w:val="none"/>
          <w:lang w:val="en-US" w:eastAsia="zh-CN"/>
        </w:rPr>
        <w:t>处方药、甲类非处方药：中成药；化学药；血液制品；其他生物制品</w:t>
      </w:r>
      <w:r>
        <w:rPr>
          <w:rFonts w:hint="eastAsia" w:ascii="仿宋_GB2312" w:hAnsi="仿宋_GB2312" w:eastAsia="仿宋_GB2312" w:cs="仿宋_GB2312"/>
          <w:color w:val="000000"/>
          <w:sz w:val="32"/>
          <w:szCs w:val="32"/>
          <w:highlight w:val="none"/>
          <w:u w:val="none"/>
          <w:lang w:val="zh-CN"/>
        </w:rPr>
        <w:t>。2026年</w:t>
      </w:r>
      <w:r>
        <w:rPr>
          <w:rFonts w:hint="eastAsia" w:ascii="仿宋_GB2312" w:hAnsi="仿宋_GB2312" w:eastAsia="仿宋_GB2312" w:cs="仿宋_GB2312"/>
          <w:color w:val="000000"/>
          <w:sz w:val="32"/>
          <w:szCs w:val="32"/>
          <w:highlight w:val="none"/>
          <w:u w:val="none"/>
          <w:lang w:val="en-US" w:eastAsia="zh-CN"/>
        </w:rPr>
        <w:t>4</w:t>
      </w:r>
      <w:r>
        <w:rPr>
          <w:rFonts w:hint="eastAsia" w:ascii="仿宋_GB2312" w:hAnsi="仿宋_GB2312" w:eastAsia="仿宋_GB2312" w:cs="仿宋_GB2312"/>
          <w:color w:val="000000"/>
          <w:sz w:val="32"/>
          <w:szCs w:val="32"/>
          <w:highlight w:val="none"/>
          <w:u w:val="none"/>
          <w:lang w:val="zh-CN"/>
        </w:rPr>
        <w:t>月</w:t>
      </w:r>
      <w:r>
        <w:rPr>
          <w:rFonts w:hint="eastAsia" w:ascii="仿宋_GB2312" w:hAnsi="仿宋_GB2312" w:eastAsia="仿宋_GB2312" w:cs="仿宋_GB2312"/>
          <w:color w:val="000000"/>
          <w:sz w:val="32"/>
          <w:szCs w:val="32"/>
          <w:highlight w:val="none"/>
          <w:u w:val="none"/>
          <w:lang w:val="en-US" w:eastAsia="zh-CN"/>
        </w:rPr>
        <w:t>23</w:t>
      </w:r>
      <w:r>
        <w:rPr>
          <w:rFonts w:hint="eastAsia" w:ascii="仿宋_GB2312" w:hAnsi="仿宋_GB2312" w:eastAsia="仿宋_GB2312" w:cs="仿宋_GB2312"/>
          <w:color w:val="000000"/>
          <w:sz w:val="32"/>
          <w:szCs w:val="32"/>
          <w:highlight w:val="none"/>
          <w:u w:val="none"/>
          <w:lang w:val="zh-CN"/>
        </w:rPr>
        <w:t>日，</w:t>
      </w:r>
      <w:r>
        <w:rPr>
          <w:rFonts w:hint="eastAsia" w:ascii="仿宋_GB2312" w:hAnsi="仿宋_GB2312" w:eastAsia="仿宋_GB2312" w:cs="仿宋_GB2312"/>
          <w:color w:val="000000"/>
          <w:sz w:val="32"/>
          <w:szCs w:val="32"/>
          <w:highlight w:val="none"/>
          <w:u w:val="none"/>
          <w:lang w:val="en-US" w:eastAsia="zh-CN"/>
        </w:rPr>
        <w:t>本局检查的上述药品均超过有效期，</w:t>
      </w:r>
      <w:r>
        <w:rPr>
          <w:rFonts w:hint="eastAsia" w:ascii="仿宋_GB2312" w:hAnsi="仿宋_GB2312" w:eastAsia="仿宋_GB2312" w:cs="仿宋_GB2312"/>
          <w:color w:val="000000"/>
          <w:sz w:val="32"/>
          <w:szCs w:val="32"/>
          <w:highlight w:val="none"/>
          <w:u w:val="none"/>
          <w:lang w:val="zh-CN"/>
        </w:rPr>
        <w:t>经核实，当事人</w:t>
      </w:r>
      <w:r>
        <w:rPr>
          <w:rFonts w:hint="eastAsia" w:ascii="仿宋_GB2312" w:hAnsi="仿宋_GB2312" w:eastAsia="仿宋_GB2312" w:cs="仿宋_GB2312"/>
          <w:color w:val="000000"/>
          <w:sz w:val="32"/>
          <w:szCs w:val="32"/>
          <w:highlight w:val="none"/>
          <w:u w:val="none"/>
          <w:lang w:val="en-US" w:eastAsia="zh-CN"/>
        </w:rPr>
        <w:t>销售的超过有效期</w:t>
      </w:r>
      <w:r>
        <w:rPr>
          <w:rFonts w:hint="eastAsia" w:ascii="仿宋_GB2312" w:hAnsi="仿宋_GB2312" w:eastAsia="仿宋_GB2312" w:cs="仿宋_GB2312"/>
          <w:color w:val="000000"/>
          <w:sz w:val="32"/>
          <w:szCs w:val="32"/>
          <w:highlight w:val="none"/>
          <w:u w:val="none"/>
          <w:lang w:val="zh-CN"/>
        </w:rPr>
        <w:t>药品均从广西柳州创康医药有限公司购进，其中地奥心血康胶囊购进2盒、进货价12.3元/盒、售价18元/盒；阿莫西林克拉维酸钾颗粒购进5盒、进货价8.9元/盒、售价15元/盒；维生素D滴剂5盒，进货价22.5元/盒、售价18元/盒；宝咳宁颗粒购进5盒、进货价7.60元/盒、售价12元/盒；消炎止痢灵片购进5盒，进货价2.9元/盒、售价12元/盒；骨刺消痛胶囊购进5盒、进货价4元/盒、售价10元/盒；复方氨酚烷胺颗粒购进20盒、进货价8.00元/盒、售价15元/盒；双黄连颗粒购进5盒、进货价17.30元/盒、售价18元/盒；阿奇霉素干混悬剂购进5盒、进货价4元/盒、售价10元/盒；复方氯唑沙宗胶囊购进5盒、进货价11.5元/盒、售价15元/盒；复方板蓝根颗粒购进20盒、进货价8.82元/盒、售价12元/盒。当事人</w:t>
      </w:r>
      <w:r>
        <w:rPr>
          <w:rFonts w:hint="eastAsia" w:ascii="仿宋_GB2312" w:hAnsi="仿宋_GB2312" w:eastAsia="仿宋_GB2312" w:cs="仿宋_GB2312"/>
          <w:color w:val="000000"/>
          <w:sz w:val="32"/>
          <w:szCs w:val="32"/>
          <w:highlight w:val="none"/>
          <w:u w:val="none"/>
          <w:lang w:val="en-US" w:eastAsia="zh-CN"/>
        </w:rPr>
        <w:t>提供了上述药品的进货单以及供货商的资质材料</w:t>
      </w:r>
      <w:r>
        <w:rPr>
          <w:rFonts w:hint="eastAsia" w:ascii="仿宋_GB2312" w:hAnsi="仿宋_GB2312" w:eastAsia="仿宋_GB2312" w:cs="仿宋_GB2312"/>
          <w:color w:val="000000"/>
          <w:sz w:val="32"/>
          <w:szCs w:val="32"/>
          <w:highlight w:val="none"/>
          <w:u w:val="none"/>
          <w:lang w:val="zh-CN"/>
        </w:rPr>
        <w:t>，</w:t>
      </w:r>
      <w:r>
        <w:rPr>
          <w:rFonts w:hint="eastAsia" w:ascii="仿宋_GB2312" w:hAnsi="仿宋_GB2312" w:eastAsia="仿宋_GB2312" w:cs="仿宋_GB2312"/>
          <w:color w:val="000000"/>
          <w:sz w:val="32"/>
          <w:szCs w:val="32"/>
          <w:highlight w:val="none"/>
          <w:u w:val="none"/>
          <w:lang w:val="en-US" w:eastAsia="zh-CN"/>
        </w:rPr>
        <w:t>但大部分药品销售未做台账（除了阿奇霉素干混悬剂有1单、盒复方氨酚烷胺颗粒有2单，该3单药品销售时均在有效期内），</w:t>
      </w:r>
      <w:r>
        <w:rPr>
          <w:rFonts w:hint="eastAsia" w:ascii="仿宋_GB2312" w:hAnsi="仿宋_GB2312" w:eastAsia="仿宋_GB2312" w:cs="仿宋_GB2312"/>
          <w:color w:val="000000"/>
          <w:sz w:val="32"/>
          <w:szCs w:val="32"/>
          <w:highlight w:val="none"/>
          <w:u w:val="none"/>
          <w:lang w:val="zh-CN"/>
        </w:rPr>
        <w:t>无法核实</w:t>
      </w:r>
      <w:r>
        <w:rPr>
          <w:rFonts w:hint="eastAsia" w:ascii="仿宋_GB2312" w:hAnsi="仿宋_GB2312" w:eastAsia="仿宋_GB2312" w:cs="仿宋_GB2312"/>
          <w:color w:val="000000"/>
          <w:sz w:val="32"/>
          <w:szCs w:val="32"/>
          <w:highlight w:val="none"/>
          <w:u w:val="none"/>
          <w:lang w:val="en-US" w:eastAsia="zh-CN"/>
        </w:rPr>
        <w:t>上述同时进货的药品在销售时是否超过有效期</w:t>
      </w:r>
      <w:r>
        <w:rPr>
          <w:rFonts w:hint="eastAsia" w:ascii="仿宋_GB2312" w:hAnsi="仿宋_GB2312" w:eastAsia="仿宋_GB2312" w:cs="仿宋_GB2312"/>
          <w:color w:val="000000"/>
          <w:sz w:val="32"/>
          <w:szCs w:val="32"/>
          <w:highlight w:val="none"/>
          <w:u w:val="none"/>
          <w:lang w:val="zh-CN"/>
        </w:rPr>
        <w:t>，以现场检查发现的</w:t>
      </w:r>
      <w:r>
        <w:rPr>
          <w:rFonts w:hint="eastAsia" w:ascii="仿宋_GB2312" w:hAnsi="仿宋_GB2312" w:eastAsia="仿宋_GB2312" w:cs="仿宋_GB2312"/>
          <w:color w:val="000000"/>
          <w:sz w:val="32"/>
          <w:szCs w:val="32"/>
          <w:highlight w:val="none"/>
          <w:u w:val="none"/>
          <w:lang w:val="en-US" w:eastAsia="zh-CN"/>
        </w:rPr>
        <w:t>11个品种37盒超过有效期的药品为基数</w:t>
      </w:r>
      <w:r>
        <w:rPr>
          <w:rFonts w:hint="eastAsia" w:ascii="仿宋_GB2312" w:hAnsi="仿宋_GB2312" w:eastAsia="仿宋_GB2312" w:cs="仿宋_GB2312"/>
          <w:color w:val="000000"/>
          <w:sz w:val="32"/>
          <w:szCs w:val="32"/>
          <w:highlight w:val="none"/>
          <w:u w:val="none"/>
          <w:lang w:val="zh-CN"/>
        </w:rPr>
        <w:t>，</w:t>
      </w:r>
      <w:r>
        <w:rPr>
          <w:rFonts w:hint="eastAsia" w:ascii="仿宋_GB2312" w:hAnsi="仿宋_GB2312" w:eastAsia="仿宋_GB2312" w:cs="仿宋_GB2312"/>
          <w:color w:val="000000"/>
          <w:sz w:val="32"/>
          <w:szCs w:val="32"/>
          <w:highlight w:val="none"/>
          <w:u w:val="none"/>
          <w:lang w:val="en-US" w:eastAsia="zh-CN"/>
        </w:rPr>
        <w:t>乘以销售价格，被扣押的过期</w:t>
      </w:r>
      <w:r>
        <w:rPr>
          <w:rFonts w:hint="eastAsia" w:ascii="仿宋_GB2312" w:hAnsi="仿宋_GB2312" w:eastAsia="仿宋_GB2312" w:cs="仿宋_GB2312"/>
          <w:color w:val="000000"/>
          <w:sz w:val="32"/>
          <w:szCs w:val="32"/>
          <w:highlight w:val="none"/>
          <w:u w:val="none"/>
          <w:lang w:val="zh-CN"/>
        </w:rPr>
        <w:t>药品货值金额为493元，违法所得无法计算，该案无违法所得。</w:t>
      </w:r>
    </w:p>
    <w:bookmarkEnd w:id="9"/>
    <w:p w14:paraId="620921A1">
      <w:pPr>
        <w:keepNext w:val="0"/>
        <w:keepLines w:val="0"/>
        <w:pageBreakBefore w:val="0"/>
        <w:widowControl/>
        <w:kinsoku/>
        <w:wordWrap/>
        <w:overflowPunct/>
        <w:topLinePunct w:val="0"/>
        <w:autoSpaceDE/>
        <w:autoSpaceDN/>
        <w:bidi w:val="0"/>
        <w:adjustRightInd/>
        <w:snapToGrid/>
        <w:spacing w:beforeLines="0" w:afterLines="0" w:line="560" w:lineRule="exact"/>
        <w:ind w:firstLine="643" w:firstLineChars="200"/>
        <w:jc w:val="left"/>
        <w:textAlignment w:val="auto"/>
        <w:rPr>
          <w:rFonts w:hint="eastAsia" w:ascii="仿宋_GB2312" w:hAnsi="仿宋_GB2312" w:eastAsia="仿宋_GB2312" w:cs="仿宋_GB2312"/>
          <w:b/>
          <w:sz w:val="32"/>
          <w:szCs w:val="32"/>
          <w:highlight w:val="none"/>
          <w:u w:val="none"/>
          <w:lang w:val="zh-CN"/>
        </w:rPr>
      </w:pPr>
      <w:r>
        <w:rPr>
          <w:rFonts w:hint="eastAsia" w:ascii="仿宋_GB2312" w:hAnsi="仿宋_GB2312" w:eastAsia="仿宋_GB2312" w:cs="仿宋_GB2312"/>
          <w:b/>
          <w:color w:val="000000"/>
          <w:sz w:val="32"/>
          <w:szCs w:val="32"/>
          <w:highlight w:val="none"/>
          <w:u w:val="none"/>
          <w:lang w:val="zh-CN"/>
        </w:rPr>
        <w:t>上述事实，主要有以下证据证明：</w:t>
      </w:r>
    </w:p>
    <w:p w14:paraId="1471C507">
      <w:pPr>
        <w:keepNext w:val="0"/>
        <w:keepLines w:val="0"/>
        <w:pageBreakBefore w:val="0"/>
        <w:widowControl/>
        <w:kinsoku/>
        <w:wordWrap/>
        <w:overflowPunct/>
        <w:topLinePunct w:val="0"/>
        <w:autoSpaceDE/>
        <w:autoSpaceDN/>
        <w:bidi w:val="0"/>
        <w:adjustRightInd/>
        <w:snapToGrid/>
        <w:spacing w:beforeLines="0" w:afterLines="0" w:line="560" w:lineRule="exact"/>
        <w:jc w:val="left"/>
        <w:textAlignment w:val="auto"/>
        <w:rPr>
          <w:rFonts w:hint="eastAsia" w:ascii="仿宋_GB2312" w:hAnsi="仿宋_GB2312" w:eastAsia="仿宋_GB2312" w:cs="仿宋_GB2312"/>
          <w:sz w:val="32"/>
          <w:szCs w:val="32"/>
          <w:highlight w:val="none"/>
          <w:u w:val="none"/>
          <w:lang w:val="zh-CN"/>
        </w:rPr>
      </w:pPr>
      <w:r>
        <w:rPr>
          <w:rFonts w:hint="eastAsia" w:ascii="仿宋_GB2312" w:hAnsi="仿宋_GB2312" w:eastAsia="仿宋_GB2312" w:cs="仿宋_GB2312"/>
          <w:color w:val="000000"/>
          <w:sz w:val="32"/>
          <w:szCs w:val="32"/>
          <w:highlight w:val="none"/>
          <w:u w:val="none"/>
          <w:lang w:val="zh-CN"/>
        </w:rPr>
        <w:t>　　1.《行政检查审批表》及《行政检查通知书》，证明执法人员依法开展检查的事实；</w:t>
      </w:r>
      <w:r>
        <w:rPr>
          <w:rFonts w:hint="eastAsia" w:ascii="仿宋_GB2312" w:hAnsi="仿宋_GB2312" w:eastAsia="仿宋_GB2312" w:cs="仿宋_GB2312"/>
          <w:color w:val="000000"/>
          <w:sz w:val="32"/>
          <w:szCs w:val="32"/>
          <w:highlight w:val="none"/>
          <w:u w:val="none"/>
          <w:lang w:val="zh-CN"/>
        </w:rPr>
        <w:br w:type="textWrapping"/>
      </w:r>
      <w:r>
        <w:rPr>
          <w:rFonts w:hint="eastAsia" w:ascii="仿宋_GB2312" w:hAnsi="仿宋_GB2312" w:eastAsia="仿宋_GB2312" w:cs="仿宋_GB2312"/>
          <w:color w:val="000000"/>
          <w:sz w:val="32"/>
          <w:szCs w:val="32"/>
          <w:highlight w:val="none"/>
          <w:u w:val="none"/>
          <w:lang w:val="zh-CN"/>
        </w:rPr>
        <w:t>　　2.《现场笔录》，证明执法人员依法到现场开展检查的事实；</w:t>
      </w:r>
      <w:r>
        <w:rPr>
          <w:rFonts w:hint="eastAsia" w:ascii="仿宋_GB2312" w:hAnsi="仿宋_GB2312" w:eastAsia="仿宋_GB2312" w:cs="仿宋_GB2312"/>
          <w:color w:val="000000"/>
          <w:sz w:val="32"/>
          <w:szCs w:val="32"/>
          <w:highlight w:val="none"/>
          <w:u w:val="none"/>
          <w:lang w:val="zh-CN"/>
        </w:rPr>
        <w:br w:type="textWrapping"/>
      </w:r>
      <w:r>
        <w:rPr>
          <w:rFonts w:hint="eastAsia" w:ascii="仿宋_GB2312" w:hAnsi="仿宋_GB2312" w:eastAsia="仿宋_GB2312" w:cs="仿宋_GB2312"/>
          <w:color w:val="000000"/>
          <w:sz w:val="32"/>
          <w:szCs w:val="32"/>
          <w:highlight w:val="none"/>
          <w:u w:val="none"/>
          <w:lang w:val="zh-CN"/>
        </w:rPr>
        <w:t>　　3.《实施行政强制措施决定书》、《财务清单》及《送达回证》，证明涉案物品的品种、数量信息以及《实施行政强制措施决定书》、《财务清单》已送达当事人的事实；</w:t>
      </w:r>
      <w:r>
        <w:rPr>
          <w:rFonts w:hint="eastAsia" w:ascii="仿宋_GB2312" w:hAnsi="仿宋_GB2312" w:eastAsia="仿宋_GB2312" w:cs="仿宋_GB2312"/>
          <w:color w:val="000000"/>
          <w:sz w:val="32"/>
          <w:szCs w:val="32"/>
          <w:highlight w:val="none"/>
          <w:u w:val="none"/>
          <w:lang w:val="zh-CN"/>
        </w:rPr>
        <w:br w:type="textWrapping"/>
      </w:r>
      <w:r>
        <w:rPr>
          <w:rFonts w:hint="eastAsia" w:ascii="仿宋_GB2312" w:hAnsi="仿宋_GB2312" w:eastAsia="仿宋_GB2312" w:cs="仿宋_GB2312"/>
          <w:color w:val="000000"/>
          <w:sz w:val="32"/>
          <w:szCs w:val="32"/>
          <w:highlight w:val="none"/>
          <w:u w:val="none"/>
          <w:lang w:val="zh-CN"/>
        </w:rPr>
        <w:t>　　4.《询问笔录》，</w:t>
      </w:r>
      <w:r>
        <w:rPr>
          <w:rFonts w:hint="eastAsia" w:ascii="仿宋_GB2312" w:hAnsi="仿宋_GB2312" w:eastAsia="仿宋_GB2312" w:cs="仿宋_GB2312"/>
          <w:color w:val="000000"/>
          <w:sz w:val="32"/>
          <w:szCs w:val="32"/>
          <w:highlight w:val="none"/>
          <w:u w:val="none"/>
          <w:lang w:val="en-US" w:eastAsia="zh-CN"/>
        </w:rPr>
        <w:t>证明违法事实以及涉案货值金额违法所得等事项；</w:t>
      </w:r>
      <w:r>
        <w:rPr>
          <w:rFonts w:hint="eastAsia" w:ascii="仿宋_GB2312" w:hAnsi="仿宋_GB2312" w:eastAsia="仿宋_GB2312" w:cs="仿宋_GB2312"/>
          <w:color w:val="000000"/>
          <w:sz w:val="32"/>
          <w:szCs w:val="32"/>
          <w:highlight w:val="none"/>
          <w:u w:val="none"/>
          <w:lang w:val="zh-CN"/>
        </w:rPr>
        <w:br w:type="textWrapping"/>
      </w:r>
      <w:r>
        <w:rPr>
          <w:rFonts w:hint="eastAsia" w:ascii="仿宋_GB2312" w:hAnsi="仿宋_GB2312" w:eastAsia="仿宋_GB2312" w:cs="仿宋_GB2312"/>
          <w:color w:val="000000"/>
          <w:sz w:val="32"/>
          <w:szCs w:val="32"/>
          <w:highlight w:val="none"/>
          <w:u w:val="none"/>
          <w:lang w:val="zh-CN"/>
        </w:rPr>
        <w:t>　　</w:t>
      </w:r>
      <w:r>
        <w:rPr>
          <w:rFonts w:hint="eastAsia" w:ascii="仿宋_GB2312" w:hAnsi="仿宋_GB2312" w:eastAsia="仿宋_GB2312" w:cs="仿宋_GB2312"/>
          <w:color w:val="000000"/>
          <w:sz w:val="32"/>
          <w:szCs w:val="32"/>
          <w:highlight w:val="none"/>
          <w:u w:val="none"/>
          <w:lang w:val="en-US" w:eastAsia="zh-CN"/>
        </w:rPr>
        <w:t>5</w:t>
      </w:r>
      <w:r>
        <w:rPr>
          <w:rFonts w:hint="eastAsia" w:ascii="仿宋_GB2312" w:hAnsi="仿宋_GB2312" w:eastAsia="仿宋_GB2312" w:cs="仿宋_GB2312"/>
          <w:color w:val="000000"/>
          <w:sz w:val="32"/>
          <w:szCs w:val="32"/>
          <w:highlight w:val="none"/>
          <w:u w:val="none"/>
          <w:lang w:val="zh-CN"/>
        </w:rPr>
        <w:t>.当事人《营业执照》和《</w:t>
      </w:r>
      <w:r>
        <w:rPr>
          <w:rFonts w:hint="eastAsia" w:ascii="仿宋_GB2312" w:hAnsi="仿宋_GB2312" w:eastAsia="仿宋_GB2312" w:cs="仿宋_GB2312"/>
          <w:color w:val="000000"/>
          <w:sz w:val="32"/>
          <w:szCs w:val="32"/>
          <w:highlight w:val="none"/>
          <w:u w:val="none"/>
          <w:lang w:val="en-US" w:eastAsia="zh-CN"/>
        </w:rPr>
        <w:t>药品经营许可证</w:t>
      </w:r>
      <w:r>
        <w:rPr>
          <w:rFonts w:hint="eastAsia" w:ascii="仿宋_GB2312" w:hAnsi="仿宋_GB2312" w:eastAsia="仿宋_GB2312" w:cs="仿宋_GB2312"/>
          <w:color w:val="000000"/>
          <w:sz w:val="32"/>
          <w:szCs w:val="32"/>
          <w:highlight w:val="none"/>
          <w:u w:val="none"/>
          <w:lang w:val="zh-CN"/>
        </w:rPr>
        <w:t>》复印件，证明当事人的主体资质；</w:t>
      </w:r>
      <w:r>
        <w:rPr>
          <w:rFonts w:hint="eastAsia" w:ascii="仿宋_GB2312" w:hAnsi="仿宋_GB2312" w:eastAsia="仿宋_GB2312" w:cs="仿宋_GB2312"/>
          <w:color w:val="000000"/>
          <w:sz w:val="32"/>
          <w:szCs w:val="32"/>
          <w:highlight w:val="none"/>
          <w:u w:val="none"/>
          <w:lang w:val="zh-CN"/>
        </w:rPr>
        <w:br w:type="textWrapping"/>
      </w:r>
      <w:r>
        <w:rPr>
          <w:rFonts w:hint="eastAsia" w:ascii="仿宋_GB2312" w:hAnsi="仿宋_GB2312" w:eastAsia="仿宋_GB2312" w:cs="仿宋_GB2312"/>
          <w:color w:val="000000"/>
          <w:sz w:val="32"/>
          <w:szCs w:val="32"/>
          <w:highlight w:val="none"/>
          <w:u w:val="none"/>
          <w:lang w:val="zh-CN"/>
        </w:rPr>
        <w:t>　　</w:t>
      </w:r>
      <w:r>
        <w:rPr>
          <w:rFonts w:hint="eastAsia" w:ascii="仿宋_GB2312" w:hAnsi="仿宋_GB2312" w:eastAsia="仿宋_GB2312" w:cs="仿宋_GB2312"/>
          <w:color w:val="000000"/>
          <w:sz w:val="32"/>
          <w:szCs w:val="32"/>
          <w:highlight w:val="none"/>
          <w:u w:val="none"/>
          <w:lang w:val="en-US" w:eastAsia="zh-CN"/>
        </w:rPr>
        <w:t>6</w:t>
      </w:r>
      <w:r>
        <w:rPr>
          <w:rFonts w:hint="eastAsia" w:ascii="仿宋_GB2312" w:hAnsi="仿宋_GB2312" w:eastAsia="仿宋_GB2312" w:cs="仿宋_GB2312"/>
          <w:color w:val="000000"/>
          <w:sz w:val="32"/>
          <w:szCs w:val="32"/>
          <w:highlight w:val="none"/>
          <w:u w:val="none"/>
          <w:lang w:val="zh-CN"/>
        </w:rPr>
        <w:t>.负责人</w:t>
      </w:r>
      <w:r>
        <w:rPr>
          <w:rFonts w:hint="eastAsia" w:ascii="仿宋_GB2312" w:hAnsi="仿宋_GB2312" w:eastAsia="仿宋_GB2312" w:cs="仿宋_GB2312"/>
          <w:color w:val="000000"/>
          <w:sz w:val="32"/>
          <w:szCs w:val="32"/>
          <w:highlight w:val="none"/>
          <w:u w:val="none"/>
          <w:lang w:val="en-US" w:eastAsia="zh-CN"/>
        </w:rPr>
        <w:t>唐明耀</w:t>
      </w:r>
      <w:r>
        <w:rPr>
          <w:rFonts w:hint="eastAsia" w:ascii="仿宋_GB2312" w:hAnsi="仿宋_GB2312" w:eastAsia="仿宋_GB2312" w:cs="仿宋_GB2312"/>
          <w:color w:val="000000"/>
          <w:sz w:val="32"/>
          <w:szCs w:val="32"/>
          <w:highlight w:val="none"/>
          <w:u w:val="none"/>
          <w:lang w:val="zh-CN"/>
        </w:rPr>
        <w:t>的</w:t>
      </w:r>
      <w:r>
        <w:rPr>
          <w:rFonts w:hint="eastAsia" w:ascii="仿宋_GB2312" w:hAnsi="仿宋_GB2312" w:eastAsia="仿宋_GB2312" w:cs="仿宋_GB2312"/>
          <w:color w:val="000000"/>
          <w:sz w:val="32"/>
          <w:szCs w:val="32"/>
          <w:highlight w:val="none"/>
          <w:u w:val="none"/>
          <w:lang w:val="en-US" w:eastAsia="zh-CN"/>
        </w:rPr>
        <w:t>个人身份证</w:t>
      </w:r>
      <w:r>
        <w:rPr>
          <w:rFonts w:hint="eastAsia" w:ascii="仿宋_GB2312" w:hAnsi="仿宋_GB2312" w:eastAsia="仿宋_GB2312" w:cs="仿宋_GB2312"/>
          <w:color w:val="000000"/>
          <w:sz w:val="32"/>
          <w:szCs w:val="32"/>
          <w:highlight w:val="none"/>
          <w:u w:val="none"/>
          <w:lang w:val="zh-CN"/>
        </w:rPr>
        <w:t>复印件一份，证明合法身份信息；</w:t>
      </w:r>
      <w:r>
        <w:rPr>
          <w:rFonts w:hint="eastAsia" w:ascii="仿宋_GB2312" w:hAnsi="仿宋_GB2312" w:eastAsia="仿宋_GB2312" w:cs="仿宋_GB2312"/>
          <w:color w:val="000000"/>
          <w:sz w:val="32"/>
          <w:szCs w:val="32"/>
          <w:highlight w:val="none"/>
          <w:u w:val="none"/>
          <w:lang w:val="zh-CN"/>
        </w:rPr>
        <w:br w:type="textWrapping"/>
      </w:r>
      <w:r>
        <w:rPr>
          <w:rFonts w:hint="eastAsia" w:ascii="仿宋_GB2312" w:hAnsi="仿宋_GB2312" w:eastAsia="仿宋_GB2312" w:cs="仿宋_GB2312"/>
          <w:color w:val="000000"/>
          <w:sz w:val="32"/>
          <w:szCs w:val="32"/>
          <w:highlight w:val="none"/>
          <w:u w:val="none"/>
          <w:lang w:val="zh-CN"/>
        </w:rPr>
        <w:t>　　</w:t>
      </w:r>
      <w:r>
        <w:rPr>
          <w:rFonts w:hint="eastAsia" w:ascii="仿宋_GB2312" w:hAnsi="仿宋_GB2312" w:eastAsia="仿宋_GB2312" w:cs="仿宋_GB2312"/>
          <w:color w:val="000000"/>
          <w:sz w:val="32"/>
          <w:szCs w:val="32"/>
          <w:highlight w:val="none"/>
          <w:u w:val="none"/>
          <w:lang w:val="en-US" w:eastAsia="zh-CN"/>
        </w:rPr>
        <w:t>7</w:t>
      </w:r>
      <w:r>
        <w:rPr>
          <w:rFonts w:hint="eastAsia" w:ascii="仿宋_GB2312" w:hAnsi="仿宋_GB2312" w:eastAsia="仿宋_GB2312" w:cs="仿宋_GB2312"/>
          <w:color w:val="000000"/>
          <w:sz w:val="32"/>
          <w:szCs w:val="32"/>
          <w:highlight w:val="none"/>
          <w:u w:val="none"/>
          <w:lang w:val="zh-CN"/>
        </w:rPr>
        <w:t>.供货商的《营业执照》、《</w:t>
      </w:r>
      <w:r>
        <w:rPr>
          <w:rFonts w:hint="eastAsia" w:ascii="仿宋_GB2312" w:hAnsi="仿宋_GB2312" w:eastAsia="仿宋_GB2312" w:cs="仿宋_GB2312"/>
          <w:color w:val="000000"/>
          <w:sz w:val="32"/>
          <w:szCs w:val="32"/>
          <w:highlight w:val="none"/>
          <w:u w:val="none"/>
          <w:lang w:val="en-US" w:eastAsia="zh-CN"/>
        </w:rPr>
        <w:t>药品经营许可证</w:t>
      </w:r>
      <w:r>
        <w:rPr>
          <w:rFonts w:hint="eastAsia" w:ascii="仿宋_GB2312" w:hAnsi="仿宋_GB2312" w:eastAsia="仿宋_GB2312" w:cs="仿宋_GB2312"/>
          <w:color w:val="000000"/>
          <w:sz w:val="32"/>
          <w:szCs w:val="32"/>
          <w:highlight w:val="none"/>
          <w:u w:val="none"/>
          <w:lang w:val="zh-CN"/>
        </w:rPr>
        <w:t>》复印件，证明供货商的经营资质；</w:t>
      </w:r>
      <w:r>
        <w:rPr>
          <w:rFonts w:hint="eastAsia" w:ascii="仿宋_GB2312" w:hAnsi="仿宋_GB2312" w:eastAsia="仿宋_GB2312" w:cs="仿宋_GB2312"/>
          <w:color w:val="000000"/>
          <w:sz w:val="32"/>
          <w:szCs w:val="32"/>
          <w:highlight w:val="none"/>
          <w:u w:val="none"/>
          <w:lang w:val="zh-CN"/>
        </w:rPr>
        <w:br w:type="textWrapping"/>
      </w:r>
      <w:r>
        <w:rPr>
          <w:rFonts w:hint="eastAsia" w:ascii="仿宋_GB2312" w:hAnsi="仿宋_GB2312" w:eastAsia="仿宋_GB2312" w:cs="仿宋_GB2312"/>
          <w:color w:val="000000"/>
          <w:sz w:val="32"/>
          <w:szCs w:val="32"/>
          <w:highlight w:val="none"/>
          <w:u w:val="none"/>
          <w:lang w:val="zh-CN"/>
        </w:rPr>
        <w:t>　</w:t>
      </w:r>
      <w:r>
        <w:rPr>
          <w:rFonts w:hint="eastAsia" w:ascii="仿宋_GB2312" w:hAnsi="仿宋_GB2312" w:eastAsia="仿宋_GB2312" w:cs="仿宋_GB2312"/>
          <w:color w:val="000000"/>
          <w:sz w:val="32"/>
          <w:szCs w:val="32"/>
          <w:highlight w:val="none"/>
          <w:u w:val="none"/>
          <w:lang w:val="en-US" w:eastAsia="zh-CN"/>
        </w:rPr>
        <w:t xml:space="preserve">  8</w:t>
      </w:r>
      <w:r>
        <w:rPr>
          <w:rFonts w:hint="eastAsia" w:ascii="仿宋_GB2312" w:hAnsi="仿宋_GB2312" w:eastAsia="仿宋_GB2312" w:cs="仿宋_GB2312"/>
          <w:color w:val="000000"/>
          <w:sz w:val="32"/>
          <w:szCs w:val="32"/>
          <w:highlight w:val="none"/>
          <w:u w:val="none"/>
          <w:lang w:val="zh-CN"/>
        </w:rPr>
        <w:t>.涉案药品的进货单</w:t>
      </w:r>
      <w:r>
        <w:rPr>
          <w:rFonts w:hint="eastAsia" w:ascii="仿宋_GB2312" w:hAnsi="仿宋_GB2312" w:eastAsia="仿宋_GB2312" w:cs="仿宋_GB2312"/>
          <w:color w:val="000000"/>
          <w:sz w:val="32"/>
          <w:szCs w:val="32"/>
          <w:highlight w:val="none"/>
          <w:u w:val="none"/>
          <w:lang w:val="en-US" w:eastAsia="zh-CN"/>
        </w:rPr>
        <w:t>及部分销售记录</w:t>
      </w:r>
      <w:r>
        <w:rPr>
          <w:rFonts w:hint="eastAsia" w:ascii="仿宋_GB2312" w:hAnsi="仿宋_GB2312" w:eastAsia="仿宋_GB2312" w:cs="仿宋_GB2312"/>
          <w:color w:val="000000"/>
          <w:sz w:val="32"/>
          <w:szCs w:val="32"/>
          <w:highlight w:val="none"/>
          <w:u w:val="none"/>
          <w:lang w:val="zh-CN"/>
        </w:rPr>
        <w:t>，证明涉案物品的来源</w:t>
      </w:r>
      <w:r>
        <w:rPr>
          <w:rFonts w:hint="eastAsia" w:ascii="仿宋_GB2312" w:hAnsi="仿宋_GB2312" w:eastAsia="仿宋_GB2312" w:cs="仿宋_GB2312"/>
          <w:color w:val="000000"/>
          <w:sz w:val="32"/>
          <w:szCs w:val="32"/>
          <w:highlight w:val="none"/>
          <w:u w:val="none"/>
          <w:lang w:val="en-US" w:eastAsia="zh-CN"/>
        </w:rPr>
        <w:t>及销售情况</w:t>
      </w:r>
      <w:r>
        <w:rPr>
          <w:rFonts w:hint="eastAsia" w:ascii="仿宋_GB2312" w:hAnsi="仿宋_GB2312" w:eastAsia="仿宋_GB2312" w:cs="仿宋_GB2312"/>
          <w:color w:val="000000"/>
          <w:sz w:val="32"/>
          <w:szCs w:val="32"/>
          <w:highlight w:val="none"/>
          <w:u w:val="none"/>
          <w:lang w:val="zh-CN"/>
        </w:rPr>
        <w:t>；</w:t>
      </w:r>
      <w:r>
        <w:rPr>
          <w:rFonts w:hint="eastAsia" w:ascii="仿宋_GB2312" w:hAnsi="仿宋_GB2312" w:eastAsia="仿宋_GB2312" w:cs="仿宋_GB2312"/>
          <w:color w:val="000000"/>
          <w:sz w:val="32"/>
          <w:szCs w:val="32"/>
          <w:highlight w:val="none"/>
          <w:u w:val="none"/>
          <w:lang w:val="zh-CN"/>
        </w:rPr>
        <w:br w:type="textWrapping"/>
      </w:r>
      <w:r>
        <w:rPr>
          <w:rFonts w:hint="eastAsia" w:ascii="仿宋_GB2312" w:hAnsi="仿宋_GB2312" w:eastAsia="仿宋_GB2312" w:cs="仿宋_GB2312"/>
          <w:color w:val="000000"/>
          <w:sz w:val="32"/>
          <w:szCs w:val="32"/>
          <w:highlight w:val="none"/>
          <w:u w:val="none"/>
          <w:lang w:val="zh-CN"/>
        </w:rPr>
        <w:t>　　</w:t>
      </w:r>
      <w:r>
        <w:rPr>
          <w:rFonts w:hint="eastAsia" w:ascii="仿宋_GB2312" w:hAnsi="仿宋_GB2312" w:eastAsia="仿宋_GB2312" w:cs="仿宋_GB2312"/>
          <w:color w:val="000000"/>
          <w:sz w:val="32"/>
          <w:szCs w:val="32"/>
          <w:highlight w:val="none"/>
          <w:u w:val="none"/>
          <w:lang w:val="en-US" w:eastAsia="zh-CN"/>
        </w:rPr>
        <w:t>9</w:t>
      </w:r>
      <w:r>
        <w:rPr>
          <w:rFonts w:hint="eastAsia" w:ascii="仿宋_GB2312" w:hAnsi="仿宋_GB2312" w:eastAsia="仿宋_GB2312" w:cs="仿宋_GB2312"/>
          <w:color w:val="000000"/>
          <w:sz w:val="32"/>
          <w:szCs w:val="32"/>
          <w:highlight w:val="none"/>
          <w:u w:val="none"/>
          <w:lang w:val="zh-CN"/>
        </w:rPr>
        <w:t>.</w:t>
      </w:r>
      <w:r>
        <w:rPr>
          <w:rFonts w:hint="eastAsia" w:ascii="仿宋_GB2312" w:hAnsi="仿宋_GB2312" w:eastAsia="仿宋_GB2312" w:cs="仿宋_GB2312"/>
          <w:color w:val="000000"/>
          <w:sz w:val="32"/>
          <w:szCs w:val="32"/>
          <w:highlight w:val="none"/>
          <w:u w:val="none"/>
          <w:lang w:val="en-US" w:eastAsia="zh-CN"/>
        </w:rPr>
        <w:t>现场检查照片及涉案药品外包装图片</w:t>
      </w:r>
      <w:r>
        <w:rPr>
          <w:rFonts w:hint="eastAsia" w:ascii="仿宋_GB2312" w:hAnsi="仿宋_GB2312" w:eastAsia="仿宋_GB2312" w:cs="仿宋_GB2312"/>
          <w:color w:val="000000"/>
          <w:sz w:val="32"/>
          <w:szCs w:val="32"/>
          <w:highlight w:val="none"/>
          <w:u w:val="none"/>
          <w:lang w:val="zh-CN"/>
        </w:rPr>
        <w:t>，证明执法人员现场检查</w:t>
      </w:r>
      <w:r>
        <w:rPr>
          <w:rFonts w:hint="eastAsia" w:ascii="仿宋_GB2312" w:hAnsi="仿宋_GB2312" w:eastAsia="仿宋_GB2312" w:cs="仿宋_GB2312"/>
          <w:color w:val="000000"/>
          <w:sz w:val="32"/>
          <w:szCs w:val="32"/>
          <w:highlight w:val="none"/>
          <w:u w:val="none"/>
          <w:lang w:val="en-US" w:eastAsia="zh-CN"/>
        </w:rPr>
        <w:t>及涉案药品的外包装信息</w:t>
      </w:r>
      <w:r>
        <w:rPr>
          <w:rFonts w:hint="eastAsia" w:ascii="仿宋_GB2312" w:hAnsi="仿宋_GB2312" w:eastAsia="仿宋_GB2312" w:cs="仿宋_GB2312"/>
          <w:color w:val="000000"/>
          <w:sz w:val="32"/>
          <w:szCs w:val="32"/>
          <w:highlight w:val="none"/>
          <w:u w:val="none"/>
          <w:lang w:val="zh-CN"/>
        </w:rPr>
        <w:t>。</w:t>
      </w:r>
    </w:p>
    <w:p w14:paraId="186969F5">
      <w:pPr>
        <w:pStyle w:val="4"/>
        <w:keepNext w:val="0"/>
        <w:keepLines w:val="0"/>
        <w:pageBreakBefore w:val="0"/>
        <w:tabs>
          <w:tab w:val="left" w:pos="9060"/>
        </w:tabs>
        <w:kinsoku/>
        <w:wordWrap/>
        <w:overflowPunct/>
        <w:topLinePunct w:val="0"/>
        <w:bidi w:val="0"/>
        <w:snapToGrid/>
        <w:spacing w:line="560" w:lineRule="exact"/>
        <w:jc w:val="left"/>
        <w:textAlignment w:val="auto"/>
        <w:rPr>
          <w:rFonts w:hint="eastAsia" w:ascii="仿宋_GB2312" w:hAnsi="仿宋_GB2312" w:eastAsia="仿宋_GB2312" w:cs="仿宋_GB2312"/>
          <w:b w:val="0"/>
          <w:bCs/>
          <w:color w:val="auto"/>
          <w:sz w:val="32"/>
          <w:szCs w:val="32"/>
          <w:u w:val="single"/>
          <w:lang w:val="en-US" w:eastAsia="zh-CN"/>
        </w:rPr>
      </w:pPr>
      <w:r>
        <w:rPr>
          <w:rFonts w:hint="eastAsia" w:ascii="仿宋_GB2312" w:hAnsi="仿宋_GB2312" w:eastAsia="仿宋_GB2312" w:cs="仿宋_GB2312"/>
          <w:b w:val="0"/>
          <w:bCs/>
          <w:color w:val="000000"/>
          <w:sz w:val="32"/>
          <w:szCs w:val="32"/>
          <w:u w:val="none"/>
          <w:lang w:val="en-US" w:eastAsia="zh-CN"/>
        </w:rPr>
        <w:t xml:space="preserve">    </w:t>
      </w:r>
      <w:bookmarkStart w:id="13" w:name="CALCULATE—XZCFJDS—cCfgzwsSdrq"/>
      <w:r>
        <w:rPr>
          <w:rFonts w:hint="eastAsia" w:ascii="仿宋_GB2312" w:hAnsi="仿宋_GB2312" w:eastAsia="仿宋_GB2312" w:cs="仿宋_GB2312"/>
          <w:b w:val="0"/>
          <w:color w:val="000000"/>
          <w:sz w:val="32"/>
          <w:u w:val="none"/>
        </w:rPr>
        <w:t>2026年5月2</w:t>
      </w:r>
      <w:r>
        <w:rPr>
          <w:rFonts w:hint="eastAsia" w:ascii="仿宋_GB2312" w:hAnsi="仿宋_GB2312" w:eastAsia="仿宋_GB2312" w:cs="仿宋_GB2312"/>
          <w:b w:val="0"/>
          <w:color w:val="000000"/>
          <w:sz w:val="32"/>
          <w:u w:val="none"/>
          <w:lang w:val="en-US" w:eastAsia="zh-CN"/>
        </w:rPr>
        <w:t>9</w:t>
      </w:r>
      <w:r>
        <w:rPr>
          <w:rFonts w:hint="eastAsia" w:ascii="仿宋_GB2312" w:hAnsi="仿宋_GB2312" w:eastAsia="仿宋_GB2312" w:cs="仿宋_GB2312"/>
          <w:b w:val="0"/>
          <w:color w:val="000000"/>
          <w:sz w:val="32"/>
          <w:u w:val="none"/>
        </w:rPr>
        <w:t>日</w:t>
      </w:r>
      <w:bookmarkEnd w:id="13"/>
      <w:r>
        <w:rPr>
          <w:rFonts w:hint="eastAsia" w:ascii="仿宋_GB2312" w:hAnsi="仿宋_GB2312" w:eastAsia="仿宋_GB2312" w:cs="仿宋_GB2312"/>
          <w:b w:val="0"/>
          <w:bCs/>
          <w:color w:val="000000"/>
          <w:sz w:val="32"/>
          <w:szCs w:val="32"/>
          <w:u w:val="none"/>
        </w:rPr>
        <w:t>，本局向当事人送达了本案《行政处罚告知书》(</w:t>
      </w:r>
      <w:bookmarkStart w:id="14" w:name="CALCULATE—XZCFJDS—cCfgzSdwswh"/>
      <w:r>
        <w:rPr>
          <w:rFonts w:hint="eastAsia" w:ascii="仿宋_GB2312" w:hAnsi="仿宋_GB2312" w:eastAsia="仿宋_GB2312" w:cs="仿宋_GB2312"/>
          <w:b w:val="0"/>
          <w:color w:val="000000"/>
          <w:sz w:val="32"/>
          <w:u w:val="none"/>
        </w:rPr>
        <w:t>融水市监罚告〔2026〕95号</w:t>
      </w:r>
      <w:bookmarkEnd w:id="14"/>
      <w:r>
        <w:rPr>
          <w:rFonts w:hint="eastAsia" w:ascii="仿宋_GB2312" w:hAnsi="仿宋_GB2312" w:eastAsia="仿宋_GB2312" w:cs="仿宋_GB2312"/>
          <w:b w:val="0"/>
          <w:bCs/>
          <w:color w:val="000000"/>
          <w:sz w:val="32"/>
          <w:szCs w:val="32"/>
          <w:u w:val="none"/>
        </w:rPr>
        <w:t>)，</w:t>
      </w:r>
      <w:bookmarkStart w:id="15" w:name="CALCULATE—XZCFJDS—nTccssb"/>
      <w:r>
        <w:rPr>
          <w:rFonts w:hint="eastAsia" w:ascii="仿宋_GB2312" w:hAnsi="仿宋_GB2312" w:eastAsia="仿宋_GB2312" w:cs="仿宋_GB2312"/>
          <w:b w:val="0"/>
          <w:color w:val="000000"/>
          <w:sz w:val="32"/>
          <w:u w:val="none"/>
        </w:rPr>
        <w:t>当事人在法定期限内未提出任何陈述或申辩</w:t>
      </w:r>
      <w:bookmarkEnd w:id="15"/>
      <w:r>
        <w:rPr>
          <w:rFonts w:hint="eastAsia" w:ascii="仿宋_GB2312" w:hAnsi="仿宋_GB2312" w:eastAsia="仿宋_GB2312" w:cs="仿宋_GB2312"/>
          <w:b w:val="0"/>
          <w:color w:val="000000"/>
          <w:sz w:val="32"/>
          <w:u w:val="none"/>
          <w:lang w:eastAsia="zh-CN"/>
        </w:rPr>
        <w:t>，</w:t>
      </w:r>
      <w:r>
        <w:rPr>
          <w:rFonts w:hint="eastAsia" w:ascii="仿宋_GB2312" w:hAnsi="仿宋_GB2312" w:eastAsia="仿宋_GB2312" w:cs="仿宋_GB2312"/>
          <w:b w:val="0"/>
          <w:color w:val="000000"/>
          <w:sz w:val="32"/>
          <w:u w:val="none"/>
          <w:lang w:val="en-US" w:eastAsia="zh-CN"/>
        </w:rPr>
        <w:t>视为放弃此权利。</w:t>
      </w:r>
      <w:r>
        <w:rPr>
          <w:rFonts w:hint="eastAsia" w:ascii="仿宋_GB2312" w:hAnsi="仿宋_GB2312" w:eastAsia="仿宋_GB2312" w:cs="仿宋_GB2312"/>
          <w:b w:val="0"/>
          <w:bCs/>
          <w:color w:val="000000"/>
          <w:sz w:val="32"/>
          <w:szCs w:val="32"/>
          <w:u w:val="none"/>
        </w:rPr>
        <w:t xml:space="preserve">                                         </w:t>
      </w:r>
      <w:r>
        <w:rPr>
          <w:rFonts w:hint="eastAsia" w:ascii="仿宋_GB2312" w:hAnsi="仿宋_GB2312" w:eastAsia="仿宋_GB2312" w:cs="仿宋_GB2312"/>
          <w:b w:val="0"/>
          <w:bCs/>
          <w:color w:val="000000"/>
          <w:sz w:val="32"/>
          <w:szCs w:val="32"/>
          <w:u w:val="none"/>
          <w:lang w:val="en-US" w:eastAsia="zh-CN"/>
        </w:rPr>
        <w:t xml:space="preserve">          </w:t>
      </w:r>
      <w:r>
        <w:rPr>
          <w:rFonts w:hint="eastAsia" w:ascii="仿宋_GB2312" w:hAnsi="仿宋_GB2312" w:eastAsia="仿宋_GB2312" w:cs="仿宋_GB2312"/>
          <w:b w:val="0"/>
          <w:bCs/>
          <w:color w:val="000000"/>
          <w:sz w:val="32"/>
          <w:szCs w:val="32"/>
          <w:u w:val="none"/>
        </w:rPr>
        <w:t xml:space="preserve">                            </w:t>
      </w:r>
      <w:r>
        <w:rPr>
          <w:rFonts w:hint="eastAsia" w:ascii="仿宋_GB2312" w:hAnsi="仿宋_GB2312" w:eastAsia="仿宋_GB2312" w:cs="仿宋_GB2312"/>
          <w:b w:val="0"/>
          <w:bCs/>
          <w:color w:val="000000"/>
          <w:sz w:val="32"/>
          <w:szCs w:val="32"/>
          <w:u w:val="none"/>
          <w:lang w:val="en-US" w:eastAsia="zh-CN"/>
        </w:rPr>
        <w:t xml:space="preserve">                                         </w:t>
      </w:r>
    </w:p>
    <w:p w14:paraId="69F01A41">
      <w:pPr>
        <w:pStyle w:val="4"/>
        <w:keepNext w:val="0"/>
        <w:keepLines w:val="0"/>
        <w:pageBreakBefore w:val="0"/>
        <w:tabs>
          <w:tab w:val="left" w:pos="9060"/>
        </w:tabs>
        <w:kinsoku/>
        <w:wordWrap/>
        <w:overflowPunct/>
        <w:topLinePunct w:val="0"/>
        <w:bidi w:val="0"/>
        <w:snapToGrid/>
        <w:spacing w:line="560" w:lineRule="exact"/>
        <w:ind w:firstLine="640" w:firstLineChars="200"/>
        <w:jc w:val="left"/>
        <w:textAlignment w:val="auto"/>
        <w:rPr>
          <w:rFonts w:hint="eastAsia" w:ascii="仿宋_GB2312" w:hAnsi="仿宋_GB2312" w:eastAsia="仿宋_GB2312" w:cs="仿宋_GB2312"/>
          <w:kern w:val="1"/>
          <w:sz w:val="32"/>
          <w:szCs w:val="32"/>
        </w:rPr>
      </w:pPr>
      <w:r>
        <w:rPr>
          <w:rFonts w:hint="eastAsia" w:ascii="仿宋_GB2312" w:hAnsi="仿宋_GB2312" w:eastAsia="仿宋_GB2312" w:cs="仿宋_GB2312"/>
          <w:color w:val="000000"/>
          <w:kern w:val="1"/>
          <w:sz w:val="32"/>
          <w:szCs w:val="32"/>
          <w:u w:val="none"/>
        </w:rPr>
        <w:t>本局认为，当事人涉案药品超过有效期，属于《中华人民共和国药品管理法（2019修订）》第九十八条第三款第五项“有下列情形之一的，为劣药：……（五）超过有效期的药品；”中规定的劣药，构成了销售劣药的违法行为；</w:t>
      </w:r>
    </w:p>
    <w:p w14:paraId="40E9F2CA">
      <w:pPr>
        <w:pStyle w:val="4"/>
        <w:keepNext w:val="0"/>
        <w:keepLines w:val="0"/>
        <w:pageBreakBefore w:val="0"/>
        <w:tabs>
          <w:tab w:val="left" w:pos="9060"/>
        </w:tabs>
        <w:kinsoku/>
        <w:wordWrap/>
        <w:overflowPunct/>
        <w:topLinePunct w:val="0"/>
        <w:bidi w:val="0"/>
        <w:snapToGrid/>
        <w:spacing w:line="560" w:lineRule="exact"/>
        <w:ind w:firstLine="640" w:firstLineChars="200"/>
        <w:jc w:val="left"/>
        <w:textAlignment w:val="auto"/>
        <w:rPr>
          <w:rFonts w:hint="eastAsia" w:ascii="仿宋_GB2312" w:hAnsi="仿宋_GB2312" w:eastAsia="仿宋_GB2312" w:cs="仿宋_GB2312"/>
          <w:kern w:val="1"/>
          <w:sz w:val="32"/>
          <w:szCs w:val="32"/>
        </w:rPr>
      </w:pPr>
      <w:r>
        <w:rPr>
          <w:rFonts w:hint="eastAsia" w:ascii="仿宋_GB2312" w:hAnsi="仿宋_GB2312" w:eastAsia="仿宋_GB2312" w:cs="仿宋_GB2312"/>
          <w:color w:val="000000"/>
          <w:kern w:val="1"/>
          <w:sz w:val="32"/>
          <w:szCs w:val="32"/>
          <w:u w:val="none"/>
        </w:rPr>
        <w:t>当事人销售药品未做销售记录，违</w:t>
      </w:r>
      <w:r>
        <w:rPr>
          <w:rFonts w:hint="eastAsia" w:ascii="仿宋_GB2312" w:hAnsi="仿宋_GB2312" w:eastAsia="仿宋_GB2312" w:cs="仿宋_GB2312"/>
          <w:color w:val="000000"/>
          <w:kern w:val="1"/>
          <w:sz w:val="32"/>
          <w:szCs w:val="32"/>
          <w:u w:val="none"/>
          <w:lang w:val="en-US" w:eastAsia="zh-CN"/>
        </w:rPr>
        <w:t>反</w:t>
      </w:r>
      <w:r>
        <w:rPr>
          <w:rFonts w:hint="eastAsia" w:ascii="仿宋_GB2312" w:hAnsi="仿宋_GB2312" w:eastAsia="仿宋_GB2312" w:cs="仿宋_GB2312"/>
          <w:color w:val="000000"/>
          <w:kern w:val="1"/>
          <w:sz w:val="32"/>
          <w:szCs w:val="32"/>
          <w:u w:val="none"/>
        </w:rPr>
        <w:t>了《中华人民共和国药品管理法（2019修订）》第五十七条“药品经营企业购销药品，应当有真实、完整的购销记录。购销记录应当注明药品的通用名称、剂型、规格、产品批号、有效期、上市许可持有人、生产企业、购销单位、购销数量、购销价格、购销日期及国务院药品监督管理部门规定的其他内容。”的规定。</w:t>
      </w:r>
    </w:p>
    <w:p w14:paraId="32079D43">
      <w:pPr>
        <w:pStyle w:val="4"/>
        <w:keepNext w:val="0"/>
        <w:keepLines w:val="0"/>
        <w:pageBreakBefore w:val="0"/>
        <w:tabs>
          <w:tab w:val="left" w:pos="9060"/>
        </w:tabs>
        <w:kinsoku/>
        <w:wordWrap/>
        <w:overflowPunct/>
        <w:topLinePunct w:val="0"/>
        <w:bidi w:val="0"/>
        <w:snapToGrid/>
        <w:spacing w:line="560" w:lineRule="exact"/>
        <w:ind w:firstLine="640" w:firstLineChars="200"/>
        <w:jc w:val="left"/>
        <w:textAlignment w:val="auto"/>
        <w:rPr>
          <w:rFonts w:hint="eastAsia" w:ascii="仿宋_GB2312" w:hAnsi="仿宋_GB2312" w:eastAsia="仿宋_GB2312" w:cs="仿宋_GB2312"/>
          <w:kern w:val="1"/>
          <w:sz w:val="32"/>
          <w:szCs w:val="32"/>
          <w:lang w:val="en-US" w:eastAsia="zh-CN"/>
        </w:rPr>
      </w:pPr>
      <w:r>
        <w:rPr>
          <w:rFonts w:hint="eastAsia" w:ascii="仿宋_GB2312" w:hAnsi="仿宋_GB2312" w:eastAsia="仿宋_GB2312" w:cs="仿宋_GB2312"/>
          <w:color w:val="000000"/>
          <w:kern w:val="1"/>
          <w:sz w:val="32"/>
          <w:szCs w:val="32"/>
          <w:u w:val="none"/>
          <w:lang w:val="en-US" w:eastAsia="zh-CN"/>
        </w:rPr>
        <w:t>当事人在案件调查过程中能积极配合执法人员调查，如实交代违法事实并主动提供证据材料，符合《国家药监局关于印发药品监督管理行政处罚裁量适用规则的通知》（国药监法〔2024〕11号）第十一条“当事人有下列情形之一的，可以从轻或者减轻行政处罚：（二）积极配合药品监督管理部门调查并主动提供证据材料的；”规定，参照《广西壮族自治区药品监管行政处罚裁量基准（2026年修订版）》第四条第一款““本条是对《药品管理法》第一百一十七条第一款“并处违法生产、销售的药品货值金额十倍以上二十倍以下的罚款裁量基准的规定”、第二款“符合下列情形之一的，减轻行政处罚，处低于违法生产、销售的药品货值金额10倍的罚款：……（二）符合裁量规则规定的减轻行政处罚情形之一的。”的规定，当事人符合减轻行政处罚的情形。</w:t>
      </w:r>
    </w:p>
    <w:p w14:paraId="4BFA2F2C">
      <w:pPr>
        <w:pStyle w:val="4"/>
        <w:keepNext w:val="0"/>
        <w:keepLines w:val="0"/>
        <w:pageBreakBefore w:val="0"/>
        <w:tabs>
          <w:tab w:val="left" w:pos="9060"/>
        </w:tabs>
        <w:kinsoku/>
        <w:wordWrap/>
        <w:overflowPunct/>
        <w:topLinePunct w:val="0"/>
        <w:bidi w:val="0"/>
        <w:snapToGrid/>
        <w:spacing w:line="560" w:lineRule="exact"/>
        <w:ind w:firstLine="640" w:firstLineChars="200"/>
        <w:jc w:val="left"/>
        <w:textAlignment w:val="auto"/>
        <w:rPr>
          <w:rFonts w:hint="eastAsia" w:ascii="仿宋_GB2312" w:hAnsi="仿宋_GB2312" w:eastAsia="仿宋_GB2312" w:cs="仿宋_GB2312"/>
          <w:kern w:val="1"/>
          <w:sz w:val="32"/>
          <w:szCs w:val="32"/>
          <w:lang w:val="en-US" w:eastAsia="zh-CN"/>
        </w:rPr>
      </w:pPr>
      <w:r>
        <w:rPr>
          <w:rFonts w:hint="eastAsia" w:ascii="仿宋_GB2312" w:hAnsi="仿宋_GB2312" w:eastAsia="仿宋_GB2312" w:cs="仿宋_GB2312"/>
          <w:color w:val="000000"/>
          <w:kern w:val="1"/>
          <w:sz w:val="32"/>
          <w:szCs w:val="32"/>
          <w:u w:val="none"/>
          <w:lang w:val="en-US" w:eastAsia="zh-CN"/>
        </w:rPr>
        <w:t>依据《中华人民共和国药品管理法（2019修订）》第一百一十七条第一款“生产、销售劣药的，没收违法生产、销售的药品和违法所得，并处违法生产、销售的药品货值金额十倍以上二十倍以下的罚款；违法生产、批发的药品货值金额不足十万元的，按十万元计算，违法零售的药品货值金额不足一万元的，按一万元计算；情节严重的，责令停产停业整顿直至吊销药品批准证明文件、药品生产许可证、药品经营许可证或者医疗机构制剂许可证。”以及第一百三十条“违反本法规定，药品经营企业购销药品未按照规定进行记录，零售药品未正确说明用法、用量等事项，或者未按照规定调配处方的，责令改正，给予警告；情节严重的，吊销药品经营许可证。”的规定，综合本案案情，本局拟责令当事人立即停止销售劣药的违法行为，并作出合并行政处罚如下：</w:t>
      </w:r>
    </w:p>
    <w:p w14:paraId="7B640444">
      <w:pPr>
        <w:pStyle w:val="4"/>
        <w:keepNext w:val="0"/>
        <w:keepLines w:val="0"/>
        <w:pageBreakBefore w:val="0"/>
        <w:tabs>
          <w:tab w:val="left" w:pos="9060"/>
        </w:tabs>
        <w:kinsoku/>
        <w:wordWrap/>
        <w:overflowPunct/>
        <w:topLinePunct w:val="0"/>
        <w:bidi w:val="0"/>
        <w:snapToGrid/>
        <w:spacing w:line="560" w:lineRule="exact"/>
        <w:ind w:firstLine="640" w:firstLineChars="200"/>
        <w:jc w:val="left"/>
        <w:textAlignment w:val="auto"/>
        <w:rPr>
          <w:rFonts w:hint="eastAsia" w:ascii="仿宋_GB2312" w:hAnsi="仿宋_GB2312" w:eastAsia="仿宋_GB2312" w:cs="仿宋_GB2312"/>
          <w:kern w:val="1"/>
          <w:sz w:val="32"/>
          <w:szCs w:val="32"/>
          <w:lang w:val="en-US" w:eastAsia="zh-CN"/>
        </w:rPr>
      </w:pPr>
      <w:r>
        <w:rPr>
          <w:rFonts w:hint="eastAsia" w:ascii="仿宋_GB2312" w:hAnsi="仿宋_GB2312" w:eastAsia="仿宋_GB2312" w:cs="仿宋_GB2312"/>
          <w:color w:val="000000"/>
          <w:kern w:val="1"/>
          <w:sz w:val="32"/>
          <w:szCs w:val="32"/>
          <w:u w:val="none"/>
          <w:lang w:val="en-US" w:eastAsia="zh-CN"/>
        </w:rPr>
        <w:t>1.没收被扣押的37盒超过有效期药品（详见《财物清单》〔2026〕33号）；</w:t>
      </w:r>
    </w:p>
    <w:p w14:paraId="07B4BB9E">
      <w:pPr>
        <w:pStyle w:val="4"/>
        <w:keepNext w:val="0"/>
        <w:keepLines w:val="0"/>
        <w:pageBreakBefore w:val="0"/>
        <w:tabs>
          <w:tab w:val="left" w:pos="9060"/>
        </w:tabs>
        <w:kinsoku/>
        <w:wordWrap/>
        <w:overflowPunct/>
        <w:topLinePunct w:val="0"/>
        <w:bidi w:val="0"/>
        <w:snapToGrid/>
        <w:spacing w:line="560" w:lineRule="exact"/>
        <w:ind w:firstLine="640" w:firstLineChars="200"/>
        <w:jc w:val="left"/>
        <w:textAlignment w:val="auto"/>
        <w:rPr>
          <w:rFonts w:hint="eastAsia" w:ascii="仿宋_GB2312" w:hAnsi="仿宋_GB2312" w:eastAsia="仿宋_GB2312" w:cs="仿宋_GB2312"/>
          <w:kern w:val="1"/>
          <w:sz w:val="32"/>
          <w:szCs w:val="32"/>
          <w:lang w:val="en-US" w:eastAsia="zh-CN"/>
        </w:rPr>
      </w:pPr>
      <w:r>
        <w:rPr>
          <w:rFonts w:hint="eastAsia" w:ascii="仿宋_GB2312" w:hAnsi="仿宋_GB2312" w:eastAsia="仿宋_GB2312" w:cs="仿宋_GB2312"/>
          <w:color w:val="000000"/>
          <w:kern w:val="1"/>
          <w:sz w:val="32"/>
          <w:szCs w:val="32"/>
          <w:u w:val="none"/>
          <w:lang w:val="en-US" w:eastAsia="zh-CN"/>
        </w:rPr>
        <w:t>2.对销售劣药的行为罚款人民币贰仟圆（￥2000.00）；</w:t>
      </w:r>
    </w:p>
    <w:p w14:paraId="51283885">
      <w:pPr>
        <w:pStyle w:val="4"/>
        <w:keepNext w:val="0"/>
        <w:keepLines w:val="0"/>
        <w:pageBreakBefore w:val="0"/>
        <w:tabs>
          <w:tab w:val="left" w:pos="9060"/>
        </w:tabs>
        <w:kinsoku/>
        <w:wordWrap/>
        <w:overflowPunct/>
        <w:topLinePunct w:val="0"/>
        <w:bidi w:val="0"/>
        <w:snapToGrid/>
        <w:spacing w:line="560" w:lineRule="exact"/>
        <w:ind w:firstLine="640" w:firstLineChars="200"/>
        <w:jc w:val="left"/>
        <w:textAlignment w:val="auto"/>
        <w:rPr>
          <w:rFonts w:hint="eastAsia" w:ascii="仿宋_GB2312" w:hAnsi="仿宋_GB2312" w:eastAsia="仿宋_GB2312" w:cs="仿宋_GB2312"/>
          <w:kern w:val="1"/>
          <w:sz w:val="32"/>
          <w:szCs w:val="32"/>
          <w:lang w:val="en-US" w:eastAsia="zh-CN"/>
        </w:rPr>
      </w:pPr>
      <w:r>
        <w:rPr>
          <w:rFonts w:hint="eastAsia" w:ascii="仿宋_GB2312" w:hAnsi="仿宋_GB2312" w:eastAsia="仿宋_GB2312" w:cs="仿宋_GB2312"/>
          <w:color w:val="000000"/>
          <w:kern w:val="1"/>
          <w:sz w:val="32"/>
          <w:szCs w:val="32"/>
          <w:u w:val="none"/>
          <w:lang w:val="en-US" w:eastAsia="zh-CN"/>
        </w:rPr>
        <w:t>3.对未做销售记录的行为给予警告。</w:t>
      </w:r>
    </w:p>
    <w:p w14:paraId="5E32674A">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u w:val="none"/>
          <w:lang w:val="en-US" w:eastAsia="zh-CN"/>
        </w:rPr>
        <w:t>当事人应当自收到本行政处罚决定之日起十五日内到融水苗族自治县市场监督管理局财务股开具《广西壮族自治区非税收入电子缴款通知书》，持此缴款通知书到相应银行缴纳罚没款。到期不缴纳罚款的，依据《中华人民共和国行政处罚法》第七十二条的规定，本局将每日按罚款数额的百分之三加处罚款，并依法申请人民法院强制执行。</w:t>
      </w:r>
    </w:p>
    <w:p w14:paraId="6E44B0A5">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u w:val="none"/>
          <w:lang w:val="en-US" w:eastAsia="zh-CN"/>
        </w:rPr>
        <w:t>当事人如不服本行政处罚决定，可以在收到本行政处罚决定书之日起六十日内向融水苗族自治县人民政府申请行政复议；也可以在六个月内依法向柳州市柳北区人民法院提起行政诉讼。申请行政复议或者提起行政诉讼期间，行政处罚不停止执行。</w:t>
      </w:r>
    </w:p>
    <w:p w14:paraId="5B1A5C99">
      <w:pPr>
        <w:widowControl/>
        <w:snapToGrid w:val="0"/>
        <w:spacing w:line="520" w:lineRule="exact"/>
        <w:jc w:val="left"/>
        <w:rPr>
          <w:rFonts w:hint="eastAsia" w:ascii="Times New Roman" w:hAnsi="Times New Roman" w:eastAsia="仿宋_GB2312" w:cs="仿宋_GB2312"/>
          <w:color w:val="auto"/>
          <w:sz w:val="32"/>
          <w:szCs w:val="32"/>
          <w:lang w:val="en-US" w:eastAsia="zh-Hans"/>
        </w:rPr>
      </w:pPr>
    </w:p>
    <w:p w14:paraId="0382D2C2">
      <w:pPr>
        <w:widowControl/>
        <w:snapToGrid w:val="0"/>
        <w:spacing w:line="520" w:lineRule="exact"/>
        <w:ind w:firstLine="6240" w:firstLineChars="1950"/>
        <w:jc w:val="left"/>
        <w:rPr>
          <w:rFonts w:hint="eastAsia" w:ascii="Times New Roman" w:hAnsi="Times New Roman" w:eastAsia="仿宋_GB2312" w:cs="仿宋_GB2312"/>
          <w:color w:val="auto"/>
          <w:sz w:val="32"/>
          <w:szCs w:val="32"/>
          <w:lang w:val="en-US" w:eastAsia="zh-Hans"/>
        </w:rPr>
      </w:pPr>
    </w:p>
    <w:p w14:paraId="6C18E2AE">
      <w:pPr>
        <w:spacing w:line="560" w:lineRule="exact"/>
        <w:ind w:right="640" w:firstLine="601"/>
        <w:jc w:val="right"/>
        <w:rPr>
          <w:rFonts w:ascii="Times New Roman" w:hAnsi="Times New Roman" w:eastAsia="仿宋_GB2312" w:cs="仿宋"/>
          <w:color w:val="auto"/>
          <w:sz w:val="32"/>
          <w:szCs w:val="32"/>
        </w:rPr>
      </w:pPr>
      <w:bookmarkStart w:id="16" w:name="DYNAMIC—DWXX—tAj_dwmc—2"/>
      <w:r>
        <w:rPr>
          <w:rFonts w:hint="eastAsia" w:ascii="Times New Roman" w:hAnsi="Times New Roman" w:eastAsia="仿宋_GB2312" w:cs="仿宋"/>
          <w:color w:val="000000"/>
          <w:sz w:val="32"/>
          <w:u w:val="none"/>
        </w:rPr>
        <w:t>融水苗族自治县市场监督管理局</w:t>
      </w:r>
      <w:bookmarkEnd w:id="16"/>
      <w:r>
        <w:rPr>
          <w:rFonts w:hint="eastAsia" w:ascii="Times New Roman" w:hAnsi="Times New Roman" w:eastAsia="仿宋_GB2312" w:cs="仿宋"/>
          <w:color w:val="000000"/>
          <w:sz w:val="32"/>
          <w:szCs w:val="32"/>
          <w:u w:val="none"/>
        </w:rPr>
        <w:t xml:space="preserve">    </w:t>
      </w:r>
    </w:p>
    <w:p w14:paraId="1C8500B2">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center"/>
        <w:textAlignment w:val="auto"/>
        <w:outlineLvl w:val="9"/>
        <w:rPr>
          <w:rFonts w:hint="eastAsia" w:ascii="Times New Roman" w:hAnsi="Times New Roman" w:eastAsia="仿宋_GB2312" w:cs="仿宋_GB2312"/>
          <w:color w:val="auto"/>
          <w:sz w:val="32"/>
          <w:szCs w:val="32"/>
        </w:rPr>
      </w:pPr>
      <w:bookmarkStart w:id="17" w:name="CALCULATE—TIME—NOW"/>
      <w:r>
        <w:rPr>
          <w:rFonts w:hint="eastAsia" w:ascii="仿宋_GB2312" w:hAnsi="仿宋_GB2312" w:eastAsia="仿宋_GB2312" w:cs="仿宋_GB2312"/>
          <w:sz w:val="32"/>
          <w:lang w:val="en-US" w:eastAsia="zh-CN"/>
        </w:rPr>
        <w:t xml:space="preserve">              </w:t>
      </w:r>
      <w:bookmarkStart w:id="18" w:name="_GoBack"/>
      <w:bookmarkEnd w:id="18"/>
      <w:r>
        <w:rPr>
          <w:rFonts w:ascii="仿宋_GB2312" w:hAnsi="仿宋_GB2312" w:eastAsia="仿宋_GB2312" w:cs="仿宋_GB2312"/>
          <w:sz w:val="32"/>
        </w:rPr>
        <w:t>2026年06月04日</w:t>
      </w:r>
      <w:bookmarkEnd w:id="17"/>
      <w:r>
        <w:rPr>
          <w:rFonts w:hint="eastAsia" w:ascii="Times New Roman" w:hAnsi="Times New Roman" w:eastAsia="仿宋_GB2312" w:cs="仿宋_GB2312"/>
          <w:color w:val="000000"/>
          <w:sz w:val="32"/>
          <w:szCs w:val="32"/>
          <w:u w:val="none"/>
        </w:rPr>
        <w:t xml:space="preserve">  </w:t>
      </w:r>
    </w:p>
    <w:p w14:paraId="11CFFA20">
      <w:pPr>
        <w:pStyle w:val="2"/>
        <w:rPr>
          <w:rFonts w:hint="eastAsia" w:ascii="Times New Roman" w:hAnsi="Times New Roman" w:eastAsia="仿宋_GB2312" w:cs="仿宋_GB2312"/>
          <w:color w:val="auto"/>
          <w:sz w:val="32"/>
          <w:szCs w:val="32"/>
        </w:rPr>
      </w:pPr>
    </w:p>
    <w:p w14:paraId="08F5AB48">
      <w:pPr>
        <w:pStyle w:val="2"/>
        <w:rPr>
          <w:rFonts w:hint="eastAsia" w:ascii="Times New Roman" w:hAnsi="Times New Roman" w:eastAsia="仿宋_GB2312" w:cs="仿宋_GB2312"/>
          <w:color w:val="auto"/>
          <w:sz w:val="32"/>
          <w:szCs w:val="32"/>
        </w:rPr>
      </w:pPr>
    </w:p>
    <w:p w14:paraId="6FBED422">
      <w:pPr>
        <w:pStyle w:val="2"/>
        <w:rPr>
          <w:rFonts w:hint="eastAsia" w:ascii="Times New Roman" w:hAnsi="Times New Roman" w:eastAsia="仿宋_GB2312" w:cs="仿宋_GB2312"/>
          <w:color w:val="auto"/>
          <w:sz w:val="32"/>
          <w:szCs w:val="32"/>
        </w:rPr>
      </w:pPr>
    </w:p>
    <w:p w14:paraId="16C7CC1F">
      <w:pPr>
        <w:pStyle w:val="2"/>
        <w:rPr>
          <w:rFonts w:hint="eastAsia" w:ascii="Times New Roman" w:hAnsi="Times New Roman" w:eastAsia="仿宋_GB2312" w:cs="仿宋_GB2312"/>
          <w:color w:val="auto"/>
          <w:sz w:val="32"/>
          <w:szCs w:val="32"/>
        </w:rPr>
      </w:pPr>
    </w:p>
    <w:p w14:paraId="2A9CE204">
      <w:pPr>
        <w:pStyle w:val="2"/>
        <w:rPr>
          <w:rFonts w:hint="eastAsia" w:ascii="Times New Roman" w:hAnsi="Times New Roman" w:eastAsia="仿宋_GB2312" w:cs="仿宋_GB2312"/>
          <w:color w:val="auto"/>
          <w:sz w:val="32"/>
          <w:szCs w:val="32"/>
        </w:rPr>
      </w:pPr>
    </w:p>
    <w:p w14:paraId="18C1771C">
      <w:pPr>
        <w:pStyle w:val="2"/>
        <w:rPr>
          <w:rFonts w:hint="eastAsia" w:ascii="Times New Roman" w:hAnsi="Times New Roman" w:eastAsia="仿宋_GB2312" w:cs="仿宋_GB2312"/>
          <w:color w:val="auto"/>
          <w:sz w:val="32"/>
          <w:szCs w:val="32"/>
        </w:rPr>
      </w:pPr>
    </w:p>
    <w:p w14:paraId="5CCC7A8A">
      <w:pPr>
        <w:pStyle w:val="4"/>
        <w:spacing w:before="1"/>
        <w:ind w:left="163"/>
        <w:rPr>
          <w:rFonts w:ascii="Times New Roman" w:hAnsi="Times New Roman" w:eastAsia="仿宋_GB2312" w:cs="仿宋"/>
          <w:bCs/>
          <w:color w:val="auto"/>
          <w:sz w:val="44"/>
          <w:szCs w:val="44"/>
        </w:rPr>
      </w:pPr>
      <w:r>
        <w:rPr>
          <w:rFonts w:ascii="Times New Roman" w:hAnsi="Times New Roman" w:eastAsia="仿宋_GB2312"/>
          <w:color w:val="000000"/>
          <w:sz w:val="32"/>
          <w:u w:val="none"/>
        </w:rPr>
        <mc:AlternateContent>
          <mc:Choice Requires="wps">
            <w:drawing>
              <wp:anchor distT="0" distB="0" distL="114300" distR="114300" simplePos="0" relativeHeight="251661312" behindDoc="0" locked="0" layoutInCell="1" allowOverlap="1">
                <wp:simplePos x="0" y="0"/>
                <wp:positionH relativeFrom="column">
                  <wp:posOffset>27305</wp:posOffset>
                </wp:positionH>
                <wp:positionV relativeFrom="paragraph">
                  <wp:posOffset>396875</wp:posOffset>
                </wp:positionV>
                <wp:extent cx="5550535" cy="635"/>
                <wp:effectExtent l="0" t="0" r="0" b="0"/>
                <wp:wrapNone/>
                <wp:docPr id="14" name="直接连接符 14"/>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15pt;margin-top:31.25pt;height:0.05pt;width:437.05pt;z-index:251661312;mso-width-relative:page;mso-height-relative:page;" filled="f" stroked="t" coordsize="21600,21600" o:gfxdata="UEsDBAoAAAAAAIdO4kAAAAAAAAAAAAAAAAAEAAAAZHJzL1BLAwQUAAAACACHTuJA3dRdmdYAAAAH&#10;AQAADwAAAGRycy9kb3ducmV2LnhtbE2Oy26DMBBF95X6D9ZU6q4xSSkgiomiSJG6aao8PsDBE0DF&#10;Y4SdB/n6TlbN8j507ynmV9uJMw6+daRgOolAIFXOtFQr2O9WbxkIHzQZ3TlCBSN6mJfPT4XOjbvQ&#10;Bs/bUAseIZ9rBU0IfS6lrxq02k9cj8TZ0Q1WB5ZDLc2gLzxuOzmLokRa3RI/NLrHZYPV7/ZkFWyW&#10;bp0u+vjnax2+j+ntNmJVj0q9vkyjTxABr+G/DHd8RoeSmQ7uRMaLTkH8zkUFyewDBMdZmsUgDncj&#10;AVkW8pG//ANQSwMEFAAAAAgAh07iQJZNxwHtAQAA3QMAAA4AAABkcnMvZTJvRG9jLnhtbK1TS44T&#10;MRDdI3EHy3vSPQM9jFrpzGLCsEEQCThAxXanLfknlyedXIILILGDFUv23IbhGJTdIQPDJgt64S7X&#10;57nec3l+tbOGbVVE7V3Hz2Y1Z8oJL7XbdPz9u5snl5xhAifBeKc6vlfIrxaPH83H0KpzP3gjVWQE&#10;4rAdQ8eHlEJbVSgGZQFnPihHwd5HC4m2cVPJCCOhW1Od1/VFNfooQ/RCIZJ3OQX5ATGeAuj7Xgu1&#10;9OLWKpcm1KgMJKKEgw7IF6Xbvlcivel7VImZjhPTVFY6hOx1XqvFHNpNhDBocWgBTmnhAScL2tGh&#10;R6glJGC3Uf8DZbWIHn2fZsLbaiJSFCEWZ/UDbd4OEFThQlJjOIqO/w9WvN6uItOSJuEZZw4s3fjd&#10;x28/Pnz++f0TrXdfvzCKkExjwJayr90qHnYYVjFz3vXR5j+xYbsi7f4ordolJsjZNE3dPG04ExS7&#10;IIMwqvvSEDG9VN6ybHTcaJd5QwvbV5im1N8p2W0cG6nj5vJ5RgSawp5un0wbiAm6TSlGb7S80cbk&#10;Eoyb9bWJbAt5Esp36OGvtHzKEnCY8koop0E7KJAvnGRpH0giR0+D5x6skpwZRS8pWyUzgTanZBJ9&#10;40iFLOwkZbbWXu6LwsVPt150OkxoHqs/96X6/lU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1F2Z1gAAAAcBAAAPAAAAAAAAAAEAIAAAACIAAABkcnMvZG93bnJldi54bWxQSwECFAAUAAAACACH&#10;TuJAlk3HAe0BAADdAwAADgAAAAAAAAABACAAAAAlAQAAZHJzL2Uyb0RvYy54bWxQSwUGAAAAAAYA&#10;BgBZAQAAhAUAAAAA&#10;">
                <v:fill on="f" focussize="0,0"/>
                <v:stroke weight="1.25pt" color="#000000" joinstyle="round"/>
                <v:imagedata o:title=""/>
                <o:lock v:ext="edit" aspectratio="f"/>
              </v:line>
            </w:pict>
          </mc:Fallback>
        </mc:AlternateContent>
      </w:r>
      <w:r>
        <w:rPr>
          <w:rFonts w:hint="eastAsia" w:ascii="黑体" w:hAnsi="黑体" w:eastAsia="黑体"/>
          <w:color w:val="000000"/>
          <w:spacing w:val="-16"/>
          <w:u w:val="none"/>
        </w:rPr>
        <w:t>（市场监督管理部门将依法向社会公开行政处罚决定信息）</w:t>
      </w:r>
    </w:p>
    <w:p w14:paraId="515848EB">
      <w:pPr>
        <w:spacing w:line="500" w:lineRule="exact"/>
        <w:ind w:firstLine="640" w:firstLineChars="200"/>
        <w:rPr>
          <w:color w:val="auto"/>
        </w:rPr>
      </w:pPr>
      <w:r>
        <w:rPr>
          <w:rFonts w:ascii="Times New Roman" w:hAnsi="Times New Roman" w:eastAsia="仿宋_GB2312" w:cs="仿宋"/>
          <w:bCs/>
          <w:color w:val="000000"/>
          <w:sz w:val="32"/>
          <w:szCs w:val="32"/>
          <w:u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J1svO8QEAANsDAAAOAAAAZHJzL2Uyb0RvYy54bWytU81u&#10;EzEQviPxDpbvZJNUTWGVTQ8N5YIgEvAAE9ubteQ/PG42eQleAIkbnDhy520oj9GxN02hXHJgD97x&#10;zPib+T6P55c7a9hWRdTeNXwyGnOmnPBSu03DP7y/fvacM0zgJBjvVMP3Cvnl4umTeR9qNfWdN1JF&#10;RiAO6z40vEsp1FWFolMWcOSDchRsfbSQaBs3lYzQE7o11XQ8nlW9jzJELxQieZdDkB8Q4ymAvm21&#10;UEsvbqxyaUCNykAiStjpgHxRum1bJdLbtkWVmGk4MU1lpSJkr/NaLeZQbyKETotDC3BKC484WdCO&#10;ih6hlpCA3UT9D5TVInr0bRoJb6uBSFGEWEzGj7R510FQhQtJjeEoOv4/WPFmu4pMS5qEM84cWLrx&#10;288/fn36+vvnF1pvv39jFCGZ+oA1ZV+5VTzsMKxi5rxro81/YsN2Rdr9UVq1S0yQ8/xiNp1NzzkT&#10;FJtML4ry1cPZEDG9Ut6ybDTcaJeJQw3b15ioHqXep2S3caxv+IuzGd2jAJpC/EiGDcQD3aacRG+0&#10;vNbG5HyMm/WViWwLeQ7KlzkR6l9pucQSsBvySmiYkE6BfOkkS/tAAjl6GDw3YJXkzCh6R9kiQKgT&#10;aHNKJpU2jjrIsg5CZmvt5b7oW/x056XHw3zmofpzX04/vMnF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AJ1svO8QEAANsDAAAOAAAAAAAAAAEAIAAAACYBAABkcnMvZTJvRG9jLnhtbFBLBQYA&#10;AAAABgAGAFkBAACJ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u w:val="none"/>
        </w:rPr>
        <w:t xml:space="preserve">本文书一式 </w:t>
      </w:r>
      <w:r>
        <w:rPr>
          <w:rFonts w:hint="eastAsia" w:ascii="Times New Roman" w:hAnsi="Times New Roman" w:eastAsia="仿宋_GB2312" w:cs="仿宋"/>
          <w:color w:val="000000"/>
          <w:sz w:val="32"/>
          <w:szCs w:val="32"/>
          <w:u w:val="none"/>
          <w:lang w:val="en-US" w:eastAsia="zh-CN"/>
        </w:rPr>
        <w:t>二</w:t>
      </w:r>
      <w:r>
        <w:rPr>
          <w:rFonts w:hint="eastAsia" w:ascii="Times New Roman" w:hAnsi="Times New Roman" w:eastAsia="仿宋_GB2312" w:cs="仿宋"/>
          <w:color w:val="000000"/>
          <w:sz w:val="32"/>
          <w:szCs w:val="32"/>
          <w:u w:val="none"/>
        </w:rPr>
        <w:t xml:space="preserve"> 份， </w:t>
      </w:r>
      <w:r>
        <w:rPr>
          <w:rFonts w:hint="eastAsia" w:ascii="Times New Roman" w:hAnsi="Times New Roman" w:eastAsia="仿宋_GB2312" w:cs="仿宋"/>
          <w:color w:val="000000"/>
          <w:sz w:val="32"/>
          <w:szCs w:val="32"/>
          <w:u w:val="none"/>
          <w:lang w:val="en-US" w:eastAsia="zh-CN"/>
        </w:rPr>
        <w:t>一</w:t>
      </w:r>
      <w:r>
        <w:rPr>
          <w:rFonts w:hint="eastAsia" w:ascii="Times New Roman" w:hAnsi="Times New Roman" w:eastAsia="仿宋_GB2312" w:cs="仿宋"/>
          <w:color w:val="000000"/>
          <w:sz w:val="32"/>
          <w:szCs w:val="32"/>
          <w:u w:val="none"/>
        </w:rPr>
        <w:t xml:space="preserve"> 份送达，一份归档。</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ngal">
    <w:altName w:val="Segoe Print"/>
    <w:panose1 w:val="000004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2F851">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BBB9B5">
                          <w:pPr>
                            <w:pStyle w:val="5"/>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ABBB9B5">
                    <w:pPr>
                      <w:pStyle w:val="5"/>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3"/>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yM2U5YzI2ZWYzNzA3YjY5MWY2NDE1MjMyNWZjOTUifQ=="/>
    <w:docVar w:name="KSO_WPS_MARK_KEY" w:val="3a570657-d4b9-4633-8bde-b1be1a221b99"/>
  </w:docVars>
  <w:rsids>
    <w:rsidRoot w:val="5BA419F7"/>
    <w:rsid w:val="00193C35"/>
    <w:rsid w:val="0032134F"/>
    <w:rsid w:val="010A478A"/>
    <w:rsid w:val="02B83402"/>
    <w:rsid w:val="042774DD"/>
    <w:rsid w:val="048D2705"/>
    <w:rsid w:val="04CD463F"/>
    <w:rsid w:val="04FA4431"/>
    <w:rsid w:val="05C51508"/>
    <w:rsid w:val="06476E0A"/>
    <w:rsid w:val="06BAE61F"/>
    <w:rsid w:val="071C7669"/>
    <w:rsid w:val="07580619"/>
    <w:rsid w:val="0776795A"/>
    <w:rsid w:val="07DA78EE"/>
    <w:rsid w:val="08365B64"/>
    <w:rsid w:val="087864F3"/>
    <w:rsid w:val="090B4D3A"/>
    <w:rsid w:val="09290BEC"/>
    <w:rsid w:val="09AA7B69"/>
    <w:rsid w:val="0A2F38BD"/>
    <w:rsid w:val="0A3665F0"/>
    <w:rsid w:val="0B22091D"/>
    <w:rsid w:val="0CF71776"/>
    <w:rsid w:val="0D242541"/>
    <w:rsid w:val="0E232FCF"/>
    <w:rsid w:val="0FB748D6"/>
    <w:rsid w:val="103E22C5"/>
    <w:rsid w:val="11524677"/>
    <w:rsid w:val="115320F9"/>
    <w:rsid w:val="119E3BCA"/>
    <w:rsid w:val="1350279A"/>
    <w:rsid w:val="14203063"/>
    <w:rsid w:val="143E1E38"/>
    <w:rsid w:val="1490670C"/>
    <w:rsid w:val="152E563E"/>
    <w:rsid w:val="15B93156"/>
    <w:rsid w:val="16D23D7F"/>
    <w:rsid w:val="18325353"/>
    <w:rsid w:val="188449CB"/>
    <w:rsid w:val="18B229B2"/>
    <w:rsid w:val="19FE4517"/>
    <w:rsid w:val="1AE345F4"/>
    <w:rsid w:val="1B37398D"/>
    <w:rsid w:val="1C7339BB"/>
    <w:rsid w:val="1C7A5BA8"/>
    <w:rsid w:val="1E664711"/>
    <w:rsid w:val="1EC222D9"/>
    <w:rsid w:val="1F2B5D07"/>
    <w:rsid w:val="1FC004DE"/>
    <w:rsid w:val="1FD31F15"/>
    <w:rsid w:val="212E3259"/>
    <w:rsid w:val="22287087"/>
    <w:rsid w:val="237778B4"/>
    <w:rsid w:val="23F5677C"/>
    <w:rsid w:val="24626694"/>
    <w:rsid w:val="258D6CE0"/>
    <w:rsid w:val="27A45517"/>
    <w:rsid w:val="2B1B3EFC"/>
    <w:rsid w:val="2CEA3815"/>
    <w:rsid w:val="2DE10173"/>
    <w:rsid w:val="2E887847"/>
    <w:rsid w:val="2F327E79"/>
    <w:rsid w:val="2F7CE1EF"/>
    <w:rsid w:val="2F8A6913"/>
    <w:rsid w:val="30DB5683"/>
    <w:rsid w:val="30FA2F6D"/>
    <w:rsid w:val="31562B39"/>
    <w:rsid w:val="31BE0AF5"/>
    <w:rsid w:val="32CE76E8"/>
    <w:rsid w:val="3334290F"/>
    <w:rsid w:val="33740640"/>
    <w:rsid w:val="3585615B"/>
    <w:rsid w:val="363C12E3"/>
    <w:rsid w:val="368E5656"/>
    <w:rsid w:val="377FBB27"/>
    <w:rsid w:val="37F16547"/>
    <w:rsid w:val="38B63DA7"/>
    <w:rsid w:val="3930619F"/>
    <w:rsid w:val="3A4E178D"/>
    <w:rsid w:val="3BF97ECA"/>
    <w:rsid w:val="3C2965F0"/>
    <w:rsid w:val="3D6B1177"/>
    <w:rsid w:val="3E5F4AE1"/>
    <w:rsid w:val="3E853745"/>
    <w:rsid w:val="3F2604DF"/>
    <w:rsid w:val="3F6783E4"/>
    <w:rsid w:val="3F842066"/>
    <w:rsid w:val="3FFF82D4"/>
    <w:rsid w:val="402E7C06"/>
    <w:rsid w:val="40FE5F8F"/>
    <w:rsid w:val="425049CE"/>
    <w:rsid w:val="442B16EC"/>
    <w:rsid w:val="458F64B9"/>
    <w:rsid w:val="45C51FFB"/>
    <w:rsid w:val="46157ACD"/>
    <w:rsid w:val="47243FC5"/>
    <w:rsid w:val="48C10000"/>
    <w:rsid w:val="4A555101"/>
    <w:rsid w:val="4ADF49AE"/>
    <w:rsid w:val="4B8F0B22"/>
    <w:rsid w:val="4C02380F"/>
    <w:rsid w:val="4C7C04B3"/>
    <w:rsid w:val="4CC8271B"/>
    <w:rsid w:val="4D9306AE"/>
    <w:rsid w:val="4E8950D9"/>
    <w:rsid w:val="4F722566"/>
    <w:rsid w:val="4F93378A"/>
    <w:rsid w:val="503F09B5"/>
    <w:rsid w:val="516D5500"/>
    <w:rsid w:val="52802336"/>
    <w:rsid w:val="53A0483E"/>
    <w:rsid w:val="547C0750"/>
    <w:rsid w:val="554A40A9"/>
    <w:rsid w:val="55FE5622"/>
    <w:rsid w:val="57503162"/>
    <w:rsid w:val="58A4140A"/>
    <w:rsid w:val="591F0542"/>
    <w:rsid w:val="59A10938"/>
    <w:rsid w:val="5BA419F7"/>
    <w:rsid w:val="5BEF1DBF"/>
    <w:rsid w:val="5BF91583"/>
    <w:rsid w:val="5BFB2E57"/>
    <w:rsid w:val="5C5D2BD9"/>
    <w:rsid w:val="5DD7483B"/>
    <w:rsid w:val="5E5FAB03"/>
    <w:rsid w:val="5E605C94"/>
    <w:rsid w:val="5EA00CBE"/>
    <w:rsid w:val="5EE31255"/>
    <w:rsid w:val="5F9FEDD5"/>
    <w:rsid w:val="5FBEF003"/>
    <w:rsid w:val="5FE33914"/>
    <w:rsid w:val="5FFA4D85"/>
    <w:rsid w:val="602422E6"/>
    <w:rsid w:val="60B635F2"/>
    <w:rsid w:val="60C16F3B"/>
    <w:rsid w:val="612E7E8C"/>
    <w:rsid w:val="617678F3"/>
    <w:rsid w:val="61DC2B1A"/>
    <w:rsid w:val="636955DE"/>
    <w:rsid w:val="646E5E05"/>
    <w:rsid w:val="64E43803"/>
    <w:rsid w:val="657F58CB"/>
    <w:rsid w:val="66934D57"/>
    <w:rsid w:val="6AD7030F"/>
    <w:rsid w:val="6BA277B7"/>
    <w:rsid w:val="6BCC1BB9"/>
    <w:rsid w:val="6C6723F1"/>
    <w:rsid w:val="6CA517CF"/>
    <w:rsid w:val="6D064CEC"/>
    <w:rsid w:val="6D6C7F13"/>
    <w:rsid w:val="6D923254"/>
    <w:rsid w:val="6DD2313B"/>
    <w:rsid w:val="6E04767D"/>
    <w:rsid w:val="6E355D52"/>
    <w:rsid w:val="6E6950E9"/>
    <w:rsid w:val="6ED952C0"/>
    <w:rsid w:val="6F013B3F"/>
    <w:rsid w:val="6F732ABB"/>
    <w:rsid w:val="6FF58B64"/>
    <w:rsid w:val="6FF8F863"/>
    <w:rsid w:val="70CF02CA"/>
    <w:rsid w:val="70F532B7"/>
    <w:rsid w:val="71013020"/>
    <w:rsid w:val="710D7C3E"/>
    <w:rsid w:val="71FC56E7"/>
    <w:rsid w:val="7376089F"/>
    <w:rsid w:val="74E06ABE"/>
    <w:rsid w:val="75B2DA43"/>
    <w:rsid w:val="75BD90DB"/>
    <w:rsid w:val="75CC41D0"/>
    <w:rsid w:val="75F8119D"/>
    <w:rsid w:val="76222141"/>
    <w:rsid w:val="76704CDE"/>
    <w:rsid w:val="76D869B3"/>
    <w:rsid w:val="76FD0A98"/>
    <w:rsid w:val="77DF8BD4"/>
    <w:rsid w:val="77EFD5CC"/>
    <w:rsid w:val="77FFADAC"/>
    <w:rsid w:val="7835649C"/>
    <w:rsid w:val="789620E4"/>
    <w:rsid w:val="78FD530C"/>
    <w:rsid w:val="7AFB4DD2"/>
    <w:rsid w:val="7B0F6E9A"/>
    <w:rsid w:val="7B8020FC"/>
    <w:rsid w:val="7BA46A39"/>
    <w:rsid w:val="7BFD6076"/>
    <w:rsid w:val="7C8E43D6"/>
    <w:rsid w:val="7DA813EB"/>
    <w:rsid w:val="7DFF108F"/>
    <w:rsid w:val="7EED8AE6"/>
    <w:rsid w:val="7F5A6980"/>
    <w:rsid w:val="7FEADF5C"/>
    <w:rsid w:val="91BF8AB9"/>
    <w:rsid w:val="9FF1B21D"/>
    <w:rsid w:val="B7BFD803"/>
    <w:rsid w:val="BD5EB179"/>
    <w:rsid w:val="BD7F788E"/>
    <w:rsid w:val="DEFF1EB3"/>
    <w:rsid w:val="DF3F4C88"/>
    <w:rsid w:val="DF7A9960"/>
    <w:rsid w:val="DFBF15D5"/>
    <w:rsid w:val="DFD70EC8"/>
    <w:rsid w:val="DFFE6C63"/>
    <w:rsid w:val="E53DE605"/>
    <w:rsid w:val="E775D448"/>
    <w:rsid w:val="ECC7B000"/>
    <w:rsid w:val="F0ED2927"/>
    <w:rsid w:val="F3EF5848"/>
    <w:rsid w:val="F5A28C7E"/>
    <w:rsid w:val="F9BF6AE4"/>
    <w:rsid w:val="FB57F652"/>
    <w:rsid w:val="FBBF88F6"/>
    <w:rsid w:val="FBFEBC90"/>
    <w:rsid w:val="FCF69F69"/>
    <w:rsid w:val="FD7BEF22"/>
    <w:rsid w:val="FD8BB826"/>
    <w:rsid w:val="FD9199D6"/>
    <w:rsid w:val="FDAC17BA"/>
    <w:rsid w:val="FDDF4064"/>
    <w:rsid w:val="FDF46C9E"/>
    <w:rsid w:val="FEAFF630"/>
    <w:rsid w:val="FEDEBCAC"/>
    <w:rsid w:val="FF7F62AA"/>
    <w:rsid w:val="FFDBA3A8"/>
    <w:rsid w:val="FFDF073B"/>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方正小标宋简体" w:hAnsi="Calibri" w:eastAsia="方正小标宋简体" w:cs="方正小标宋简体"/>
      <w:color w:val="000000"/>
      <w:sz w:val="24"/>
      <w:szCs w:val="24"/>
      <w:lang w:val="en-US" w:eastAsia="zh-CN" w:bidi="ar-SA"/>
    </w:rPr>
  </w:style>
  <w:style w:type="paragraph" w:styleId="4">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5">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3531</Words>
  <Characters>3954</Characters>
  <Lines>0</Lines>
  <Paragraphs>0</Paragraphs>
  <TotalTime>6</TotalTime>
  <ScaleCrop>false</ScaleCrop>
  <LinksUpToDate>false</LinksUpToDate>
  <CharactersWithSpaces>4345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2021-08-02T10:04:00Z</dcterms:created>
  <dc:creator>胖林宝宝噜啦噜～</dc:creator>
  <cp:lastModifiedBy>Administrator</cp:lastModifiedBy>
  <dcterms:modified xsi:type="dcterms:W3CDTF">2026-06-25T01:50:22Z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526F4C53292B48849053E71A59849707</vt:lpwstr>
  </property>
</Properties>
</file>