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67D9FD">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default" w:ascii="方正小标宋简体" w:hAnsi="方正小标宋简体" w:eastAsia="方正小标宋简体" w:cs="方正小标宋简体"/>
          <w:color w:val="000000"/>
          <w:sz w:val="44"/>
          <w:u w:val="none"/>
        </w:rPr>
        <w:t>融水苗族自治县市场监督管理局</w:t>
      </w:r>
      <w:bookmarkEnd w:id="0"/>
    </w:p>
    <w:p w14:paraId="6E8FEB5D">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000000"/>
          <w:sz w:val="44"/>
          <w:szCs w:val="44"/>
          <w:u w:val="none"/>
          <w:lang w:val="en-US"/>
        </w:rPr>
        <w:t>行政处罚</w:t>
      </w:r>
      <w:r>
        <w:rPr>
          <w:rFonts w:hint="eastAsia" w:hAnsi="方正小标宋简体" w:eastAsia="方正小标宋简体" w:cs="方正小标宋简体"/>
          <w:color w:val="000000"/>
          <w:sz w:val="44"/>
          <w:szCs w:val="44"/>
          <w:u w:val="none"/>
          <w:lang w:val="en-US" w:eastAsia="zh-Hans"/>
        </w:rPr>
        <w:t>决定</w:t>
      </w:r>
      <w:r>
        <w:rPr>
          <w:rFonts w:hint="eastAsia" w:hAnsi="方正小标宋简体" w:eastAsia="方正小标宋简体" w:cs="方正小标宋简体"/>
          <w:color w:val="000000"/>
          <w:sz w:val="44"/>
          <w:szCs w:val="44"/>
          <w:u w:val="none"/>
          <w:lang w:val="en-US"/>
        </w:rPr>
        <w:t>书</w:t>
      </w:r>
      <w:bookmarkEnd w:id="1"/>
    </w:p>
    <w:p w14:paraId="78D34D54">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000000"/>
          <w:sz w:val="32"/>
          <w:u w:val="none"/>
        </w:rPr>
        <w:t>融水市监处罚〔2026〕98号</w:t>
      </w:r>
      <w:bookmarkEnd w:id="2"/>
    </w:p>
    <w:p w14:paraId="4D7E3709">
      <w:pPr>
        <w:spacing w:before="315" w:beforeLines="100" w:line="540" w:lineRule="exact"/>
        <w:ind w:left="142" w:hanging="142"/>
        <w:rPr>
          <w:rFonts w:hint="eastAsia" w:ascii="仿宋_GB2312" w:hAnsi="仿宋_GB2312" w:eastAsia="仿宋_GB2312" w:cs="仿宋_GB2312"/>
          <w:b w:val="0"/>
          <w:bCs/>
          <w:color w:val="auto"/>
          <w:sz w:val="32"/>
          <w:szCs w:val="32"/>
          <w:lang w:val="en-US" w:eastAsia="zh-CN"/>
        </w:rPr>
      </w:pPr>
      <w:r>
        <w:rPr>
          <w:rFonts w:hint="eastAsia" w:ascii="仿宋_GB2312" w:hAnsi="仿宋_GB2312" w:eastAsia="仿宋_GB2312" w:cs="仿宋_GB2312"/>
          <w:b w:val="0"/>
          <w:bCs/>
          <w:color w:val="000000"/>
          <w:kern w:val="1"/>
          <w:sz w:val="32"/>
          <w:szCs w:val="32"/>
          <w:u w:val="none"/>
        </w:rPr>
        <w:t>当事人：</w:t>
      </w:r>
      <w:bookmarkStart w:id="3" w:name="CALCULATE—DSR—tAjDsrs_cMc"/>
      <w:r>
        <w:rPr>
          <w:rFonts w:hint="eastAsia" w:ascii="仿宋_GB2312" w:hAnsi="仿宋_GB2312" w:eastAsia="仿宋_GB2312" w:cs="仿宋_GB2312"/>
          <w:b w:val="0"/>
          <w:color w:val="000000"/>
          <w:sz w:val="32"/>
          <w:u w:val="none"/>
        </w:rPr>
        <w:t>融水县黄丽霞杂货店</w:t>
      </w:r>
      <w:bookmarkEnd w:id="3"/>
      <w:r>
        <w:rPr>
          <w:rFonts w:hint="eastAsia" w:ascii="仿宋_GB2312" w:hAnsi="仿宋_GB2312" w:eastAsia="仿宋_GB2312" w:cs="仿宋_GB2312"/>
          <w:b w:val="0"/>
          <w:bCs/>
          <w:color w:val="000000"/>
          <w:kern w:val="1"/>
          <w:sz w:val="32"/>
          <w:szCs w:val="32"/>
          <w:u w:val="none"/>
        </w:rPr>
        <w:t xml:space="preserve">                                            </w:t>
      </w:r>
    </w:p>
    <w:p w14:paraId="58591577">
      <w:pPr>
        <w:spacing w:line="540" w:lineRule="exact"/>
        <w:ind w:left="140" w:hanging="140"/>
        <w:rPr>
          <w:rFonts w:hint="eastAsia" w:ascii="仿宋_GB2312" w:hAnsi="仿宋_GB2312" w:eastAsia="仿宋_GB2312" w:cs="仿宋_GB2312"/>
          <w:b w:val="0"/>
          <w:bCs/>
          <w:color w:val="auto"/>
          <w:kern w:val="1"/>
          <w:sz w:val="32"/>
          <w:szCs w:val="32"/>
          <w:u w:val="single"/>
        </w:rPr>
      </w:pPr>
      <w:r>
        <w:rPr>
          <w:rFonts w:hint="eastAsia" w:ascii="仿宋_GB2312" w:hAnsi="仿宋_GB2312" w:eastAsia="仿宋_GB2312" w:cs="仿宋_GB2312"/>
          <w:b w:val="0"/>
          <w:bCs/>
          <w:color w:val="000000"/>
          <w:kern w:val="1"/>
          <w:sz w:val="32"/>
          <w:szCs w:val="32"/>
          <w:u w:val="none"/>
        </w:rPr>
        <w:t>主体资格证照名称：</w:t>
      </w:r>
      <w:bookmarkStart w:id="4" w:name="CALCULATE—DSR—tAjDsrs_cZtzgzzmc"/>
      <w:r>
        <w:rPr>
          <w:rFonts w:hint="eastAsia" w:ascii="仿宋_GB2312" w:hAnsi="仿宋_GB2312" w:eastAsia="仿宋_GB2312" w:cs="仿宋_GB2312"/>
          <w:b w:val="0"/>
          <w:color w:val="000000"/>
          <w:sz w:val="32"/>
          <w:u w:val="none"/>
        </w:rPr>
        <w:t>营业执照</w:t>
      </w:r>
      <w:bookmarkEnd w:id="4"/>
      <w:r>
        <w:rPr>
          <w:rFonts w:hint="eastAsia" w:ascii="仿宋_GB2312" w:hAnsi="仿宋_GB2312" w:eastAsia="仿宋_GB2312" w:cs="仿宋_GB2312"/>
          <w:b w:val="0"/>
          <w:bCs/>
          <w:color w:val="000000"/>
          <w:kern w:val="1"/>
          <w:sz w:val="32"/>
          <w:szCs w:val="32"/>
          <w:u w:val="none"/>
        </w:rPr>
        <w:t xml:space="preserve">                                  </w:t>
      </w:r>
    </w:p>
    <w:p w14:paraId="0E2D6989">
      <w:pPr>
        <w:spacing w:line="540" w:lineRule="exact"/>
        <w:ind w:left="140" w:hanging="140"/>
        <w:rPr>
          <w:rFonts w:hint="eastAsia" w:ascii="仿宋_GB2312" w:hAnsi="仿宋_GB2312" w:eastAsia="仿宋_GB2312" w:cs="仿宋_GB2312"/>
          <w:b w:val="0"/>
          <w:bCs/>
          <w:color w:val="auto"/>
          <w:kern w:val="1"/>
          <w:sz w:val="32"/>
          <w:szCs w:val="32"/>
          <w:u w:val="single"/>
          <w:lang w:val="en-US" w:eastAsia="zh-CN"/>
        </w:rPr>
      </w:pPr>
      <w:r>
        <w:rPr>
          <w:rFonts w:hint="eastAsia" w:ascii="仿宋_GB2312" w:hAnsi="仿宋_GB2312" w:eastAsia="仿宋_GB2312" w:cs="仿宋_GB2312"/>
          <w:b w:val="0"/>
          <w:bCs/>
          <w:color w:val="000000"/>
          <w:kern w:val="1"/>
          <w:sz w:val="32"/>
          <w:szCs w:val="32"/>
          <w:u w:val="none"/>
        </w:rPr>
        <w:t>统一社会信用代码：</w:t>
      </w:r>
      <w:bookmarkStart w:id="5" w:name="CALCULATE—DSR—tAjDsrs_cTzshxydm"/>
      <w:r>
        <w:rPr>
          <w:rFonts w:hint="eastAsia" w:ascii="仿宋_GB2312" w:hAnsi="仿宋_GB2312" w:eastAsia="仿宋_GB2312" w:cs="仿宋_GB2312"/>
          <w:b w:val="0"/>
          <w:color w:val="000000"/>
          <w:sz w:val="32"/>
          <w:u w:val="none"/>
        </w:rPr>
        <w:t>92450225MABR3JK4XC</w:t>
      </w:r>
      <w:bookmarkEnd w:id="5"/>
      <w:r>
        <w:rPr>
          <w:rFonts w:hint="eastAsia" w:ascii="仿宋_GB2312" w:hAnsi="仿宋_GB2312" w:eastAsia="仿宋_GB2312" w:cs="仿宋_GB2312"/>
          <w:b w:val="0"/>
          <w:bCs/>
          <w:color w:val="000000"/>
          <w:kern w:val="1"/>
          <w:sz w:val="32"/>
          <w:szCs w:val="32"/>
          <w:u w:val="none"/>
        </w:rPr>
        <w:t xml:space="preserve">                                  </w:t>
      </w:r>
    </w:p>
    <w:p w14:paraId="40A84347">
      <w:pPr>
        <w:spacing w:line="540" w:lineRule="exact"/>
        <w:ind w:left="140" w:hanging="140"/>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000000"/>
          <w:kern w:val="1"/>
          <w:sz w:val="32"/>
          <w:szCs w:val="32"/>
          <w:u w:val="none"/>
        </w:rPr>
        <w:t>住所（住址）：</w:t>
      </w:r>
      <w:bookmarkStart w:id="6" w:name="CALCULATE—DSR—tAjDsrs_cLxdzSheng"/>
      <w:r>
        <w:rPr>
          <w:rFonts w:hint="eastAsia" w:ascii="仿宋_GB2312" w:hAnsi="仿宋_GB2312" w:eastAsia="仿宋_GB2312" w:cs="仿宋_GB2312"/>
          <w:b w:val="0"/>
          <w:color w:val="000000"/>
          <w:sz w:val="32"/>
          <w:u w:val="none"/>
        </w:rPr>
        <w:t>广西壮族自治区柳州市融水苗族自治县广西柳州市融水县融水镇商贸城农贸市场</w:t>
      </w:r>
      <w:bookmarkEnd w:id="6"/>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r>
        <w:rPr>
          <w:rFonts w:hint="eastAsia" w:ascii="仿宋_GB2312" w:hAnsi="仿宋_GB2312" w:eastAsia="仿宋_GB2312" w:cs="仿宋_GB2312"/>
          <w:b w:val="0"/>
          <w:bCs/>
          <w:color w:val="000000"/>
          <w:kern w:val="1"/>
          <w:sz w:val="32"/>
          <w:szCs w:val="32"/>
          <w:u w:val="none"/>
          <w:lang w:val="en-US" w:eastAsia="zh-CN"/>
        </w:rPr>
        <w:t xml:space="preserve"> </w:t>
      </w:r>
    </w:p>
    <w:p w14:paraId="25BEE13A">
      <w:pPr>
        <w:spacing w:line="540" w:lineRule="exact"/>
        <w:rPr>
          <w:rFonts w:hint="eastAsia" w:ascii="仿宋_GB2312" w:hAnsi="仿宋_GB2312" w:eastAsia="仿宋_GB2312" w:cs="仿宋_GB2312"/>
          <w:b w:val="0"/>
          <w:bCs/>
          <w:color w:val="auto"/>
          <w:kern w:val="1"/>
          <w:sz w:val="32"/>
          <w:szCs w:val="32"/>
          <w:lang w:val="en-US" w:eastAsia="zh-CN"/>
        </w:rPr>
      </w:pPr>
      <w:r>
        <w:rPr>
          <w:rFonts w:hint="eastAsia" w:ascii="仿宋_GB2312" w:hAnsi="仿宋_GB2312" w:eastAsia="仿宋_GB2312" w:cs="仿宋_GB2312"/>
          <w:b w:val="0"/>
          <w:bCs/>
          <w:color w:val="000000"/>
          <w:kern w:val="1"/>
          <w:sz w:val="32"/>
          <w:szCs w:val="32"/>
          <w:u w:val="none"/>
        </w:rPr>
        <w:t>法定代表人（负责人</w:t>
      </w:r>
      <w:r>
        <w:rPr>
          <w:rFonts w:hint="eastAsia" w:ascii="仿宋_GB2312" w:hAnsi="仿宋_GB2312" w:eastAsia="仿宋_GB2312" w:cs="仿宋_GB2312"/>
          <w:b w:val="0"/>
          <w:bCs/>
          <w:color w:val="000000"/>
          <w:kern w:val="1"/>
          <w:sz w:val="32"/>
          <w:szCs w:val="32"/>
          <w:u w:val="none"/>
          <w:lang w:eastAsia="zh-CN"/>
        </w:rPr>
        <w:t>、经营者</w:t>
      </w:r>
      <w:r>
        <w:rPr>
          <w:rFonts w:hint="eastAsia" w:ascii="仿宋_GB2312" w:hAnsi="仿宋_GB2312" w:eastAsia="仿宋_GB2312" w:cs="仿宋_GB2312"/>
          <w:b w:val="0"/>
          <w:bCs/>
          <w:color w:val="000000"/>
          <w:kern w:val="1"/>
          <w:sz w:val="32"/>
          <w:szCs w:val="32"/>
          <w:u w:val="none"/>
        </w:rPr>
        <w:t>）：</w:t>
      </w:r>
      <w:bookmarkStart w:id="7" w:name="CALCULATE—DSR—tAjDsrs_cFddbr"/>
      <w:r>
        <w:rPr>
          <w:rFonts w:hint="eastAsia" w:ascii="仿宋_GB2312" w:hAnsi="仿宋_GB2312" w:eastAsia="仿宋_GB2312" w:cs="仿宋_GB2312"/>
          <w:b w:val="0"/>
          <w:color w:val="000000"/>
          <w:sz w:val="32"/>
          <w:u w:val="none"/>
        </w:rPr>
        <w:t>黄丽霞</w:t>
      </w:r>
      <w:bookmarkEnd w:id="7"/>
      <w:r>
        <w:rPr>
          <w:rFonts w:hint="eastAsia" w:ascii="仿宋_GB2312" w:hAnsi="仿宋_GB2312" w:eastAsia="仿宋_GB2312" w:cs="仿宋_GB2312"/>
          <w:b w:val="0"/>
          <w:bCs/>
          <w:color w:val="000000"/>
          <w:kern w:val="1"/>
          <w:sz w:val="32"/>
          <w:szCs w:val="32"/>
          <w:u w:val="none"/>
        </w:rPr>
        <w:t xml:space="preserve">                       </w:t>
      </w:r>
    </w:p>
    <w:p w14:paraId="437E9BC0">
      <w:pPr>
        <w:spacing w:line="540" w:lineRule="exact"/>
        <w:ind w:left="140" w:hanging="140"/>
        <w:rPr>
          <w:rFonts w:hint="eastAsia" w:ascii="仿宋_GB2312" w:hAnsi="仿宋_GB2312" w:eastAsia="仿宋_GB2312" w:cs="仿宋_GB2312"/>
          <w:b w:val="0"/>
          <w:bCs/>
          <w:color w:val="auto"/>
          <w:sz w:val="32"/>
          <w:szCs w:val="32"/>
          <w:u w:val="single" w:color="231F20"/>
        </w:rPr>
      </w:pPr>
      <w:r>
        <w:rPr>
          <w:rFonts w:hint="eastAsia" w:ascii="仿宋_GB2312" w:hAnsi="仿宋_GB2312" w:eastAsia="仿宋_GB2312" w:cs="仿宋_GB2312"/>
          <w:b w:val="0"/>
          <w:bCs/>
          <w:color w:val="000000"/>
          <w:kern w:val="1"/>
          <w:sz w:val="32"/>
          <w:szCs w:val="32"/>
          <w:u w:val="none"/>
        </w:rPr>
        <w:t>身份证件号码：</w:t>
      </w:r>
      <w:bookmarkStart w:id="8" w:name="CALCULATE—DSR—tAjDsrs_cZjhm"/>
      <w:r>
        <w:rPr>
          <w:rFonts w:hint="eastAsia" w:ascii="仿宋_GB2312" w:hAnsi="仿宋_GB2312" w:eastAsia="仿宋_GB2312" w:cs="仿宋_GB2312"/>
          <w:b w:val="0"/>
          <w:color w:val="000000"/>
          <w:sz w:val="32"/>
          <w:u w:val="none"/>
        </w:rPr>
        <w:t>452229198510</w:t>
      </w:r>
      <w:bookmarkEnd w:id="8"/>
      <w:r>
        <w:rPr>
          <w:rFonts w:hint="eastAsia" w:ascii="仿宋_GB2312" w:hAnsi="仿宋_GB2312" w:eastAsia="仿宋_GB2312" w:cs="仿宋_GB2312"/>
          <w:b w:val="0"/>
          <w:color w:val="000000"/>
          <w:sz w:val="32"/>
          <w:u w:val="none"/>
          <w:lang w:val="en-US" w:eastAsia="zh-CN"/>
        </w:rPr>
        <w:t>******</w:t>
      </w:r>
      <w:r>
        <w:rPr>
          <w:rFonts w:hint="eastAsia" w:ascii="仿宋_GB2312" w:hAnsi="仿宋_GB2312" w:eastAsia="仿宋_GB2312" w:cs="仿宋_GB2312"/>
          <w:b w:val="0"/>
          <w:bCs/>
          <w:color w:val="000000"/>
          <w:kern w:val="1"/>
          <w:sz w:val="32"/>
          <w:szCs w:val="32"/>
          <w:u w:val="none"/>
        </w:rPr>
        <w:t xml:space="preserve">                                    </w:t>
      </w:r>
    </w:p>
    <w:p w14:paraId="045AED31">
      <w:pPr>
        <w:pStyle w:val="3"/>
        <w:tabs>
          <w:tab w:val="left" w:pos="9060"/>
        </w:tabs>
        <w:spacing w:line="240" w:lineRule="auto"/>
        <w:ind w:firstLine="640" w:firstLineChars="200"/>
        <w:rPr>
          <w:rFonts w:hint="eastAsia" w:ascii="仿宋_GB2312" w:hAnsi="仿宋_GB2312" w:eastAsia="仿宋_GB2312" w:cs="仿宋_GB2312"/>
          <w:b w:val="0"/>
          <w:bCs/>
          <w:color w:val="auto"/>
          <w:sz w:val="32"/>
          <w:szCs w:val="32"/>
          <w:u w:val="none" w:color="auto"/>
          <w:lang w:val="en-US" w:eastAsia="zh-CN"/>
        </w:rPr>
      </w:pPr>
      <w:bookmarkStart w:id="9" w:name="CALCULATE—AYHC—tAjHc_cHcqkjlaay"/>
      <w:r>
        <w:rPr>
          <w:rFonts w:hint="eastAsia" w:ascii="仿宋_GB2312" w:hAnsi="仿宋_GB2312" w:eastAsia="仿宋_GB2312" w:cs="仿宋_GB2312"/>
          <w:b w:val="0"/>
          <w:color w:val="000000"/>
          <w:sz w:val="32"/>
          <w:u w:val="none" w:color="auto"/>
        </w:rPr>
        <w:t>2026年3月19日</w:t>
      </w:r>
      <w:r>
        <w:rPr>
          <w:rFonts w:hint="eastAsia" w:ascii="仿宋_GB2312" w:hAnsi="仿宋_GB2312" w:eastAsia="仿宋_GB2312" w:cs="仿宋_GB2312"/>
          <w:b w:val="0"/>
          <w:color w:val="000000"/>
          <w:sz w:val="32"/>
          <w:u w:val="none" w:color="auto"/>
          <w:lang w:eastAsia="zh-CN"/>
        </w:rPr>
        <w:t>本局</w:t>
      </w:r>
      <w:r>
        <w:rPr>
          <w:rFonts w:hint="eastAsia" w:ascii="仿宋_GB2312" w:hAnsi="仿宋_GB2312" w:eastAsia="仿宋_GB2312" w:cs="仿宋_GB2312"/>
          <w:b w:val="0"/>
          <w:color w:val="000000"/>
          <w:sz w:val="32"/>
          <w:u w:val="none" w:color="auto"/>
        </w:rPr>
        <w:t>联合县烟草专卖局执法人员到融水县黄丽霞杂货店</w:t>
      </w:r>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color w:val="000000"/>
          <w:sz w:val="32"/>
          <w:u w:val="none" w:color="auto"/>
          <w:lang w:val="en-US" w:eastAsia="zh-CN"/>
        </w:rPr>
        <w:t>以下简称当事人</w:t>
      </w:r>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color w:val="000000"/>
          <w:sz w:val="32"/>
          <w:u w:val="none" w:color="auto"/>
        </w:rPr>
        <w:t>进行检查，在当事人</w:t>
      </w:r>
      <w:r>
        <w:rPr>
          <w:rFonts w:hint="eastAsia" w:ascii="仿宋_GB2312" w:hAnsi="仿宋_GB2312" w:eastAsia="仿宋_GB2312" w:cs="仿宋_GB2312"/>
          <w:b w:val="0"/>
          <w:color w:val="000000"/>
          <w:sz w:val="32"/>
          <w:u w:val="none" w:color="auto"/>
          <w:lang w:val="en-US" w:eastAsia="zh-CN"/>
        </w:rPr>
        <w:t>经营者</w:t>
      </w:r>
      <w:r>
        <w:rPr>
          <w:rFonts w:hint="eastAsia" w:ascii="仿宋_GB2312" w:hAnsi="仿宋_GB2312" w:eastAsia="仿宋_GB2312" w:cs="仿宋_GB2312"/>
          <w:b w:val="0"/>
          <w:color w:val="000000"/>
          <w:sz w:val="32"/>
          <w:u w:val="none" w:color="auto"/>
        </w:rPr>
        <w:t>黄丽霞的陪同检查下发现该摊位销售卷烟，同时当事人未能出示《烟草专卖零售许可证》，经请示局领导批准后，执法人员对上述产品实施了先行登记保存措施。当事人无证销售卷烟的行为，违反了《中华人民共和国烟草专卖法(2015修正)》第三条的规定</w:t>
      </w:r>
      <w:bookmarkEnd w:id="9"/>
      <w:r>
        <w:rPr>
          <w:rFonts w:hint="eastAsia" w:ascii="仿宋_GB2312" w:hAnsi="仿宋_GB2312" w:eastAsia="仿宋_GB2312" w:cs="仿宋_GB2312"/>
          <w:b w:val="0"/>
          <w:color w:val="000000"/>
          <w:sz w:val="32"/>
          <w:u w:val="none" w:color="auto"/>
          <w:lang w:eastAsia="zh-CN"/>
        </w:rPr>
        <w:t>。</w:t>
      </w:r>
      <w:r>
        <w:rPr>
          <w:rFonts w:hint="eastAsia" w:ascii="仿宋_GB2312" w:hAnsi="仿宋_GB2312" w:eastAsia="仿宋_GB2312" w:cs="仿宋_GB2312"/>
          <w:b w:val="0"/>
          <w:color w:val="000000"/>
          <w:sz w:val="32"/>
          <w:u w:val="none" w:color="auto"/>
        </w:rPr>
        <w:t>同日，经局领导审批同意对当事人立案调查，2026年3月26日，当事人经营者黄丽霞到融水市场监督管理所接受询问调查，提交了相关证据材料。</w:t>
      </w:r>
    </w:p>
    <w:p w14:paraId="7322CF84">
      <w:pPr>
        <w:pStyle w:val="3"/>
        <w:tabs>
          <w:tab w:val="left" w:pos="8240"/>
        </w:tabs>
        <w:spacing w:line="240" w:lineRule="auto"/>
        <w:ind w:firstLine="640" w:firstLineChars="200"/>
        <w:rPr>
          <w:rFonts w:hint="eastAsia" w:ascii="仿宋_GB2312" w:hAnsi="仿宋_GB2312" w:eastAsia="仿宋_GB2312" w:cs="仿宋_GB2312"/>
          <w:b w:val="0"/>
          <w:bCs/>
          <w:color w:val="auto"/>
          <w:kern w:val="1"/>
          <w:sz w:val="32"/>
          <w:szCs w:val="32"/>
          <w:u w:val="none" w:color="auto"/>
          <w:lang w:val="en-US" w:eastAsia="zh-CN"/>
        </w:rPr>
      </w:pPr>
      <w:r>
        <w:rPr>
          <w:rFonts w:hint="eastAsia" w:ascii="仿宋_GB2312" w:hAnsi="仿宋_GB2312" w:eastAsia="仿宋_GB2312" w:cs="仿宋_GB2312"/>
          <w:b w:val="0"/>
          <w:bCs/>
          <w:color w:val="000000"/>
          <w:kern w:val="1"/>
          <w:sz w:val="32"/>
          <w:szCs w:val="32"/>
          <w:u w:val="none" w:color="auto"/>
        </w:rPr>
        <w:t>经查</w:t>
      </w:r>
      <w:bookmarkStart w:id="10" w:name="CALCULATE—AJCF—tAjCfes_cAjss"/>
      <w:r>
        <w:rPr>
          <w:rFonts w:hint="eastAsia" w:ascii="仿宋_GB2312" w:hAnsi="仿宋_GB2312" w:eastAsia="仿宋_GB2312" w:cs="仿宋_GB2312"/>
          <w:b w:val="0"/>
          <w:bCs/>
          <w:color w:val="000000"/>
          <w:kern w:val="1"/>
          <w:sz w:val="32"/>
          <w:szCs w:val="32"/>
          <w:u w:val="none" w:color="auto"/>
          <w:lang w:eastAsia="zh-CN"/>
        </w:rPr>
        <w:t>，</w:t>
      </w:r>
      <w:r>
        <w:rPr>
          <w:rFonts w:hint="eastAsia" w:ascii="仿宋_GB2312" w:hAnsi="仿宋_GB2312" w:eastAsia="仿宋_GB2312" w:cs="仿宋_GB2312"/>
          <w:b w:val="0"/>
          <w:color w:val="000000"/>
          <w:sz w:val="32"/>
          <w:u w:val="none" w:color="auto"/>
        </w:rPr>
        <w:t>当事人在未取得《烟草专卖零售许可证》的情况下跟一个自行上门推销员购进上述卷烟到摊位销售。2026年3月19日，上述卷烟被</w:t>
      </w:r>
      <w:r>
        <w:rPr>
          <w:rFonts w:hint="eastAsia" w:ascii="仿宋_GB2312" w:hAnsi="仿宋_GB2312" w:eastAsia="仿宋_GB2312" w:cs="仿宋_GB2312"/>
          <w:b w:val="0"/>
          <w:color w:val="000000"/>
          <w:sz w:val="32"/>
          <w:u w:val="none" w:color="auto"/>
          <w:lang w:eastAsia="zh-CN"/>
        </w:rPr>
        <w:t>本局</w:t>
      </w:r>
      <w:r>
        <w:rPr>
          <w:rFonts w:hint="eastAsia" w:ascii="仿宋_GB2312" w:hAnsi="仿宋_GB2312" w:eastAsia="仿宋_GB2312" w:cs="仿宋_GB2312"/>
          <w:b w:val="0"/>
          <w:color w:val="000000"/>
          <w:sz w:val="32"/>
          <w:u w:val="none" w:color="auto"/>
        </w:rPr>
        <w:t>与融水县烟草专卖局执法人员查获。2026年3月26日，经营者黄丽霞到</w:t>
      </w:r>
      <w:r>
        <w:rPr>
          <w:rFonts w:hint="eastAsia" w:ascii="仿宋_GB2312" w:hAnsi="仿宋_GB2312" w:eastAsia="仿宋_GB2312" w:cs="仿宋_GB2312"/>
          <w:b w:val="0"/>
          <w:color w:val="000000"/>
          <w:sz w:val="32"/>
          <w:u w:val="none" w:color="auto"/>
          <w:lang w:eastAsia="zh-CN"/>
        </w:rPr>
        <w:t>本局</w:t>
      </w:r>
      <w:r>
        <w:rPr>
          <w:rFonts w:hint="eastAsia" w:ascii="仿宋_GB2312" w:hAnsi="仿宋_GB2312" w:eastAsia="仿宋_GB2312" w:cs="仿宋_GB2312"/>
          <w:b w:val="0"/>
          <w:color w:val="000000"/>
          <w:sz w:val="32"/>
          <w:u w:val="none" w:color="auto"/>
          <w:lang w:val="en-US" w:eastAsia="zh-CN"/>
        </w:rPr>
        <w:t>融水</w:t>
      </w:r>
      <w:r>
        <w:rPr>
          <w:rFonts w:hint="eastAsia" w:ascii="仿宋_GB2312" w:hAnsi="仿宋_GB2312" w:eastAsia="仿宋_GB2312" w:cs="仿宋_GB2312"/>
          <w:b w:val="0"/>
          <w:color w:val="000000"/>
          <w:sz w:val="32"/>
          <w:u w:val="none" w:color="auto"/>
        </w:rPr>
        <w:t>市场监管所进行了询问笔录，其本人承认无烟草专卖零售许可证销售卷烟的事实，</w:t>
      </w:r>
      <w:r>
        <w:rPr>
          <w:rFonts w:hint="eastAsia" w:ascii="仿宋_GB2312" w:hAnsi="仿宋_GB2312" w:eastAsia="仿宋_GB2312" w:cs="仿宋_GB2312"/>
          <w:b w:val="0"/>
          <w:color w:val="000000"/>
          <w:sz w:val="32"/>
          <w:u w:val="none" w:color="auto"/>
          <w:lang w:val="en-US" w:eastAsia="zh-CN"/>
        </w:rPr>
        <w:t>据当事人</w:t>
      </w:r>
      <w:r>
        <w:rPr>
          <w:rFonts w:hint="eastAsia" w:ascii="仿宋_GB2312" w:hAnsi="仿宋_GB2312" w:eastAsia="仿宋_GB2312" w:cs="仿宋_GB2312"/>
          <w:b w:val="0"/>
          <w:color w:val="000000"/>
          <w:sz w:val="32"/>
          <w:u w:val="none" w:color="auto"/>
        </w:rPr>
        <w:t>陈述，该批次卷烟共购进25盒（200支/盒），其丈夫自己抽了2盒，剩下的23盒还没得销售就被</w:t>
      </w:r>
      <w:r>
        <w:rPr>
          <w:rFonts w:hint="eastAsia" w:ascii="仿宋_GB2312" w:hAnsi="仿宋_GB2312" w:eastAsia="仿宋_GB2312" w:cs="仿宋_GB2312"/>
          <w:b w:val="0"/>
          <w:color w:val="000000"/>
          <w:sz w:val="32"/>
          <w:u w:val="none" w:color="auto"/>
          <w:lang w:eastAsia="zh-CN"/>
        </w:rPr>
        <w:t>本局</w:t>
      </w:r>
      <w:r>
        <w:rPr>
          <w:rFonts w:hint="eastAsia" w:ascii="仿宋_GB2312" w:hAnsi="仿宋_GB2312" w:eastAsia="仿宋_GB2312" w:cs="仿宋_GB2312"/>
          <w:b w:val="0"/>
          <w:color w:val="000000"/>
          <w:sz w:val="32"/>
          <w:u w:val="none" w:color="auto"/>
        </w:rPr>
        <w:t>实施强制措施，当事人以40元/盒的价格出售，由于当事人没有提供该批次卷烟的进货台账和销售台账，执法人员根据当事人供述的用以销售的23盒卷烟作为本案的涉案物品基数，以烟草局出具的《涉案烟草专卖品核价表》162.96元/盒的零售价计算，本案涉案货值金额共计3748.08元，违法所得为0元。</w:t>
      </w:r>
      <w:bookmarkEnd w:id="10"/>
      <w:r>
        <w:rPr>
          <w:rFonts w:hint="eastAsia" w:ascii="仿宋_GB2312" w:hAnsi="仿宋_GB2312" w:eastAsia="仿宋_GB2312" w:cs="仿宋_GB2312"/>
          <w:b w:val="0"/>
          <w:bCs/>
          <w:color w:val="000000"/>
          <w:kern w:val="1"/>
          <w:sz w:val="32"/>
          <w:szCs w:val="32"/>
          <w:u w:val="none" w:color="auto"/>
          <w:lang w:val="en-US" w:eastAsia="zh-CN"/>
        </w:rPr>
        <w:t xml:space="preserve"> </w:t>
      </w:r>
    </w:p>
    <w:p w14:paraId="61442584">
      <w:pPr>
        <w:pStyle w:val="3"/>
        <w:tabs>
          <w:tab w:val="left" w:pos="8285"/>
        </w:tabs>
        <w:spacing w:line="520" w:lineRule="exact"/>
        <w:ind w:firstLine="640" w:firstLineChars="200"/>
        <w:rPr>
          <w:rFonts w:hint="eastAsia" w:ascii="仿宋_GB2312" w:hAnsi="仿宋_GB2312" w:eastAsia="仿宋_GB2312" w:cs="仿宋_GB2312"/>
          <w:b w:val="0"/>
          <w:bCs/>
          <w:color w:val="auto"/>
          <w:sz w:val="32"/>
          <w:szCs w:val="32"/>
          <w:lang w:val="en-US"/>
        </w:rPr>
      </w:pPr>
      <w:r>
        <w:rPr>
          <w:rFonts w:hint="eastAsia" w:ascii="仿宋_GB2312" w:hAnsi="仿宋_GB2312" w:eastAsia="仿宋_GB2312" w:cs="仿宋_GB2312"/>
          <w:b w:val="0"/>
          <w:bCs/>
          <w:color w:val="000000"/>
          <w:kern w:val="1"/>
          <w:sz w:val="32"/>
          <w:szCs w:val="32"/>
          <w:u w:val="none"/>
        </w:rPr>
        <w:t>上述事实，主要有以下证据证明：</w:t>
      </w:r>
    </w:p>
    <w:p w14:paraId="7B13B667">
      <w:pPr>
        <w:pStyle w:val="3"/>
        <w:tabs>
          <w:tab w:val="left" w:pos="9060"/>
        </w:tabs>
        <w:spacing w:line="240" w:lineRule="auto"/>
        <w:rPr>
          <w:rFonts w:hint="eastAsia" w:ascii="仿宋_GB2312" w:hAnsi="仿宋_GB2312" w:eastAsia="仿宋_GB2312" w:cs="仿宋_GB2312"/>
          <w:b w:val="0"/>
          <w:bCs/>
          <w:color w:val="auto"/>
          <w:sz w:val="32"/>
          <w:szCs w:val="32"/>
          <w:u w:val="none"/>
          <w:lang w:val="en-US" w:eastAsia="zh-CN"/>
        </w:rPr>
      </w:pPr>
      <w:bookmarkStart w:id="11" w:name="CALCULATE—ZJCL—tajCltjes_zjclxx"/>
      <w:r>
        <w:rPr>
          <w:rFonts w:hint="eastAsia" w:ascii="仿宋_GB2312" w:hAnsi="仿宋_GB2312" w:eastAsia="仿宋_GB2312" w:cs="仿宋_GB2312"/>
          <w:b w:val="0"/>
          <w:color w:val="000000"/>
          <w:sz w:val="32"/>
          <w:u w:val="none"/>
        </w:rPr>
        <w:t>　　1.询问笔录，证明证明：违法事实以及涉案货值金额、违法所得的确认。</w:t>
      </w:r>
      <w:r>
        <w:rPr>
          <w:rFonts w:hint="eastAsia" w:ascii="仿宋_GB2312" w:hAnsi="仿宋_GB2312" w:eastAsia="仿宋_GB2312" w:cs="仿宋_GB2312"/>
          <w:b w:val="0"/>
          <w:color w:val="000000"/>
          <w:sz w:val="32"/>
          <w:u w:val="none"/>
        </w:rPr>
        <w:br w:type="textWrapping"/>
      </w:r>
      <w:r>
        <w:rPr>
          <w:rFonts w:hint="eastAsia" w:ascii="仿宋_GB2312" w:hAnsi="仿宋_GB2312" w:eastAsia="仿宋_GB2312" w:cs="仿宋_GB2312"/>
          <w:b w:val="0"/>
          <w:color w:val="000000"/>
          <w:sz w:val="32"/>
          <w:u w:val="none"/>
        </w:rPr>
        <w:t>　　2.现场检查照片、当事人的营业执照以及经营者身份证复印件、涉案烟草专卖核价表，证明证明：现场检查的情况以及当事人的主体资质、经营者的个人身份信息及涉案货值金额的认定。</w:t>
      </w:r>
      <w:r>
        <w:rPr>
          <w:rFonts w:hint="eastAsia" w:ascii="仿宋_GB2312" w:hAnsi="仿宋_GB2312" w:eastAsia="仿宋_GB2312" w:cs="仿宋_GB2312"/>
          <w:b w:val="0"/>
          <w:color w:val="000000"/>
          <w:sz w:val="32"/>
          <w:u w:val="none"/>
        </w:rPr>
        <w:br w:type="textWrapping"/>
      </w:r>
      <w:r>
        <w:rPr>
          <w:rFonts w:hint="eastAsia" w:ascii="仿宋_GB2312" w:hAnsi="仿宋_GB2312" w:eastAsia="仿宋_GB2312" w:cs="仿宋_GB2312"/>
          <w:b w:val="0"/>
          <w:color w:val="000000"/>
          <w:sz w:val="32"/>
          <w:u w:val="none"/>
        </w:rPr>
        <w:t>　　3.现场笔录，证明证明：现场检查的情况。</w:t>
      </w:r>
      <w:r>
        <w:rPr>
          <w:rFonts w:hint="eastAsia" w:ascii="仿宋_GB2312" w:hAnsi="仿宋_GB2312" w:eastAsia="仿宋_GB2312" w:cs="仿宋_GB2312"/>
          <w:b w:val="0"/>
          <w:color w:val="000000"/>
          <w:sz w:val="32"/>
          <w:u w:val="none"/>
        </w:rPr>
        <w:br w:type="textWrapping"/>
      </w:r>
      <w:r>
        <w:rPr>
          <w:rFonts w:hint="eastAsia" w:ascii="仿宋_GB2312" w:hAnsi="仿宋_GB2312" w:eastAsia="仿宋_GB2312" w:cs="仿宋_GB2312"/>
          <w:b w:val="0"/>
          <w:color w:val="000000"/>
          <w:sz w:val="32"/>
          <w:u w:val="none"/>
        </w:rPr>
        <w:t>　　4.送达地址确认书、行政检查通知书、行政检查审批表，证明证明：执法人员对送达地址进行了确认以及履行了行政检查审批手续。</w:t>
      </w:r>
      <w:bookmarkEnd w:id="11"/>
      <w:r>
        <w:rPr>
          <w:rFonts w:hint="eastAsia" w:ascii="仿宋_GB2312" w:hAnsi="仿宋_GB2312" w:eastAsia="仿宋_GB2312" w:cs="仿宋_GB2312"/>
          <w:b w:val="0"/>
          <w:bCs/>
          <w:color w:val="000000"/>
          <w:sz w:val="32"/>
          <w:szCs w:val="32"/>
          <w:u w:val="none"/>
          <w:lang w:val="en-US" w:eastAsia="zh-CN"/>
        </w:rPr>
        <w:t xml:space="preserve"> </w:t>
      </w:r>
    </w:p>
    <w:p w14:paraId="7E6366C2">
      <w:pPr>
        <w:pStyle w:val="3"/>
        <w:tabs>
          <w:tab w:val="left" w:pos="9060"/>
        </w:tabs>
        <w:spacing w:line="240" w:lineRule="auto"/>
        <w:ind w:firstLine="640" w:firstLineChars="200"/>
        <w:rPr>
          <w:rFonts w:hint="eastAsia" w:ascii="仿宋_GB2312" w:hAnsi="仿宋_GB2312" w:eastAsia="仿宋_GB2312" w:cs="仿宋_GB2312"/>
          <w:b w:val="0"/>
          <w:bCs/>
          <w:color w:val="auto"/>
          <w:sz w:val="32"/>
          <w:szCs w:val="32"/>
          <w:u w:val="single"/>
          <w:lang w:val="en-US" w:eastAsia="zh-CN"/>
        </w:rPr>
      </w:pPr>
      <w:bookmarkStart w:id="12" w:name="CALCULATE—XZCFJDS—cCfgzwsSdrq"/>
      <w:r>
        <w:rPr>
          <w:rFonts w:hint="eastAsia" w:ascii="仿宋_GB2312" w:hAnsi="仿宋_GB2312" w:eastAsia="仿宋_GB2312" w:cs="仿宋_GB2312"/>
          <w:b w:val="0"/>
          <w:color w:val="000000"/>
          <w:sz w:val="32"/>
          <w:u w:val="none"/>
        </w:rPr>
        <w:t>2026年5月26日</w:t>
      </w:r>
      <w:bookmarkEnd w:id="12"/>
      <w:r>
        <w:rPr>
          <w:rFonts w:hint="eastAsia" w:ascii="仿宋_GB2312" w:hAnsi="仿宋_GB2312" w:eastAsia="仿宋_GB2312" w:cs="仿宋_GB2312"/>
          <w:b w:val="0"/>
          <w:bCs/>
          <w:color w:val="000000"/>
          <w:sz w:val="32"/>
          <w:szCs w:val="32"/>
          <w:u w:val="none"/>
        </w:rPr>
        <w:t>，本局向当事人送达了本案《行政处罚告知书》(</w:t>
      </w:r>
      <w:bookmarkStart w:id="13" w:name="CALCULATE—XZCFJDS—cCfgzSdwswh"/>
      <w:r>
        <w:rPr>
          <w:rFonts w:hint="eastAsia" w:ascii="仿宋_GB2312" w:hAnsi="仿宋_GB2312" w:eastAsia="仿宋_GB2312" w:cs="仿宋_GB2312"/>
          <w:b w:val="0"/>
          <w:color w:val="000000"/>
          <w:sz w:val="32"/>
          <w:u w:val="none"/>
        </w:rPr>
        <w:t>融水市监罚告〔2026〕92号</w:t>
      </w:r>
      <w:bookmarkEnd w:id="13"/>
      <w:r>
        <w:rPr>
          <w:rFonts w:hint="eastAsia" w:ascii="仿宋_GB2312" w:hAnsi="仿宋_GB2312" w:eastAsia="仿宋_GB2312" w:cs="仿宋_GB2312"/>
          <w:b w:val="0"/>
          <w:bCs/>
          <w:color w:val="000000"/>
          <w:sz w:val="32"/>
          <w:szCs w:val="32"/>
          <w:u w:val="none"/>
        </w:rPr>
        <w:t>)，</w:t>
      </w:r>
      <w:bookmarkStart w:id="14" w:name="CALCULATE—XZCFJDS—nTccssb"/>
      <w:r>
        <w:rPr>
          <w:rFonts w:hint="eastAsia" w:ascii="仿宋_GB2312" w:hAnsi="仿宋_GB2312" w:eastAsia="仿宋_GB2312" w:cs="仿宋_GB2312"/>
          <w:b w:val="0"/>
          <w:color w:val="000000"/>
          <w:sz w:val="32"/>
          <w:u w:val="none"/>
        </w:rPr>
        <w:t>当事人在法定期限内未提出任何陈述或申辩</w:t>
      </w:r>
      <w:bookmarkEnd w:id="14"/>
      <w:r>
        <w:rPr>
          <w:rFonts w:hint="eastAsia" w:ascii="仿宋_GB2312" w:hAnsi="仿宋_GB2312" w:eastAsia="仿宋_GB2312" w:cs="仿宋_GB2312"/>
          <w:b w:val="0"/>
          <w:color w:val="000000"/>
          <w:sz w:val="32"/>
          <w:u w:val="none"/>
          <w:lang w:eastAsia="zh-CN"/>
        </w:rPr>
        <w:t>，</w:t>
      </w:r>
      <w:r>
        <w:rPr>
          <w:rFonts w:hint="eastAsia" w:ascii="仿宋_GB2312" w:hAnsi="仿宋_GB2312" w:eastAsia="仿宋_GB2312" w:cs="仿宋_GB2312"/>
          <w:b w:val="0"/>
          <w:color w:val="000000"/>
          <w:sz w:val="32"/>
          <w:u w:val="none"/>
          <w:lang w:val="en-US" w:eastAsia="zh-CN"/>
        </w:rPr>
        <w:t>视为放弃此权利。</w:t>
      </w:r>
      <w:r>
        <w:rPr>
          <w:rFonts w:hint="eastAsia" w:ascii="仿宋_GB2312" w:hAnsi="仿宋_GB2312" w:eastAsia="仿宋_GB2312" w:cs="仿宋_GB2312"/>
          <w:b w:val="0"/>
          <w:bCs/>
          <w:color w:val="000000"/>
          <w:sz w:val="32"/>
          <w:szCs w:val="32"/>
          <w:u w:val="none"/>
        </w:rPr>
        <w:t xml:space="preserve">                                          </w:t>
      </w:r>
      <w:r>
        <w:rPr>
          <w:rFonts w:hint="eastAsia" w:ascii="仿宋_GB2312" w:hAnsi="仿宋_GB2312" w:eastAsia="仿宋_GB2312" w:cs="仿宋_GB2312"/>
          <w:b w:val="0"/>
          <w:bCs/>
          <w:color w:val="000000"/>
          <w:sz w:val="32"/>
          <w:szCs w:val="32"/>
          <w:u w:val="none"/>
          <w:lang w:val="en-US" w:eastAsia="zh-CN"/>
        </w:rPr>
        <w:t xml:space="preserve">          </w:t>
      </w:r>
      <w:r>
        <w:rPr>
          <w:rFonts w:hint="eastAsia" w:ascii="仿宋_GB2312" w:hAnsi="仿宋_GB2312" w:eastAsia="仿宋_GB2312" w:cs="仿宋_GB2312"/>
          <w:b w:val="0"/>
          <w:bCs/>
          <w:color w:val="000000"/>
          <w:sz w:val="32"/>
          <w:szCs w:val="32"/>
          <w:u w:val="none"/>
        </w:rPr>
        <w:t xml:space="preserve">                            </w:t>
      </w:r>
      <w:r>
        <w:rPr>
          <w:rFonts w:hint="eastAsia" w:ascii="仿宋_GB2312" w:hAnsi="仿宋_GB2312" w:eastAsia="仿宋_GB2312" w:cs="仿宋_GB2312"/>
          <w:b w:val="0"/>
          <w:bCs/>
          <w:color w:val="000000"/>
          <w:sz w:val="32"/>
          <w:szCs w:val="32"/>
          <w:u w:val="none"/>
          <w:lang w:val="en-US" w:eastAsia="zh-CN"/>
        </w:rPr>
        <w:t xml:space="preserve">                                         </w:t>
      </w:r>
    </w:p>
    <w:p w14:paraId="2D6327DE">
      <w:pPr>
        <w:keepNext w:val="0"/>
        <w:keepLines w:val="0"/>
        <w:pageBreakBefore w:val="0"/>
        <w:widowControl/>
        <w:kinsoku/>
        <w:wordWrap/>
        <w:overflowPunct/>
        <w:topLinePunct w:val="0"/>
        <w:autoSpaceDE/>
        <w:autoSpaceDN/>
        <w:bidi w:val="0"/>
        <w:adjustRightInd/>
        <w:snapToGrid/>
        <w:spacing w:beforeLines="0" w:afterLines="0" w:line="560" w:lineRule="exact"/>
        <w:ind w:firstLine="640"/>
        <w:jc w:val="left"/>
        <w:textAlignment w:val="auto"/>
        <w:rPr>
          <w:rFonts w:hint="eastAsia" w:ascii="仿宋_GB2312" w:hAnsi="仿宋_GB2312" w:eastAsia="仿宋_GB2312"/>
          <w:sz w:val="32"/>
          <w:szCs w:val="24"/>
          <w:highlight w:val="none"/>
          <w:u w:val="none"/>
          <w:lang w:val="en-US" w:eastAsia="zh-CN"/>
        </w:rPr>
      </w:pPr>
      <w:r>
        <w:rPr>
          <w:rFonts w:hint="eastAsia" w:ascii="仿宋_GB2312" w:hAnsi="仿宋_GB2312" w:eastAsia="仿宋_GB2312"/>
          <w:color w:val="000000"/>
          <w:sz w:val="32"/>
          <w:szCs w:val="24"/>
          <w:highlight w:val="none"/>
          <w:u w:val="none"/>
          <w:lang w:val="en-US" w:eastAsia="zh-CN"/>
        </w:rPr>
        <w:t>当事人无烟草零售许可证销售</w:t>
      </w:r>
      <w:r>
        <w:rPr>
          <w:rFonts w:hint="eastAsia" w:ascii="仿宋_GB2312" w:hAnsi="仿宋_GB2312" w:eastAsia="仿宋_GB2312"/>
          <w:color w:val="000000"/>
          <w:sz w:val="32"/>
          <w:szCs w:val="24"/>
          <w:highlight w:val="none"/>
          <w:u w:val="none"/>
          <w:lang w:val="zh-CN"/>
        </w:rPr>
        <w:t>卷烟</w:t>
      </w:r>
      <w:r>
        <w:rPr>
          <w:rFonts w:hint="eastAsia" w:ascii="仿宋_GB2312" w:hAnsi="仿宋_GB2312" w:eastAsia="仿宋_GB2312"/>
          <w:color w:val="000000"/>
          <w:sz w:val="32"/>
          <w:szCs w:val="24"/>
          <w:highlight w:val="none"/>
          <w:u w:val="none"/>
          <w:lang w:val="en-US" w:eastAsia="zh-CN"/>
        </w:rPr>
        <w:t>的行为，违反了《中华人民共和国烟草专卖法(2015修正)》</w:t>
      </w:r>
      <w:r>
        <w:rPr>
          <w:rFonts w:hint="eastAsia" w:ascii="仿宋_GB2312" w:hAnsi="仿宋_GB2312" w:eastAsia="仿宋_GB2312"/>
          <w:color w:val="000000"/>
          <w:sz w:val="32"/>
          <w:szCs w:val="24"/>
          <w:highlight w:val="none"/>
          <w:u w:val="none"/>
          <w:lang w:val="zh-CN"/>
        </w:rPr>
        <w:t>第三条“国家对烟草专卖品的生产、销售、进出口依法实行专卖管理，并实行烟草专卖许可证制度”</w:t>
      </w:r>
      <w:r>
        <w:rPr>
          <w:rFonts w:hint="eastAsia" w:ascii="仿宋_GB2312" w:hAnsi="仿宋_GB2312" w:eastAsia="仿宋_GB2312"/>
          <w:color w:val="000000"/>
          <w:sz w:val="32"/>
          <w:szCs w:val="24"/>
          <w:highlight w:val="none"/>
          <w:u w:val="none"/>
          <w:lang w:val="en-US" w:eastAsia="zh-CN"/>
        </w:rPr>
        <w:t>的规定。</w:t>
      </w:r>
    </w:p>
    <w:p w14:paraId="0BB7C481">
      <w:pPr>
        <w:spacing w:beforeLines="0" w:afterLines="0" w:line="520" w:lineRule="atLeast"/>
        <w:ind w:firstLine="640" w:firstLineChars="200"/>
        <w:rPr>
          <w:rFonts w:hint="eastAsia" w:ascii="仿宋_GB2312" w:hAnsi="仿宋_GB2312" w:eastAsia="仿宋_GB2312"/>
          <w:color w:val="auto"/>
          <w:sz w:val="32"/>
          <w:szCs w:val="24"/>
          <w:highlight w:val="none"/>
          <w:u w:val="none"/>
          <w:lang w:val="zh-CN"/>
        </w:rPr>
      </w:pPr>
      <w:bookmarkStart w:id="15" w:name="OLE_LINK9"/>
      <w:r>
        <w:rPr>
          <w:rFonts w:hint="eastAsia" w:ascii="仿宋_GB2312" w:hAnsi="仿宋_GB2312" w:eastAsia="仿宋_GB2312"/>
          <w:color w:val="000000"/>
          <w:sz w:val="32"/>
          <w:szCs w:val="24"/>
          <w:highlight w:val="none"/>
          <w:u w:val="none"/>
          <w:lang w:val="zh-CN"/>
        </w:rPr>
        <w:t>鉴于</w:t>
      </w:r>
      <w:r>
        <w:rPr>
          <w:rFonts w:hint="eastAsia" w:ascii="仿宋_GB2312" w:hAnsi="仿宋_GB2312" w:eastAsia="仿宋_GB2312"/>
          <w:color w:val="000000"/>
          <w:sz w:val="32"/>
          <w:szCs w:val="24"/>
          <w:highlight w:val="none"/>
          <w:u w:val="none"/>
          <w:lang w:val="en-US" w:eastAsia="zh-CN"/>
        </w:rPr>
        <w:t>当事人</w:t>
      </w:r>
      <w:r>
        <w:rPr>
          <w:rFonts w:hint="eastAsia" w:ascii="仿宋_GB2312" w:hAnsi="仿宋_GB2312" w:eastAsia="仿宋_GB2312"/>
          <w:color w:val="000000"/>
          <w:sz w:val="32"/>
          <w:szCs w:val="24"/>
          <w:highlight w:val="none"/>
          <w:u w:val="none"/>
          <w:lang w:val="zh-CN"/>
        </w:rPr>
        <w:t>对存在的违法行为有了深刻认识，</w:t>
      </w:r>
      <w:r>
        <w:rPr>
          <w:rFonts w:hint="eastAsia" w:ascii="仿宋_GB2312" w:hAnsi="仿宋_GB2312" w:eastAsia="仿宋_GB2312"/>
          <w:color w:val="000000"/>
          <w:sz w:val="32"/>
          <w:szCs w:val="24"/>
          <w:highlight w:val="none"/>
          <w:u w:val="none"/>
          <w:lang w:val="en-US" w:eastAsia="zh-CN"/>
        </w:rPr>
        <w:t>本次违法经营额为3748.08元，符合</w:t>
      </w:r>
      <w:r>
        <w:rPr>
          <w:rFonts w:hint="eastAsia" w:ascii="仿宋_GB2312" w:hAnsi="仿宋_GB2312" w:eastAsia="仿宋_GB2312"/>
          <w:color w:val="000000"/>
          <w:sz w:val="32"/>
          <w:szCs w:val="24"/>
          <w:highlight w:val="none"/>
          <w:u w:val="none"/>
          <w:lang w:val="zh-CN"/>
        </w:rPr>
        <w:t>《广西壮族自治区市场监督管理行政处罚裁量基准（2023版）》一百二十八、《中华人民共和国烟草专卖法实施条例》行政处罚裁量基准</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序号1</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中的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违法行为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无证经营烟草制品的违法行为</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适用情形</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中</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从轻（违法经营额1万元以下的。）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 xml:space="preserve"> 的</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裁量标准（责令停止经营烟草制品零售业务，没收违法所得，处以违法经营总额20%以上29%以下的罚款。）</w:t>
      </w:r>
      <w:r>
        <w:rPr>
          <w:rFonts w:hint="default"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zh-CN"/>
        </w:rPr>
        <w:t>的规定，</w:t>
      </w:r>
      <w:r>
        <w:rPr>
          <w:rFonts w:hint="eastAsia" w:ascii="仿宋_GB2312" w:hAnsi="仿宋_GB2312" w:eastAsia="仿宋_GB2312"/>
          <w:color w:val="000000"/>
          <w:sz w:val="32"/>
          <w:szCs w:val="24"/>
          <w:highlight w:val="none"/>
          <w:u w:val="none"/>
          <w:lang w:val="en-US" w:eastAsia="zh-CN"/>
        </w:rPr>
        <w:t>当事人</w:t>
      </w:r>
      <w:r>
        <w:rPr>
          <w:rFonts w:hint="eastAsia" w:ascii="仿宋_GB2312" w:hAnsi="仿宋_GB2312" w:eastAsia="仿宋_GB2312"/>
          <w:color w:val="000000"/>
          <w:sz w:val="32"/>
          <w:szCs w:val="24"/>
          <w:highlight w:val="none"/>
          <w:u w:val="none"/>
          <w:lang w:val="zh-CN"/>
        </w:rPr>
        <w:t>的违法情节符合从轻行政处罚</w:t>
      </w:r>
      <w:r>
        <w:rPr>
          <w:rFonts w:hint="eastAsia" w:ascii="仿宋_GB2312" w:hAnsi="仿宋_GB2312" w:eastAsia="仿宋_GB2312"/>
          <w:color w:val="000000"/>
          <w:sz w:val="32"/>
          <w:szCs w:val="24"/>
          <w:highlight w:val="none"/>
          <w:u w:val="none"/>
          <w:lang w:val="en-US" w:eastAsia="zh-CN"/>
        </w:rPr>
        <w:t>的</w:t>
      </w:r>
      <w:r>
        <w:rPr>
          <w:rFonts w:hint="eastAsia" w:ascii="仿宋_GB2312" w:hAnsi="仿宋_GB2312" w:eastAsia="仿宋_GB2312"/>
          <w:color w:val="000000"/>
          <w:sz w:val="32"/>
          <w:szCs w:val="24"/>
          <w:highlight w:val="none"/>
          <w:u w:val="none"/>
          <w:lang w:val="zh-CN"/>
        </w:rPr>
        <w:t>情形。</w:t>
      </w:r>
    </w:p>
    <w:bookmarkEnd w:id="15"/>
    <w:p w14:paraId="46CA3E8F">
      <w:pPr>
        <w:keepNext w:val="0"/>
        <w:keepLines w:val="0"/>
        <w:widowControl/>
        <w:suppressLineNumbers w:val="0"/>
        <w:ind w:firstLine="640" w:firstLineChars="200"/>
        <w:jc w:val="left"/>
        <w:rPr>
          <w:rFonts w:hint="default" w:ascii="仿宋_GB2312" w:hAnsi="仿宋_GB2312" w:eastAsia="仿宋_GB2312"/>
          <w:sz w:val="32"/>
          <w:szCs w:val="24"/>
          <w:highlight w:val="none"/>
          <w:u w:val="none"/>
          <w:lang w:val="en-US" w:eastAsia="zh-CN"/>
        </w:rPr>
      </w:pPr>
      <w:bookmarkStart w:id="16" w:name="OLE_LINK11"/>
      <w:bookmarkStart w:id="17" w:name="OLE_LINK6"/>
      <w:bookmarkStart w:id="18" w:name="OLE_LINK4"/>
      <w:r>
        <w:rPr>
          <w:rFonts w:hint="eastAsia" w:ascii="仿宋_GB2312" w:hAnsi="仿宋_GB2312" w:eastAsia="仿宋_GB2312"/>
          <w:color w:val="000000"/>
          <w:sz w:val="32"/>
          <w:szCs w:val="24"/>
          <w:highlight w:val="none"/>
          <w:u w:val="none"/>
          <w:lang w:val="zh-CN"/>
        </w:rPr>
        <w:t>依据《中华人民共和国烟草专卖法实施条例（2023修订）》第五十七条“无烟草专卖零售许可证经营烟草制品零售业务的，由工商行政管理部门或者由工商行政管理部门根据烟草专卖行政主管部门的意见，责令停止经营烟草制品零售业务，没收违法所得，处以违法经营总额20％以上50％以下的罚款。”的规定，</w:t>
      </w:r>
      <w:r>
        <w:rPr>
          <w:rFonts w:hint="eastAsia" w:ascii="仿宋_GB2312" w:hAnsi="仿宋_GB2312" w:eastAsia="仿宋_GB2312" w:cs="仿宋_GB2312"/>
          <w:color w:val="000000"/>
          <w:sz w:val="32"/>
          <w:szCs w:val="24"/>
          <w:u w:val="none"/>
          <w:lang w:val="en-US" w:eastAsia="zh-CN"/>
        </w:rPr>
        <w:t>以及</w:t>
      </w:r>
      <w:r>
        <w:rPr>
          <w:rFonts w:hint="eastAsia" w:ascii="仿宋_GB2312" w:hAnsi="仿宋_GB2312" w:eastAsia="仿宋_GB2312" w:cs="仿宋_GB2312"/>
          <w:color w:val="000000"/>
          <w:kern w:val="0"/>
          <w:sz w:val="32"/>
          <w:szCs w:val="32"/>
          <w:u w:val="none"/>
          <w:lang w:val="en-US" w:eastAsia="zh-CN" w:bidi="ar"/>
        </w:rPr>
        <w:t>《广西壮族自治区市场监督管理行政处罚裁量权适用规定》（桂市监规[2023]3号）</w:t>
      </w:r>
      <w:r>
        <w:rPr>
          <w:rFonts w:hint="eastAsia" w:ascii="仿宋_GB2312" w:hAnsi="仿宋_GB2312" w:eastAsia="仿宋_GB2312" w:cs="Times New Roman"/>
          <w:color w:val="000000"/>
          <w:sz w:val="32"/>
          <w:szCs w:val="24"/>
          <w:highlight w:val="none"/>
          <w:u w:val="none"/>
          <w:lang w:val="en-US" w:eastAsia="zh-CN"/>
        </w:rPr>
        <w:t>第七条“从轻行政处罚是指在依法可选择的处罚种类和处罚幅度内，适用较轻、较少的处罚种类或者较低的处罚幅度。其中，罚款的数额(倍数)应当在从最低限到最高限这一幅度中较低的30%部分(含本数)”的规定，综合本案案情，</w:t>
      </w:r>
      <w:r>
        <w:rPr>
          <w:rFonts w:hint="eastAsia" w:ascii="仿宋_GB2312" w:hAnsi="仿宋_GB2312" w:eastAsia="仿宋_GB2312"/>
          <w:color w:val="000000"/>
          <w:sz w:val="32"/>
          <w:szCs w:val="24"/>
          <w:highlight w:val="none"/>
          <w:u w:val="none"/>
          <w:lang w:val="en-US" w:eastAsia="zh-CN"/>
        </w:rPr>
        <w:t>本局决定</w:t>
      </w:r>
      <w:r>
        <w:rPr>
          <w:rFonts w:hint="eastAsia" w:ascii="仿宋_GB2312" w:hAnsi="仿宋_GB2312" w:eastAsia="仿宋_GB2312"/>
          <w:color w:val="000000"/>
          <w:sz w:val="32"/>
          <w:szCs w:val="24"/>
          <w:highlight w:val="none"/>
          <w:u w:val="none"/>
          <w:lang w:val="zh-CN"/>
        </w:rPr>
        <w:t>责令当事人立即停止经营烟草制品零售业务，并作出处违法经营总额</w:t>
      </w:r>
      <w:r>
        <w:rPr>
          <w:rFonts w:hint="eastAsia" w:ascii="仿宋_GB2312" w:hAnsi="仿宋_GB2312" w:eastAsia="仿宋_GB2312"/>
          <w:color w:val="000000"/>
          <w:sz w:val="32"/>
          <w:szCs w:val="24"/>
          <w:highlight w:val="none"/>
          <w:u w:val="none"/>
          <w:lang w:val="en-US" w:eastAsia="zh-CN"/>
        </w:rPr>
        <w:t>29</w:t>
      </w:r>
      <w:r>
        <w:rPr>
          <w:rFonts w:hint="eastAsia" w:ascii="仿宋_GB2312" w:hAnsi="仿宋_GB2312" w:eastAsia="仿宋_GB2312"/>
          <w:color w:val="000000"/>
          <w:sz w:val="32"/>
          <w:szCs w:val="24"/>
          <w:highlight w:val="none"/>
          <w:u w:val="none"/>
          <w:lang w:val="zh-CN"/>
        </w:rPr>
        <w:t>%的罚款即</w:t>
      </w:r>
      <w:r>
        <w:rPr>
          <w:rFonts w:hint="eastAsia" w:ascii="仿宋_GB2312" w:hAnsi="仿宋_GB2312" w:eastAsia="仿宋_GB2312"/>
          <w:color w:val="000000"/>
          <w:sz w:val="32"/>
          <w:szCs w:val="24"/>
          <w:highlight w:val="none"/>
          <w:u w:val="none"/>
          <w:lang w:val="en-US" w:eastAsia="zh-CN"/>
        </w:rPr>
        <w:t>壹仟零捌拾陆圆玖角肆</w:t>
      </w:r>
      <w:r>
        <w:rPr>
          <w:rFonts w:hint="eastAsia" w:ascii="仿宋_GB2312" w:hAnsi="仿宋_GB2312" w:eastAsia="仿宋_GB2312"/>
          <w:color w:val="000000"/>
          <w:sz w:val="32"/>
          <w:szCs w:val="24"/>
          <w:highlight w:val="none"/>
          <w:u w:val="none"/>
          <w:lang w:val="zh-CN"/>
        </w:rPr>
        <w:t>（￥</w:t>
      </w:r>
      <w:r>
        <w:rPr>
          <w:rFonts w:hint="eastAsia" w:ascii="仿宋_GB2312" w:hAnsi="仿宋_GB2312" w:eastAsia="仿宋_GB2312"/>
          <w:color w:val="000000"/>
          <w:sz w:val="32"/>
          <w:szCs w:val="24"/>
          <w:highlight w:val="none"/>
          <w:u w:val="none"/>
          <w:lang w:val="en-US" w:eastAsia="zh-CN"/>
        </w:rPr>
        <w:t>1086.94</w:t>
      </w:r>
      <w:r>
        <w:rPr>
          <w:rFonts w:hint="eastAsia" w:ascii="仿宋_GB2312" w:hAnsi="仿宋_GB2312" w:eastAsia="仿宋_GB2312"/>
          <w:color w:val="000000"/>
          <w:sz w:val="32"/>
          <w:szCs w:val="24"/>
          <w:highlight w:val="none"/>
          <w:u w:val="none"/>
          <w:lang w:val="zh-CN"/>
        </w:rPr>
        <w:t xml:space="preserve">）。           </w:t>
      </w:r>
      <w:bookmarkEnd w:id="16"/>
      <w:bookmarkEnd w:id="17"/>
      <w:bookmarkEnd w:id="18"/>
    </w:p>
    <w:p w14:paraId="3286EB54">
      <w:pPr>
        <w:spacing w:beforeLines="0" w:afterLines="0" w:line="520" w:lineRule="atLeast"/>
        <w:ind w:firstLine="640"/>
        <w:jc w:val="left"/>
        <w:rPr>
          <w:rFonts w:hint="eastAsia" w:ascii="仿宋_GB2312" w:hAnsi="仿宋_GB2312" w:eastAsia="仿宋_GB2312"/>
          <w:color w:val="auto"/>
          <w:sz w:val="32"/>
          <w:szCs w:val="24"/>
          <w:u w:val="none"/>
          <w:lang w:val="zh-CN"/>
        </w:rPr>
      </w:pPr>
      <w:r>
        <w:rPr>
          <w:rFonts w:hint="eastAsia" w:ascii="仿宋_GB2312" w:hAnsi="仿宋_GB2312" w:eastAsia="仿宋_GB2312"/>
          <w:color w:val="000000"/>
          <w:sz w:val="32"/>
          <w:szCs w:val="24"/>
          <w:u w:val="none"/>
          <w:lang w:val="zh-CN"/>
        </w:rPr>
        <w:t>当事人应当自收到本行政处罚决定之日起十五日内到融水苗族自治县市场监督管理局财务股开具《广西壮族自治区非税收入电子缴款通知书》，持此缴款通知书到相应银行缴纳罚没款。到期不缴纳罚款的，依据《中华人民共和国行政处罚法》第七十二条的规定，本局将每日按罚款数额的百分之三加处罚款，并依法申请人民法院强制执行。</w:t>
      </w:r>
    </w:p>
    <w:p w14:paraId="4622DBDF">
      <w:pPr>
        <w:spacing w:beforeLines="0" w:afterLines="0" w:line="520" w:lineRule="atLeast"/>
        <w:ind w:firstLine="640"/>
        <w:jc w:val="left"/>
        <w:rPr>
          <w:rFonts w:hint="default" w:ascii="Times New Roman" w:hAnsi="Times New Roman" w:eastAsia="Times New Roman"/>
          <w:color w:val="auto"/>
          <w:sz w:val="32"/>
          <w:szCs w:val="24"/>
          <w:u w:val="none"/>
          <w:lang w:val="zh-CN"/>
        </w:rPr>
      </w:pPr>
      <w:r>
        <w:rPr>
          <w:rFonts w:hint="eastAsia" w:ascii="仿宋_GB2312" w:hAnsi="仿宋_GB2312" w:eastAsia="仿宋_GB2312"/>
          <w:color w:val="000000"/>
          <w:sz w:val="32"/>
          <w:szCs w:val="24"/>
          <w:u w:val="none"/>
          <w:lang w:val="zh-CN"/>
        </w:rPr>
        <w:t>当事人如不服本行政处罚决定，可以在收到本行政处罚决定书之日起六十日内向融水苗族自治县人民政府申请行政复议；也可以在六个月内依法向柳州市柳江区人民法院提起行政诉讼，申请行政复议或者提起行政诉讼期间，行政处罚不停止执行。</w:t>
      </w:r>
    </w:p>
    <w:p w14:paraId="17068FEB">
      <w:pPr>
        <w:widowControl/>
        <w:snapToGrid w:val="0"/>
        <w:spacing w:line="520" w:lineRule="exact"/>
        <w:jc w:val="left"/>
        <w:rPr>
          <w:rFonts w:ascii="Times New Roman" w:hAnsi="Times New Roman" w:eastAsia="仿宋_GB2312" w:cs="仿宋_GB2312"/>
          <w:color w:val="auto"/>
          <w:sz w:val="32"/>
          <w:szCs w:val="32"/>
        </w:rPr>
      </w:pPr>
    </w:p>
    <w:p w14:paraId="0F631BA3">
      <w:pPr>
        <w:widowControl/>
        <w:snapToGrid w:val="0"/>
        <w:spacing w:line="520" w:lineRule="exact"/>
        <w:ind w:firstLine="6240" w:firstLineChars="1950"/>
        <w:jc w:val="left"/>
        <w:rPr>
          <w:rFonts w:hint="eastAsia" w:ascii="Times New Roman" w:hAnsi="Times New Roman" w:eastAsia="仿宋_GB2312" w:cs="仿宋_GB2312"/>
          <w:color w:val="auto"/>
          <w:sz w:val="32"/>
          <w:szCs w:val="32"/>
          <w:lang w:val="en-US" w:eastAsia="zh-Hans"/>
        </w:rPr>
      </w:pPr>
    </w:p>
    <w:p w14:paraId="6F3B1E86">
      <w:pPr>
        <w:spacing w:line="560" w:lineRule="exact"/>
        <w:ind w:right="640" w:firstLine="601"/>
        <w:jc w:val="right"/>
        <w:rPr>
          <w:rFonts w:ascii="Times New Roman" w:hAnsi="Times New Roman" w:eastAsia="仿宋_GB2312" w:cs="仿宋"/>
          <w:color w:val="auto"/>
          <w:sz w:val="32"/>
          <w:szCs w:val="32"/>
        </w:rPr>
      </w:pPr>
      <w:bookmarkStart w:id="19" w:name="DYNAMIC—DWXX—tAj_dwmc—2"/>
      <w:r>
        <w:rPr>
          <w:rFonts w:hint="eastAsia" w:ascii="Times New Roman" w:hAnsi="Times New Roman" w:eastAsia="仿宋_GB2312" w:cs="仿宋"/>
          <w:color w:val="000000"/>
          <w:sz w:val="32"/>
          <w:u w:val="none"/>
        </w:rPr>
        <w:t>融水苗族自治县市场监督管理局</w:t>
      </w:r>
      <w:bookmarkEnd w:id="19"/>
      <w:r>
        <w:rPr>
          <w:rFonts w:hint="eastAsia" w:ascii="Times New Roman" w:hAnsi="Times New Roman" w:eastAsia="仿宋_GB2312" w:cs="仿宋"/>
          <w:color w:val="000000"/>
          <w:sz w:val="32"/>
          <w:szCs w:val="32"/>
          <w:u w:val="none"/>
        </w:rPr>
        <w:t xml:space="preserve">    </w:t>
      </w:r>
    </w:p>
    <w:p w14:paraId="49599BBD">
      <w:pPr>
        <w:keepNext w:val="0"/>
        <w:keepLines w:val="0"/>
        <w:pageBreakBefore w:val="0"/>
        <w:widowControl w:val="0"/>
        <w:kinsoku/>
        <w:wordWrap/>
        <w:overflowPunct/>
        <w:topLinePunct w:val="0"/>
        <w:autoSpaceDE/>
        <w:autoSpaceDN/>
        <w:bidi w:val="0"/>
        <w:adjustRightInd/>
        <w:snapToGrid/>
        <w:spacing w:line="560" w:lineRule="exact"/>
        <w:ind w:left="0" w:leftChars="0" w:right="630" w:rightChars="300" w:firstLine="600" w:firstLineChars="0"/>
        <w:jc w:val="center"/>
        <w:textAlignment w:val="auto"/>
        <w:outlineLvl w:val="9"/>
        <w:rPr>
          <w:rFonts w:ascii="Times New Roman" w:hAnsi="Times New Roman" w:eastAsia="仿宋_GB2312" w:cs="仿宋_GB2312"/>
          <w:color w:val="auto"/>
          <w:sz w:val="32"/>
          <w:szCs w:val="32"/>
        </w:rPr>
      </w:pPr>
      <w:bookmarkStart w:id="20" w:name="CALCULATE—TIME—NOW"/>
      <w:r>
        <w:rPr>
          <w:rFonts w:hint="eastAsia" w:ascii="仿宋_GB2312" w:hAnsi="仿宋_GB2312" w:eastAsia="仿宋_GB2312" w:cs="仿宋_GB2312"/>
          <w:sz w:val="32"/>
          <w:lang w:val="en-US" w:eastAsia="zh-CN"/>
        </w:rPr>
        <w:t xml:space="preserve">          </w:t>
      </w:r>
      <w:bookmarkStart w:id="21" w:name="_GoBack"/>
      <w:bookmarkEnd w:id="21"/>
      <w:r>
        <w:rPr>
          <w:rFonts w:ascii="仿宋_GB2312" w:hAnsi="仿宋_GB2312" w:eastAsia="仿宋_GB2312" w:cs="仿宋_GB2312"/>
          <w:sz w:val="32"/>
        </w:rPr>
        <w:t>2026年06月03日</w:t>
      </w:r>
      <w:bookmarkEnd w:id="20"/>
      <w:r>
        <w:rPr>
          <w:rFonts w:hint="eastAsia" w:ascii="Times New Roman" w:hAnsi="Times New Roman" w:eastAsia="仿宋_GB2312" w:cs="仿宋_GB2312"/>
          <w:color w:val="000000"/>
          <w:sz w:val="32"/>
          <w:szCs w:val="32"/>
          <w:u w:val="none"/>
        </w:rPr>
        <w:t xml:space="preserve">  </w:t>
      </w:r>
    </w:p>
    <w:p w14:paraId="22DDB1DA">
      <w:pPr>
        <w:widowControl/>
        <w:snapToGrid w:val="0"/>
        <w:spacing w:line="520" w:lineRule="exact"/>
        <w:jc w:val="both"/>
        <w:rPr>
          <w:rFonts w:ascii="Times New Roman" w:hAnsi="Times New Roman" w:eastAsia="仿宋_GB2312" w:cs="Mongolian Baiti"/>
          <w:color w:val="auto"/>
          <w:sz w:val="32"/>
          <w:szCs w:val="32"/>
        </w:rPr>
      </w:pPr>
    </w:p>
    <w:p w14:paraId="0EC14B92">
      <w:pPr>
        <w:pStyle w:val="3"/>
        <w:spacing w:before="1"/>
        <w:ind w:left="163" w:firstLine="320" w:firstLineChars="100"/>
        <w:rPr>
          <w:rFonts w:ascii="Times New Roman" w:hAnsi="Times New Roman" w:eastAsia="仿宋_GB2312" w:cs="仿宋"/>
          <w:bCs/>
          <w:color w:val="auto"/>
          <w:sz w:val="44"/>
          <w:szCs w:val="44"/>
        </w:rPr>
      </w:pPr>
      <w:r>
        <w:rPr>
          <w:rFonts w:ascii="Times New Roman" w:hAnsi="Times New Roman" w:eastAsia="仿宋_GB2312"/>
          <w:color w:val="000000"/>
          <w:sz w:val="32"/>
          <w:u w:val="none"/>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000000"/>
          <w:spacing w:val="-16"/>
          <w:u w:val="none"/>
        </w:rPr>
        <w:t>（市场监督管理部门将依法向社会公开行政处罚决定信息）</w:t>
      </w:r>
    </w:p>
    <w:p w14:paraId="47337A1A">
      <w:pPr>
        <w:spacing w:line="500" w:lineRule="exact"/>
        <w:ind w:firstLine="960" w:firstLineChars="300"/>
        <w:rPr>
          <w:rFonts w:hint="eastAsia" w:eastAsia="仿宋_GB2312"/>
          <w:color w:val="auto"/>
          <w:lang w:eastAsia="zh-CN"/>
        </w:rPr>
      </w:pPr>
      <w:r>
        <w:rPr>
          <w:rFonts w:ascii="Times New Roman" w:hAnsi="Times New Roman" w:eastAsia="仿宋_GB2312" w:cs="仿宋"/>
          <w:bCs/>
          <w:color w:val="000000"/>
          <w:sz w:val="32"/>
          <w:szCs w:val="32"/>
          <w:u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color w:val="000000"/>
          <w:sz w:val="32"/>
          <w:szCs w:val="32"/>
          <w:u w:val="none"/>
        </w:rPr>
        <w:t xml:space="preserve">本文书一式 </w:t>
      </w:r>
      <w:r>
        <w:rPr>
          <w:rFonts w:hint="eastAsia" w:ascii="Times New Roman" w:hAnsi="Times New Roman" w:eastAsia="仿宋_GB2312" w:cs="仿宋"/>
          <w:color w:val="000000"/>
          <w:sz w:val="32"/>
          <w:szCs w:val="32"/>
          <w:u w:val="none"/>
          <w:lang w:val="en-US" w:eastAsia="zh-CN"/>
        </w:rPr>
        <w:t>二</w:t>
      </w:r>
      <w:r>
        <w:rPr>
          <w:rFonts w:hint="eastAsia" w:ascii="Times New Roman" w:hAnsi="Times New Roman" w:eastAsia="仿宋_GB2312" w:cs="仿宋"/>
          <w:color w:val="000000"/>
          <w:sz w:val="32"/>
          <w:szCs w:val="32"/>
          <w:u w:val="none"/>
        </w:rPr>
        <w:t xml:space="preserve"> 份， </w:t>
      </w:r>
      <w:r>
        <w:rPr>
          <w:rFonts w:hint="eastAsia" w:ascii="Times New Roman" w:hAnsi="Times New Roman" w:eastAsia="仿宋_GB2312" w:cs="仿宋"/>
          <w:color w:val="000000"/>
          <w:sz w:val="32"/>
          <w:szCs w:val="32"/>
          <w:u w:val="none"/>
          <w:lang w:val="en-US" w:eastAsia="zh-CN"/>
        </w:rPr>
        <w:t>一</w:t>
      </w:r>
      <w:r>
        <w:rPr>
          <w:rFonts w:hint="eastAsia" w:ascii="Times New Roman" w:hAnsi="Times New Roman" w:eastAsia="仿宋_GB2312" w:cs="仿宋"/>
          <w:color w:val="000000"/>
          <w:sz w:val="32"/>
          <w:szCs w:val="32"/>
          <w:u w:val="none"/>
        </w:rPr>
        <w:t xml:space="preserve"> 份送达，一份归档</w:t>
      </w:r>
      <w:r>
        <w:rPr>
          <w:rFonts w:hint="eastAsia" w:ascii="Times New Roman" w:hAnsi="Times New Roman" w:eastAsia="仿宋_GB2312" w:cs="仿宋"/>
          <w:color w:val="000000"/>
          <w:sz w:val="32"/>
          <w:szCs w:val="32"/>
          <w:u w:val="none"/>
          <w:lang w:eastAsia="zh-CN"/>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ngal">
    <w:altName w:val="Segoe Print"/>
    <w:panose1 w:val="00000400000000000000"/>
    <w:charset w:val="00"/>
    <w:family w:val="roman"/>
    <w:pitch w:val="default"/>
    <w:sig w:usb0="00000000" w:usb1="00000000" w:usb2="00000000" w:usb3="00000000" w:csb0="00000000" w:csb1="00000000"/>
  </w:font>
  <w:font w:name="Arial Unicode MS">
    <w:altName w:val="宋体"/>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Mongolian Baiti">
    <w:panose1 w:val="03000500000000000000"/>
    <w:charset w:val="00"/>
    <w:family w:val="script"/>
    <w:pitch w:val="default"/>
    <w:sig w:usb0="80000023" w:usb1="00000000" w:usb2="00020000" w:usb3="00000000" w:csb0="000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B6626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8F2481">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8F2481">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3a570657-d4b9-4633-8bde-b1be1a221b99"/>
  </w:docVars>
  <w:rsids>
    <w:rsidRoot w:val="00172A27"/>
    <w:rsid w:val="00193C35"/>
    <w:rsid w:val="0032134F"/>
    <w:rsid w:val="010A478A"/>
    <w:rsid w:val="02B83402"/>
    <w:rsid w:val="042774DD"/>
    <w:rsid w:val="048D2705"/>
    <w:rsid w:val="04CD463F"/>
    <w:rsid w:val="04FA4431"/>
    <w:rsid w:val="05C51508"/>
    <w:rsid w:val="06476E0A"/>
    <w:rsid w:val="06BAE61F"/>
    <w:rsid w:val="071C7669"/>
    <w:rsid w:val="07580619"/>
    <w:rsid w:val="0776795A"/>
    <w:rsid w:val="07DA78EE"/>
    <w:rsid w:val="08365B64"/>
    <w:rsid w:val="087864F3"/>
    <w:rsid w:val="090B4D3A"/>
    <w:rsid w:val="09290BEC"/>
    <w:rsid w:val="09AA7B69"/>
    <w:rsid w:val="0A2F38BD"/>
    <w:rsid w:val="0A3665F0"/>
    <w:rsid w:val="0B22091D"/>
    <w:rsid w:val="0CF71776"/>
    <w:rsid w:val="0D242541"/>
    <w:rsid w:val="0FB748D6"/>
    <w:rsid w:val="103E22C5"/>
    <w:rsid w:val="11524677"/>
    <w:rsid w:val="115320F9"/>
    <w:rsid w:val="119E3BCA"/>
    <w:rsid w:val="1350279A"/>
    <w:rsid w:val="14203063"/>
    <w:rsid w:val="143E1E38"/>
    <w:rsid w:val="1490670C"/>
    <w:rsid w:val="152E563E"/>
    <w:rsid w:val="15B93156"/>
    <w:rsid w:val="16D23D7F"/>
    <w:rsid w:val="18325353"/>
    <w:rsid w:val="188449CB"/>
    <w:rsid w:val="18B229B2"/>
    <w:rsid w:val="19FE4517"/>
    <w:rsid w:val="1AE345F4"/>
    <w:rsid w:val="1B37398D"/>
    <w:rsid w:val="1C7339BB"/>
    <w:rsid w:val="1C7A5BA8"/>
    <w:rsid w:val="1E664711"/>
    <w:rsid w:val="1EC222D9"/>
    <w:rsid w:val="1F2B5D07"/>
    <w:rsid w:val="1FC004DE"/>
    <w:rsid w:val="1FD31F15"/>
    <w:rsid w:val="212E3259"/>
    <w:rsid w:val="22287087"/>
    <w:rsid w:val="23496993"/>
    <w:rsid w:val="237778B4"/>
    <w:rsid w:val="23F5677C"/>
    <w:rsid w:val="24626694"/>
    <w:rsid w:val="258D6CE0"/>
    <w:rsid w:val="27A45517"/>
    <w:rsid w:val="2B1B3EFC"/>
    <w:rsid w:val="2CEA3815"/>
    <w:rsid w:val="2DE10173"/>
    <w:rsid w:val="2F327E79"/>
    <w:rsid w:val="2F7CE1EF"/>
    <w:rsid w:val="2F8A6913"/>
    <w:rsid w:val="30DB5683"/>
    <w:rsid w:val="30FA2F6D"/>
    <w:rsid w:val="31562B39"/>
    <w:rsid w:val="31BE0AF5"/>
    <w:rsid w:val="32CE76E8"/>
    <w:rsid w:val="3334290F"/>
    <w:rsid w:val="33740640"/>
    <w:rsid w:val="3585615B"/>
    <w:rsid w:val="363C12E3"/>
    <w:rsid w:val="368E5656"/>
    <w:rsid w:val="377FBB27"/>
    <w:rsid w:val="37F16547"/>
    <w:rsid w:val="38B63DA7"/>
    <w:rsid w:val="3930619F"/>
    <w:rsid w:val="3A4E178D"/>
    <w:rsid w:val="3BF97ECA"/>
    <w:rsid w:val="3C2965F0"/>
    <w:rsid w:val="3D6B1177"/>
    <w:rsid w:val="3E5F4AE1"/>
    <w:rsid w:val="3E853745"/>
    <w:rsid w:val="3F2604DF"/>
    <w:rsid w:val="3F6783E4"/>
    <w:rsid w:val="3F842066"/>
    <w:rsid w:val="3FFF82D4"/>
    <w:rsid w:val="402E7C06"/>
    <w:rsid w:val="40FE5F8F"/>
    <w:rsid w:val="425049CE"/>
    <w:rsid w:val="442B16EC"/>
    <w:rsid w:val="458F64B9"/>
    <w:rsid w:val="45C51FFB"/>
    <w:rsid w:val="46157ACD"/>
    <w:rsid w:val="47243FC5"/>
    <w:rsid w:val="48C10000"/>
    <w:rsid w:val="4A555101"/>
    <w:rsid w:val="4ADF49AE"/>
    <w:rsid w:val="4B8F0B22"/>
    <w:rsid w:val="4C02380F"/>
    <w:rsid w:val="4C7C04B3"/>
    <w:rsid w:val="4CC8271B"/>
    <w:rsid w:val="4D9306AE"/>
    <w:rsid w:val="4E8950D9"/>
    <w:rsid w:val="4F722566"/>
    <w:rsid w:val="4F93378A"/>
    <w:rsid w:val="503F09B5"/>
    <w:rsid w:val="516D5500"/>
    <w:rsid w:val="52802336"/>
    <w:rsid w:val="53A0483E"/>
    <w:rsid w:val="547C0750"/>
    <w:rsid w:val="55FE5622"/>
    <w:rsid w:val="57503162"/>
    <w:rsid w:val="57F44C8A"/>
    <w:rsid w:val="58A4140A"/>
    <w:rsid w:val="591F0542"/>
    <w:rsid w:val="59A10938"/>
    <w:rsid w:val="5BA419F7"/>
    <w:rsid w:val="5BEF1DBF"/>
    <w:rsid w:val="5BF91583"/>
    <w:rsid w:val="5BFB2E57"/>
    <w:rsid w:val="5C5D2BD9"/>
    <w:rsid w:val="5DD7483B"/>
    <w:rsid w:val="5E5FAB03"/>
    <w:rsid w:val="5E605C94"/>
    <w:rsid w:val="5EA00CBE"/>
    <w:rsid w:val="5F9FEDD5"/>
    <w:rsid w:val="5FBEF003"/>
    <w:rsid w:val="5FE33914"/>
    <w:rsid w:val="5FFA4D85"/>
    <w:rsid w:val="602422E6"/>
    <w:rsid w:val="60B635F2"/>
    <w:rsid w:val="60C16F3B"/>
    <w:rsid w:val="612E7E8C"/>
    <w:rsid w:val="617678F3"/>
    <w:rsid w:val="61DC2B1A"/>
    <w:rsid w:val="636955DE"/>
    <w:rsid w:val="646E5E05"/>
    <w:rsid w:val="64E43803"/>
    <w:rsid w:val="657F58CB"/>
    <w:rsid w:val="66934D57"/>
    <w:rsid w:val="6AD7030F"/>
    <w:rsid w:val="6BA277B7"/>
    <w:rsid w:val="6BCC1BB9"/>
    <w:rsid w:val="6C6723F1"/>
    <w:rsid w:val="6CA517CF"/>
    <w:rsid w:val="6D064CEC"/>
    <w:rsid w:val="6D6C7F13"/>
    <w:rsid w:val="6D923254"/>
    <w:rsid w:val="6DD2313B"/>
    <w:rsid w:val="6E04767D"/>
    <w:rsid w:val="6E355D52"/>
    <w:rsid w:val="6E6950E9"/>
    <w:rsid w:val="6ED952C0"/>
    <w:rsid w:val="6F013B3F"/>
    <w:rsid w:val="6F732ABB"/>
    <w:rsid w:val="6F7A32CD"/>
    <w:rsid w:val="6FF58B64"/>
    <w:rsid w:val="6FF8F863"/>
    <w:rsid w:val="70CF02CA"/>
    <w:rsid w:val="70F532B7"/>
    <w:rsid w:val="71013020"/>
    <w:rsid w:val="710D7C3E"/>
    <w:rsid w:val="71FC56E7"/>
    <w:rsid w:val="7376089F"/>
    <w:rsid w:val="74E06ABE"/>
    <w:rsid w:val="75B2DA43"/>
    <w:rsid w:val="75BD90DB"/>
    <w:rsid w:val="75CC41D0"/>
    <w:rsid w:val="75F8119D"/>
    <w:rsid w:val="76222141"/>
    <w:rsid w:val="76704CDE"/>
    <w:rsid w:val="76D869B3"/>
    <w:rsid w:val="76FD0A98"/>
    <w:rsid w:val="77A46674"/>
    <w:rsid w:val="77DF8BD4"/>
    <w:rsid w:val="77EFD5CC"/>
    <w:rsid w:val="77FFADAC"/>
    <w:rsid w:val="7835649C"/>
    <w:rsid w:val="789620E4"/>
    <w:rsid w:val="78FD530C"/>
    <w:rsid w:val="7AFB4DD2"/>
    <w:rsid w:val="7B0F6E9A"/>
    <w:rsid w:val="7BA46A39"/>
    <w:rsid w:val="7BFD6076"/>
    <w:rsid w:val="7C8E43D6"/>
    <w:rsid w:val="7DA813EB"/>
    <w:rsid w:val="7DFF108F"/>
    <w:rsid w:val="7EED8AE6"/>
    <w:rsid w:val="7F5A6980"/>
    <w:rsid w:val="7FEADF5C"/>
    <w:rsid w:val="91BF8AB9"/>
    <w:rsid w:val="9FF1B21D"/>
    <w:rsid w:val="B7BFD803"/>
    <w:rsid w:val="BD5EB179"/>
    <w:rsid w:val="BD7F78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1906</Words>
  <Characters>2037</Characters>
  <Lines>0</Lines>
  <Paragraphs>0</Paragraphs>
  <TotalTime>3</TotalTime>
  <ScaleCrop>false</ScaleCrop>
  <LinksUpToDate>false</LinksUpToDate>
  <CharactersWithSpaces>2420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2021-08-02T10:04:00Z</dcterms:created>
  <dc:creator>胖林宝宝噜啦噜～</dc:creator>
  <cp:lastModifiedBy>Administrator</cp:lastModifiedBy>
  <dcterms:modified xsi:type="dcterms:W3CDTF">2026-06-25T01:46:03Z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526F4C53292B48849053E71A59849707</vt:lpwstr>
  </property>
</Properties>
</file>