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C085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870C80D">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C34544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融水市监处罚〔2026〕84号</w:t>
      </w:r>
      <w:bookmarkEnd w:id="2"/>
    </w:p>
    <w:p w14:paraId="2586C4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sz w:val="32"/>
          <w:u w:val="none"/>
          <w:lang w:val="en-US" w:eastAsia="zh-CN"/>
        </w:rPr>
      </w:pPr>
      <w:r>
        <w:rPr>
          <w:rFonts w:hint="eastAsia" w:ascii="仿宋_GB2312" w:hAnsi="Times New Roman" w:eastAsia="仿宋_GB2312" w:cs="仿宋_GB2312"/>
          <w:color w:val="000000"/>
          <w:sz w:val="32"/>
          <w:u w:val="none"/>
        </w:rPr>
        <w:t>当事人：</w:t>
      </w:r>
      <w:r>
        <w:rPr>
          <w:rFonts w:hint="eastAsia" w:ascii="仿宋_GB2312" w:hAnsi="Times New Roman" w:eastAsia="仿宋_GB2312" w:cs="仿宋_GB2312"/>
          <w:color w:val="000000"/>
          <w:sz w:val="32"/>
          <w:u w:val="none"/>
          <w:lang w:val="en-US" w:eastAsia="zh-CN"/>
        </w:rPr>
        <w:t>融水县汪洞乡赵仁良酒坊</w:t>
      </w:r>
      <w:r>
        <w:rPr>
          <w:rFonts w:hint="default" w:ascii="仿宋_GB2312" w:hAnsi="Times New Roman" w:eastAsia="仿宋_GB2312" w:cs="仿宋_GB2312"/>
          <w:color w:val="000000"/>
          <w:sz w:val="32"/>
          <w:u w:val="none"/>
        </w:rPr>
        <w:t xml:space="preserve"> </w:t>
      </w:r>
    </w:p>
    <w:p w14:paraId="7A0F7F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sz w:val="32"/>
          <w:u w:val="none"/>
        </w:rPr>
      </w:pPr>
      <w:r>
        <w:rPr>
          <w:rFonts w:hint="eastAsia" w:ascii="仿宋_GB2312" w:hAnsi="Times New Roman" w:eastAsia="仿宋_GB2312" w:cs="仿宋_GB2312"/>
          <w:color w:val="000000"/>
          <w:sz w:val="32"/>
          <w:u w:val="none"/>
        </w:rPr>
        <w:t>主体资格证照名称：</w:t>
      </w:r>
      <w:bookmarkStart w:id="3" w:name="CALCULATE—DSR—tAjDsrs_cZtzgzzmc"/>
      <w:r>
        <w:rPr>
          <w:rFonts w:hint="eastAsia" w:ascii="仿宋_GB2312" w:hAnsi="Times New Roman" w:eastAsia="仿宋_GB2312" w:cs="仿宋_GB2312"/>
          <w:color w:val="000000"/>
          <w:sz w:val="32"/>
          <w:u w:val="none"/>
        </w:rPr>
        <w:t>营业执照</w:t>
      </w:r>
      <w:bookmarkEnd w:id="3"/>
    </w:p>
    <w:p w14:paraId="647E2E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sz w:val="32"/>
          <w:u w:val="none"/>
        </w:rPr>
      </w:pPr>
      <w:r>
        <w:rPr>
          <w:rFonts w:hint="eastAsia" w:ascii="仿宋_GB2312" w:hAnsi="Times New Roman" w:eastAsia="仿宋_GB2312" w:cs="仿宋_GB2312"/>
          <w:color w:val="000000"/>
          <w:sz w:val="32"/>
          <w:u w:val="none"/>
        </w:rPr>
        <w:t xml:space="preserve">统一社会信用代码：92450225MA5N9L6YXD </w:t>
      </w:r>
    </w:p>
    <w:p w14:paraId="698831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color w:val="000000"/>
          <w:sz w:val="32"/>
          <w:u w:val="none"/>
          <w:lang w:val="en-US" w:eastAsia="zh-CN"/>
        </w:rPr>
      </w:pPr>
      <w:r>
        <w:rPr>
          <w:rFonts w:hint="eastAsia" w:ascii="仿宋_GB2312" w:hAnsi="Times New Roman" w:eastAsia="仿宋_GB2312" w:cs="仿宋_GB2312"/>
          <w:color w:val="000000"/>
          <w:sz w:val="32"/>
          <w:u w:val="none"/>
        </w:rPr>
        <w:t>住所（住址）：广西柳州市融水县汪洞乡池洞村</w:t>
      </w:r>
      <w:r>
        <w:rPr>
          <w:rFonts w:hint="eastAsia" w:ascii="仿宋_GB2312" w:hAnsi="Times New Roman" w:eastAsia="仿宋_GB2312" w:cs="仿宋_GB2312"/>
          <w:color w:val="000000"/>
          <w:sz w:val="32"/>
          <w:u w:val="none"/>
          <w:lang w:val="en-US" w:eastAsia="zh-CN"/>
        </w:rPr>
        <w:t>******</w:t>
      </w:r>
    </w:p>
    <w:p w14:paraId="26D912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sz w:val="32"/>
          <w:u w:val="none"/>
        </w:rPr>
      </w:pPr>
      <w:r>
        <w:rPr>
          <w:rFonts w:hint="eastAsia" w:ascii="仿宋_GB2312" w:hAnsi="Times New Roman" w:eastAsia="仿宋_GB2312" w:cs="仿宋_GB2312"/>
          <w:color w:val="000000"/>
          <w:sz w:val="32"/>
          <w:u w:val="none"/>
          <w:lang w:eastAsia="zh-CN"/>
        </w:rPr>
        <w:t>经营者</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赵仁良</w:t>
      </w:r>
    </w:p>
    <w:p w14:paraId="25B011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方正仿宋_GBK" w:eastAsia="仿宋_GB2312"/>
          <w:b w:val="0"/>
          <w:bCs/>
          <w:color w:val="auto"/>
          <w:u w:val="none" w:color="auto"/>
        </w:rPr>
      </w:pPr>
      <w:r>
        <w:rPr>
          <w:rFonts w:hint="eastAsia" w:ascii="仿宋_GB2312" w:hAnsi="Times New Roman" w:eastAsia="仿宋_GB2312" w:cs="仿宋_GB2312"/>
          <w:color w:val="000000"/>
          <w:sz w:val="32"/>
          <w:u w:val="none"/>
        </w:rPr>
        <w:t>身份证件号码：</w:t>
      </w:r>
      <w:r>
        <w:rPr>
          <w:rFonts w:hint="eastAsia" w:ascii="仿宋_GB2312" w:hAnsi="Times New Roman" w:eastAsia="仿宋_GB2312" w:cs="仿宋_GB2312"/>
          <w:color w:val="000000"/>
          <w:sz w:val="32"/>
          <w:u w:val="none"/>
          <w:lang w:val="en-US" w:eastAsia="zh-CN"/>
        </w:rPr>
        <w:t>452229196707******</w:t>
      </w:r>
      <w:r>
        <w:rPr>
          <w:rFonts w:hint="eastAsia" w:ascii="仿宋_GB2312" w:hAnsi="Times New Roman" w:eastAsia="仿宋_GB2312" w:cs="仿宋_GB2312"/>
          <w:color w:val="000000"/>
          <w:sz w:val="32"/>
          <w:u w:val="none"/>
        </w:rPr>
        <w:t xml:space="preserve"> </w:t>
      </w:r>
    </w:p>
    <w:p w14:paraId="0B935FD7">
      <w:pPr>
        <w:pStyle w:val="2"/>
        <w:ind w:firstLine="640" w:firstLineChars="200"/>
        <w:rPr>
          <w:rFonts w:hint="default"/>
          <w:lang w:val="en-US" w:eastAsia="zh-CN"/>
        </w:rPr>
      </w:pPr>
      <w:r>
        <w:rPr>
          <w:rFonts w:hint="eastAsia" w:ascii="仿宋_GB2312" w:hAnsi="Times New Roman" w:eastAsia="仿宋_GB2312" w:cs="仿宋_GB2312"/>
          <w:color w:val="000000"/>
          <w:sz w:val="32"/>
          <w:u w:val="none"/>
          <w:lang w:val="en-US" w:eastAsia="zh-CN"/>
        </w:rPr>
        <w:t>2026年4月23日，本局执法人员到融水县汪洞乡池洞村******依法对融水县汪洞乡赵仁良酒坊</w:t>
      </w:r>
      <w:r>
        <w:rPr>
          <w:rFonts w:hint="eastAsia" w:ascii="仿宋_GB2312" w:hAnsi="Times New Roman" w:eastAsia="仿宋_GB2312" w:cs="仿宋_GB2312"/>
          <w:color w:val="000000"/>
          <w:sz w:val="32"/>
          <w:u w:val="none"/>
        </w:rPr>
        <w:t>开展执法检查</w:t>
      </w:r>
      <w:r>
        <w:rPr>
          <w:rFonts w:hint="eastAsia" w:ascii="仿宋_GB2312" w:hAnsi="Times New Roman" w:eastAsia="仿宋_GB2312" w:cs="仿宋_GB2312"/>
          <w:color w:val="000000"/>
          <w:sz w:val="32"/>
          <w:u w:val="none"/>
          <w:lang w:val="en-US" w:eastAsia="zh-CN"/>
        </w:rPr>
        <w:t>。执法人员在当事人经营场所内及销售货架上检查发现有“1.红塔山（硬经典100）5.7条，120元\条；2.真龙（珍品）2.9条，120元\条；3.真龙（软祥云）2.2条，140元\条。”等3个品种共10.8条的烟草制品，</w:t>
      </w:r>
      <w:r>
        <w:rPr>
          <w:rFonts w:hint="eastAsia" w:ascii="仿宋_GB2312" w:hAnsi="Times New Roman" w:eastAsia="仿宋_GB2312" w:cs="仿宋_GB2312"/>
          <w:color w:val="000000"/>
          <w:sz w:val="32"/>
          <w:u w:val="none"/>
        </w:rPr>
        <w:t>当事人现场未能提供该</w:t>
      </w:r>
      <w:r>
        <w:rPr>
          <w:rFonts w:hint="eastAsia" w:ascii="仿宋_GB2312" w:hAnsi="Times New Roman" w:eastAsia="仿宋_GB2312" w:cs="仿宋_GB2312"/>
          <w:color w:val="000000"/>
          <w:sz w:val="32"/>
          <w:u w:val="none"/>
          <w:lang w:eastAsia="zh-CN"/>
        </w:rPr>
        <w:t>酒坊</w:t>
      </w:r>
      <w:r>
        <w:rPr>
          <w:rFonts w:hint="eastAsia" w:ascii="仿宋_GB2312" w:hAnsi="Times New Roman" w:eastAsia="仿宋_GB2312" w:cs="仿宋_GB2312"/>
          <w:color w:val="000000"/>
          <w:sz w:val="32"/>
          <w:u w:val="none"/>
        </w:rPr>
        <w:t>的《烟草专卖零售许可证》及上述烟草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的购进票据和销售台账。经</w:t>
      </w:r>
      <w:r>
        <w:rPr>
          <w:rFonts w:hint="eastAsia" w:ascii="仿宋_GB2312" w:hAnsi="Times New Roman" w:eastAsia="仿宋_GB2312" w:cs="仿宋_GB2312"/>
          <w:color w:val="000000"/>
          <w:sz w:val="32"/>
          <w:u w:val="none"/>
          <w:lang w:eastAsia="zh-CN"/>
        </w:rPr>
        <w:t>本局</w:t>
      </w:r>
      <w:r>
        <w:rPr>
          <w:rFonts w:hint="eastAsia" w:ascii="仿宋_GB2312" w:hAnsi="Times New Roman" w:eastAsia="仿宋_GB2312" w:cs="仿宋_GB2312"/>
          <w:color w:val="000000"/>
          <w:sz w:val="32"/>
          <w:u w:val="none"/>
        </w:rPr>
        <w:t>领导批准，执法人员现场向当事人下达《先行登记保存证据通知书》一份，对检查发现的烟草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采取先行登记保存措施，登记保存物品信息详见《财物清单》（融水市监先登〔202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51</w:t>
      </w:r>
      <w:r>
        <w:rPr>
          <w:rFonts w:hint="eastAsia" w:ascii="仿宋_GB2312" w:hAnsi="Times New Roman" w:eastAsia="仿宋_GB2312" w:cs="仿宋_GB2312"/>
          <w:color w:val="000000"/>
          <w:sz w:val="32"/>
          <w:u w:val="none"/>
        </w:rPr>
        <w:t>号）。</w:t>
      </w:r>
      <w:r>
        <w:rPr>
          <w:rFonts w:hint="eastAsia" w:ascii="仿宋_GB2312" w:hAnsi="Times New Roman" w:eastAsia="仿宋_GB2312" w:cs="仿宋_GB2312"/>
          <w:color w:val="000000"/>
          <w:sz w:val="32"/>
          <w:u w:val="none"/>
          <w:lang w:eastAsia="zh-CN"/>
        </w:rPr>
        <w:t>经本局领导审批同意对当事人的行为立案调查。</w:t>
      </w:r>
      <w:r>
        <w:rPr>
          <w:rFonts w:hint="eastAsia" w:ascii="仿宋_GB2312" w:hAnsi="Times New Roman" w:eastAsia="仿宋_GB2312" w:cs="仿宋_GB2312"/>
          <w:color w:val="000000"/>
          <w:sz w:val="32"/>
          <w:u w:val="none"/>
          <w:lang w:val="en-US" w:eastAsia="zh-CN"/>
        </w:rPr>
        <w:t>2026年4月28日，当事人经营者赵仁良到汪洞市场监督管理所接受询问调查</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赵仁良</w:t>
      </w:r>
      <w:r>
        <w:rPr>
          <w:rFonts w:hint="eastAsia" w:ascii="仿宋_GB2312" w:hAnsi="Times New Roman" w:eastAsia="仿宋_GB2312" w:cs="仿宋_GB2312"/>
          <w:color w:val="000000"/>
          <w:sz w:val="32"/>
          <w:u w:val="none"/>
          <w:lang w:eastAsia="zh-CN"/>
        </w:rPr>
        <w:t>提供了相关证据材料。</w:t>
      </w:r>
    </w:p>
    <w:p w14:paraId="392664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000000"/>
          <w:sz w:val="32"/>
          <w:u w:val="none"/>
        </w:rPr>
      </w:pPr>
      <w:r>
        <w:rPr>
          <w:rFonts w:hint="eastAsia" w:ascii="仿宋_GB2312" w:hAnsi="Times New Roman" w:eastAsia="仿宋_GB2312" w:cs="仿宋_GB2312"/>
          <w:color w:val="000000"/>
          <w:sz w:val="32"/>
          <w:u w:val="none"/>
        </w:rPr>
        <w:t>经查，当事人于20</w:t>
      </w:r>
      <w:r>
        <w:rPr>
          <w:rFonts w:hint="eastAsia" w:ascii="仿宋_GB2312" w:hAnsi="Times New Roman" w:eastAsia="仿宋_GB2312" w:cs="仿宋_GB2312"/>
          <w:color w:val="000000"/>
          <w:sz w:val="32"/>
          <w:u w:val="none"/>
          <w:lang w:val="en-US" w:eastAsia="zh-CN"/>
        </w:rPr>
        <w:t>18</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7</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4</w:t>
      </w:r>
      <w:r>
        <w:rPr>
          <w:rFonts w:hint="eastAsia" w:ascii="仿宋_GB2312" w:hAnsi="Times New Roman" w:eastAsia="仿宋_GB2312" w:cs="仿宋_GB2312"/>
          <w:color w:val="000000"/>
          <w:sz w:val="32"/>
          <w:u w:val="none"/>
        </w:rPr>
        <w:t>日取得《营业执照》后在广西柳州市融水县汪洞乡池洞村</w:t>
      </w:r>
      <w:r>
        <w:rPr>
          <w:rFonts w:hint="eastAsia" w:ascii="仿宋_GB2312" w:hAnsi="Times New Roman" w:eastAsia="仿宋_GB2312" w:cs="仿宋_GB2312"/>
          <w:color w:val="000000"/>
          <w:sz w:val="32"/>
          <w:u w:val="none"/>
          <w:lang w:val="en-US" w:eastAsia="zh-CN"/>
        </w:rPr>
        <w:t>******</w:t>
      </w:r>
      <w:bookmarkStart w:id="9" w:name="_GoBack"/>
      <w:bookmarkEnd w:id="9"/>
      <w:r>
        <w:rPr>
          <w:rFonts w:hint="eastAsia" w:ascii="仿宋_GB2312" w:hAnsi="Times New Roman" w:eastAsia="仿宋_GB2312" w:cs="仿宋_GB2312"/>
          <w:color w:val="000000"/>
          <w:sz w:val="32"/>
          <w:u w:val="none"/>
        </w:rPr>
        <w:t>开展经营活动，经营范围中未登记有烟草制品零售业务。</w:t>
      </w:r>
      <w:r>
        <w:rPr>
          <w:rFonts w:hint="eastAsia" w:ascii="仿宋_GB2312" w:hAnsi="Times New Roman" w:eastAsia="仿宋_GB2312" w:cs="仿宋_GB2312"/>
          <w:color w:val="000000"/>
          <w:sz w:val="32"/>
          <w:u w:val="none"/>
          <w:lang w:val="en-US" w:eastAsia="zh-CN"/>
        </w:rPr>
        <w:t>今年3月份开始，</w:t>
      </w:r>
      <w:r>
        <w:rPr>
          <w:rFonts w:hint="eastAsia" w:ascii="仿宋_GB2312" w:hAnsi="Times New Roman" w:eastAsia="仿宋_GB2312" w:cs="仿宋_GB2312"/>
          <w:color w:val="000000"/>
          <w:sz w:val="32"/>
          <w:u w:val="none"/>
        </w:rPr>
        <w:t>当事人开始在未取得《烟草专卖零售许可证》的情况下，从</w:t>
      </w:r>
      <w:r>
        <w:rPr>
          <w:rFonts w:hint="eastAsia" w:ascii="仿宋_GB2312" w:hAnsi="Times New Roman" w:eastAsia="仿宋_GB2312" w:cs="仿宋_GB2312"/>
          <w:color w:val="000000"/>
          <w:sz w:val="32"/>
          <w:u w:val="none"/>
          <w:lang w:eastAsia="zh-CN"/>
        </w:rPr>
        <w:t>融水县汪洞乡</w:t>
      </w:r>
      <w:r>
        <w:rPr>
          <w:rFonts w:hint="eastAsia" w:ascii="仿宋_GB2312" w:hAnsi="Times New Roman" w:eastAsia="仿宋_GB2312" w:cs="仿宋_GB2312"/>
          <w:color w:val="000000"/>
          <w:sz w:val="32"/>
          <w:u w:val="none"/>
          <w:lang w:val="en-US" w:eastAsia="zh-CN"/>
        </w:rPr>
        <w:t>汪洞街各个批发部购进</w:t>
      </w:r>
      <w:r>
        <w:rPr>
          <w:rFonts w:hint="eastAsia" w:ascii="仿宋_GB2312" w:hAnsi="Times New Roman" w:eastAsia="仿宋_GB2312" w:cs="仿宋_GB2312"/>
          <w:color w:val="000000"/>
          <w:sz w:val="32"/>
          <w:u w:val="none"/>
        </w:rPr>
        <w:t>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拿到</w:t>
      </w:r>
      <w:r>
        <w:rPr>
          <w:rFonts w:hint="eastAsia" w:ascii="仿宋_GB2312" w:hAnsi="Times New Roman" w:eastAsia="仿宋_GB2312" w:cs="仿宋_GB2312"/>
          <w:color w:val="000000"/>
          <w:sz w:val="32"/>
          <w:u w:val="none"/>
          <w:lang w:val="en-US" w:eastAsia="zh-CN"/>
        </w:rPr>
        <w:t>融水县汪洞乡赵仁良酒坊</w:t>
      </w:r>
      <w:r>
        <w:rPr>
          <w:rFonts w:hint="eastAsia" w:ascii="仿宋_GB2312" w:hAnsi="Times New Roman" w:eastAsia="仿宋_GB2312" w:cs="仿宋_GB2312"/>
          <w:color w:val="000000"/>
          <w:sz w:val="32"/>
          <w:u w:val="none"/>
        </w:rPr>
        <w:t>进行销售，202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4</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23</w:t>
      </w:r>
      <w:r>
        <w:rPr>
          <w:rFonts w:hint="eastAsia" w:ascii="仿宋_GB2312" w:hAnsi="Times New Roman" w:eastAsia="仿宋_GB2312" w:cs="仿宋_GB2312"/>
          <w:color w:val="000000"/>
          <w:sz w:val="32"/>
          <w:u w:val="none"/>
        </w:rPr>
        <w:t>日被</w:t>
      </w:r>
      <w:r>
        <w:rPr>
          <w:rFonts w:hint="eastAsia" w:ascii="仿宋_GB2312" w:hAnsi="Times New Roman" w:eastAsia="仿宋_GB2312" w:cs="仿宋_GB2312"/>
          <w:color w:val="000000"/>
          <w:sz w:val="32"/>
          <w:u w:val="none"/>
          <w:lang w:eastAsia="zh-CN"/>
        </w:rPr>
        <w:t>本局</w:t>
      </w:r>
      <w:r>
        <w:rPr>
          <w:rFonts w:hint="eastAsia" w:ascii="仿宋_GB2312" w:hAnsi="Times New Roman" w:eastAsia="仿宋_GB2312" w:cs="仿宋_GB2312"/>
          <w:color w:val="000000"/>
          <w:sz w:val="32"/>
          <w:u w:val="none"/>
        </w:rPr>
        <w:t>执法人员在其</w:t>
      </w:r>
      <w:r>
        <w:rPr>
          <w:rFonts w:hint="eastAsia" w:ascii="仿宋_GB2312" w:hAnsi="Times New Roman" w:eastAsia="仿宋_GB2312" w:cs="仿宋_GB2312"/>
          <w:color w:val="000000"/>
          <w:sz w:val="32"/>
          <w:u w:val="none"/>
          <w:lang w:eastAsia="zh-CN"/>
        </w:rPr>
        <w:t>酒坊</w:t>
      </w:r>
      <w:r>
        <w:rPr>
          <w:rFonts w:hint="eastAsia" w:ascii="仿宋_GB2312" w:hAnsi="Times New Roman" w:eastAsia="仿宋_GB2312" w:cs="仿宋_GB2312"/>
          <w:color w:val="000000"/>
          <w:sz w:val="32"/>
          <w:u w:val="none"/>
        </w:rPr>
        <w:t>内查获用于零售的烟草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个品种共计</w:t>
      </w:r>
      <w:r>
        <w:rPr>
          <w:rFonts w:hint="eastAsia" w:ascii="仿宋_GB2312" w:hAnsi="Times New Roman" w:eastAsia="仿宋_GB2312" w:cs="仿宋_GB2312"/>
          <w:color w:val="000000"/>
          <w:sz w:val="32"/>
          <w:u w:val="none"/>
          <w:lang w:val="en-US" w:eastAsia="zh-CN"/>
        </w:rPr>
        <w:t>10.8</w:t>
      </w:r>
      <w:r>
        <w:rPr>
          <w:rFonts w:hint="eastAsia" w:ascii="仿宋_GB2312" w:hAnsi="Times New Roman" w:eastAsia="仿宋_GB2312" w:cs="仿宋_GB2312"/>
          <w:color w:val="000000"/>
          <w:sz w:val="32"/>
          <w:u w:val="none"/>
        </w:rPr>
        <w:t>条，货值</w:t>
      </w:r>
      <w:r>
        <w:rPr>
          <w:rFonts w:hint="eastAsia" w:ascii="仿宋_GB2312" w:hAnsi="Times New Roman" w:eastAsia="仿宋_GB2312" w:cs="仿宋_GB2312"/>
          <w:color w:val="000000"/>
          <w:sz w:val="32"/>
          <w:u w:val="none"/>
          <w:lang w:eastAsia="zh-CN"/>
        </w:rPr>
        <w:t>金额</w:t>
      </w:r>
      <w:r>
        <w:rPr>
          <w:rFonts w:hint="eastAsia" w:ascii="仿宋_GB2312" w:hAnsi="Times New Roman" w:eastAsia="仿宋_GB2312" w:cs="仿宋_GB2312"/>
          <w:color w:val="000000"/>
          <w:sz w:val="32"/>
          <w:u w:val="none"/>
          <w:lang w:val="en-US" w:eastAsia="zh-CN"/>
        </w:rPr>
        <w:t>1340</w:t>
      </w:r>
      <w:r>
        <w:rPr>
          <w:rFonts w:hint="eastAsia" w:ascii="仿宋_GB2312" w:hAnsi="Times New Roman" w:eastAsia="仿宋_GB2312" w:cs="仿宋_GB2312"/>
          <w:color w:val="000000"/>
          <w:sz w:val="32"/>
          <w:u w:val="none"/>
        </w:rPr>
        <w:t>元。经核实，当事人经营的烟草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系</w:t>
      </w:r>
      <w:r>
        <w:rPr>
          <w:rFonts w:hint="eastAsia" w:ascii="仿宋_GB2312" w:hAnsi="Times New Roman" w:eastAsia="仿宋_GB2312" w:cs="仿宋_GB2312"/>
          <w:color w:val="000000"/>
          <w:sz w:val="32"/>
          <w:u w:val="none"/>
          <w:lang w:val="en-US" w:eastAsia="zh-CN"/>
        </w:rPr>
        <w:t>融水县汪洞乡各个</w:t>
      </w:r>
      <w:r>
        <w:rPr>
          <w:rFonts w:hint="eastAsia" w:ascii="仿宋_GB2312" w:hAnsi="Times New Roman" w:eastAsia="仿宋_GB2312" w:cs="仿宋_GB2312"/>
          <w:color w:val="000000"/>
          <w:sz w:val="32"/>
          <w:u w:val="none"/>
        </w:rPr>
        <w:t>持有《烟草专卖零售许可证》的</w:t>
      </w:r>
      <w:r>
        <w:rPr>
          <w:rFonts w:hint="eastAsia" w:ascii="仿宋_GB2312" w:hAnsi="Times New Roman" w:eastAsia="仿宋_GB2312" w:cs="仿宋_GB2312"/>
          <w:color w:val="000000"/>
          <w:sz w:val="32"/>
          <w:u w:val="none"/>
          <w:lang w:val="en-US" w:eastAsia="zh-CN"/>
        </w:rPr>
        <w:t>批发部</w:t>
      </w:r>
      <w:r>
        <w:rPr>
          <w:rFonts w:hint="eastAsia" w:ascii="仿宋_GB2312" w:hAnsi="Times New Roman" w:eastAsia="仿宋_GB2312" w:cs="仿宋_GB2312"/>
          <w:color w:val="000000"/>
          <w:sz w:val="32"/>
          <w:u w:val="none"/>
        </w:rPr>
        <w:t>从烟草专卖局购进，拿到</w:t>
      </w:r>
      <w:r>
        <w:rPr>
          <w:rFonts w:hint="eastAsia" w:ascii="仿宋_GB2312" w:hAnsi="Times New Roman" w:eastAsia="仿宋_GB2312" w:cs="仿宋_GB2312"/>
          <w:color w:val="000000"/>
          <w:sz w:val="32"/>
          <w:u w:val="none"/>
          <w:lang w:val="en-US" w:eastAsia="zh-CN"/>
        </w:rPr>
        <w:t>融水县汪洞乡赵仁良酒坊</w:t>
      </w:r>
      <w:r>
        <w:rPr>
          <w:rFonts w:hint="eastAsia" w:ascii="仿宋_GB2312" w:hAnsi="Times New Roman" w:eastAsia="仿宋_GB2312" w:cs="仿宋_GB2312"/>
          <w:color w:val="000000"/>
          <w:sz w:val="32"/>
          <w:u w:val="none"/>
        </w:rPr>
        <w:t>经营场所销售的烟草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未建立有台账，无法核实当事人至案发共</w:t>
      </w:r>
      <w:r>
        <w:rPr>
          <w:rFonts w:hint="eastAsia" w:ascii="仿宋_GB2312" w:hAnsi="Times New Roman" w:eastAsia="仿宋_GB2312" w:cs="仿宋_GB2312"/>
          <w:color w:val="000000"/>
          <w:sz w:val="32"/>
          <w:u w:val="none"/>
          <w:lang w:val="en-US" w:eastAsia="zh-CN"/>
        </w:rPr>
        <w:t>购进</w:t>
      </w:r>
      <w:r>
        <w:rPr>
          <w:rFonts w:hint="eastAsia" w:ascii="仿宋_GB2312" w:hAnsi="Times New Roman" w:eastAsia="仿宋_GB2312" w:cs="仿宋_GB2312"/>
          <w:color w:val="000000"/>
          <w:sz w:val="32"/>
          <w:u w:val="none"/>
        </w:rPr>
        <w:t>和销售烟草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的具体数量，以现场检查发现的烟草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的零售单价的总和</w:t>
      </w:r>
      <w:r>
        <w:rPr>
          <w:rFonts w:hint="eastAsia" w:ascii="仿宋_GB2312" w:hAnsi="Times New Roman" w:eastAsia="仿宋_GB2312" w:cs="仿宋_GB2312"/>
          <w:color w:val="000000"/>
          <w:sz w:val="32"/>
          <w:u w:val="none"/>
          <w:lang w:val="en-US" w:eastAsia="zh-CN"/>
        </w:rPr>
        <w:t>1340</w:t>
      </w:r>
      <w:r>
        <w:rPr>
          <w:rFonts w:hint="eastAsia" w:ascii="仿宋_GB2312" w:hAnsi="Times New Roman" w:eastAsia="仿宋_GB2312" w:cs="仿宋_GB2312"/>
          <w:color w:val="000000"/>
          <w:sz w:val="32"/>
          <w:u w:val="none"/>
        </w:rPr>
        <w:t>元认定为该案涉案货值金额，同时违法所得无法计算，该案无违法所得。</w:t>
      </w:r>
    </w:p>
    <w:p w14:paraId="2B28DE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仿宋_GB2312"/>
          <w:sz w:val="32"/>
          <w:szCs w:val="32"/>
          <w:u w:val="none"/>
        </w:rPr>
      </w:pPr>
      <w:r>
        <w:rPr>
          <w:rFonts w:hint="eastAsia" w:ascii="仿宋_GB2312" w:hAnsi="Times New Roman" w:eastAsia="仿宋_GB2312" w:cs="仿宋_GB2312"/>
          <w:color w:val="000000"/>
          <w:sz w:val="32"/>
          <w:u w:val="none"/>
        </w:rPr>
        <w:t>上述</w:t>
      </w:r>
      <w:r>
        <w:rPr>
          <w:rFonts w:hint="eastAsia" w:ascii="仿宋_GB2312" w:hAnsi="仿宋_GB2312" w:eastAsia="仿宋_GB2312" w:cs="仿宋_GB2312"/>
          <w:color w:val="000000"/>
          <w:sz w:val="32"/>
          <w:szCs w:val="32"/>
          <w:u w:val="none"/>
        </w:rPr>
        <w:t>事实，主要有以下证据证明：</w:t>
      </w:r>
    </w:p>
    <w:p w14:paraId="04F6C3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sz w:val="32"/>
          <w:u w:val="none"/>
        </w:rPr>
      </w:pPr>
      <w:bookmarkStart w:id="4" w:name="CALCULATE—ZJCL—tajCltjes_zjclxx"/>
      <w:r>
        <w:rPr>
          <w:rFonts w:hint="eastAsia" w:ascii="Times New Roman" w:hAnsi="Times New Roman" w:eastAsia="仿宋_GB2312" w:cs="仿宋_GB2312"/>
          <w:color w:val="000000"/>
          <w:sz w:val="32"/>
          <w:u w:val="none"/>
        </w:rPr>
        <w:t>　　</w:t>
      </w:r>
      <w:bookmarkEnd w:id="4"/>
      <w:r>
        <w:rPr>
          <w:rFonts w:hint="eastAsia" w:ascii="Times New Roman" w:hAnsi="Times New Roman" w:eastAsia="仿宋_GB2312" w:cs="仿宋_GB2312"/>
          <w:color w:val="000000"/>
          <w:sz w:val="32"/>
          <w:u w:val="none"/>
        </w:rPr>
        <w:t>1.现场笔录，证明现场检查记录的情况和发现违法行为的事实；</w:t>
      </w:r>
    </w:p>
    <w:p w14:paraId="34D331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　　2.《先行登记保存证据通知书》（融水市监先登〔202</w:t>
      </w:r>
      <w:r>
        <w:rPr>
          <w:rFonts w:hint="eastAsia"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51</w:t>
      </w:r>
      <w:r>
        <w:rPr>
          <w:rFonts w:hint="eastAsia" w:ascii="Times New Roman" w:hAnsi="Times New Roman" w:eastAsia="仿宋_GB2312" w:cs="仿宋_GB2312"/>
          <w:color w:val="000000"/>
          <w:sz w:val="32"/>
          <w:u w:val="none"/>
        </w:rPr>
        <w:t>号）及《财物清单》、《送达回证》，《送达</w:t>
      </w:r>
      <w:r>
        <w:rPr>
          <w:rFonts w:hint="eastAsia" w:ascii="Times New Roman" w:hAnsi="Times New Roman" w:eastAsia="仿宋_GB2312" w:cs="仿宋_GB2312"/>
          <w:color w:val="000000"/>
          <w:sz w:val="32"/>
          <w:u w:val="none"/>
          <w:lang w:eastAsia="zh-CN"/>
        </w:rPr>
        <w:t>地址确认书</w:t>
      </w:r>
      <w:r>
        <w:rPr>
          <w:rFonts w:hint="eastAsia" w:ascii="Times New Roman" w:hAnsi="Times New Roman" w:eastAsia="仿宋_GB2312" w:cs="仿宋_GB2312"/>
          <w:color w:val="000000"/>
          <w:sz w:val="32"/>
          <w:u w:val="none"/>
        </w:rPr>
        <w:t>》证明执法人员采取先行登记保存证据的事实、财物清单保存证据物品信息及文书的送达。</w:t>
      </w:r>
    </w:p>
    <w:p w14:paraId="1576C7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3.《询问笔录》，</w:t>
      </w:r>
      <w:bookmarkStart w:id="5" w:name="OLE_LINK1"/>
      <w:r>
        <w:rPr>
          <w:rFonts w:hint="eastAsia" w:ascii="Times New Roman" w:hAnsi="Times New Roman" w:eastAsia="仿宋_GB2312" w:cs="仿宋_GB2312"/>
          <w:color w:val="000000"/>
          <w:sz w:val="32"/>
          <w:u w:val="none"/>
        </w:rPr>
        <w:t>证明当事人确认在</w:t>
      </w:r>
      <w:r>
        <w:rPr>
          <w:rFonts w:hint="eastAsia" w:ascii="Times New Roman" w:hAnsi="Times New Roman" w:eastAsia="仿宋_GB2312" w:cs="仿宋_GB2312"/>
          <w:color w:val="000000"/>
          <w:sz w:val="32"/>
          <w:u w:val="none"/>
          <w:lang w:eastAsia="zh-CN"/>
        </w:rPr>
        <w:t>未取得</w:t>
      </w:r>
      <w:r>
        <w:rPr>
          <w:rFonts w:hint="eastAsia" w:ascii="Times New Roman" w:hAnsi="Times New Roman" w:eastAsia="仿宋_GB2312" w:cs="仿宋_GB2312"/>
          <w:color w:val="000000"/>
          <w:sz w:val="32"/>
          <w:u w:val="none"/>
        </w:rPr>
        <w:t>《烟草专卖零售许可证》的情况下从事经营烟草</w:t>
      </w:r>
      <w:r>
        <w:rPr>
          <w:rFonts w:hint="eastAsia" w:ascii="Times New Roman" w:hAnsi="Times New Roman" w:eastAsia="仿宋_GB2312" w:cs="仿宋_GB2312"/>
          <w:color w:val="000000"/>
          <w:sz w:val="32"/>
          <w:u w:val="none"/>
          <w:lang w:eastAsia="zh-CN"/>
        </w:rPr>
        <w:t>制品</w:t>
      </w:r>
      <w:r>
        <w:rPr>
          <w:rFonts w:hint="eastAsia" w:ascii="Times New Roman" w:hAnsi="Times New Roman" w:eastAsia="仿宋_GB2312" w:cs="仿宋_GB2312"/>
          <w:color w:val="000000"/>
          <w:sz w:val="32"/>
          <w:u w:val="none"/>
        </w:rPr>
        <w:t>零售的违法事实；</w:t>
      </w:r>
    </w:p>
    <w:bookmarkEnd w:id="5"/>
    <w:p w14:paraId="5CBC72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　　4.《营业执照》、《居民身份证》复印件，证明当事人的市场主体资质及个人基本信息；</w:t>
      </w:r>
    </w:p>
    <w:p w14:paraId="2FC8E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　　5.《涉案烟草</w:t>
      </w:r>
      <w:r>
        <w:rPr>
          <w:rFonts w:hint="eastAsia" w:ascii="Times New Roman" w:hAnsi="Times New Roman" w:eastAsia="仿宋_GB2312" w:cs="仿宋_GB2312"/>
          <w:color w:val="000000"/>
          <w:sz w:val="32"/>
          <w:u w:val="none"/>
          <w:lang w:eastAsia="zh-CN"/>
        </w:rPr>
        <w:t>制品</w:t>
      </w:r>
      <w:r>
        <w:rPr>
          <w:rFonts w:hint="eastAsia" w:ascii="Times New Roman" w:hAnsi="Times New Roman" w:eastAsia="仿宋_GB2312" w:cs="仿宋_GB2312"/>
          <w:color w:val="000000"/>
          <w:sz w:val="32"/>
          <w:u w:val="none"/>
        </w:rPr>
        <w:t>核价表》，证明该</w:t>
      </w:r>
      <w:r>
        <w:rPr>
          <w:rFonts w:hint="eastAsia" w:ascii="Times New Roman" w:hAnsi="Times New Roman" w:eastAsia="仿宋_GB2312" w:cs="仿宋_GB2312"/>
          <w:color w:val="000000"/>
          <w:sz w:val="32"/>
          <w:u w:val="none"/>
          <w:lang w:eastAsia="zh-CN"/>
        </w:rPr>
        <w:t>酒坊</w:t>
      </w:r>
      <w:r>
        <w:rPr>
          <w:rFonts w:hint="eastAsia" w:ascii="Times New Roman" w:hAnsi="Times New Roman" w:eastAsia="仿宋_GB2312" w:cs="仿宋_GB2312"/>
          <w:color w:val="000000"/>
          <w:sz w:val="32"/>
          <w:u w:val="none"/>
        </w:rPr>
        <w:t>涉案烟草</w:t>
      </w:r>
      <w:r>
        <w:rPr>
          <w:rFonts w:hint="eastAsia" w:ascii="Times New Roman" w:hAnsi="Times New Roman" w:eastAsia="仿宋_GB2312" w:cs="仿宋_GB2312"/>
          <w:color w:val="000000"/>
          <w:sz w:val="32"/>
          <w:u w:val="none"/>
          <w:lang w:eastAsia="zh-CN"/>
        </w:rPr>
        <w:t>制品</w:t>
      </w:r>
      <w:r>
        <w:rPr>
          <w:rFonts w:hint="eastAsia" w:ascii="Times New Roman" w:hAnsi="Times New Roman" w:eastAsia="仿宋_GB2312" w:cs="仿宋_GB2312"/>
          <w:color w:val="000000"/>
          <w:sz w:val="32"/>
          <w:u w:val="none"/>
        </w:rPr>
        <w:t>的货值金额；</w:t>
      </w:r>
    </w:p>
    <w:p w14:paraId="61AFD9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6.《证据提取单》（现场检查照片），证明执法人员现场执法事实及当事人无烟草专卖零售许可证经营烟草</w:t>
      </w:r>
      <w:r>
        <w:rPr>
          <w:rFonts w:hint="eastAsia" w:ascii="Times New Roman" w:hAnsi="Times New Roman" w:eastAsia="仿宋_GB2312" w:cs="仿宋_GB2312"/>
          <w:color w:val="000000"/>
          <w:sz w:val="32"/>
          <w:u w:val="none"/>
          <w:lang w:eastAsia="zh-CN"/>
        </w:rPr>
        <w:t>制品</w:t>
      </w:r>
      <w:r>
        <w:rPr>
          <w:rFonts w:hint="eastAsia" w:ascii="Times New Roman" w:hAnsi="Times New Roman" w:eastAsia="仿宋_GB2312" w:cs="仿宋_GB2312"/>
          <w:color w:val="000000"/>
          <w:sz w:val="32"/>
          <w:u w:val="none"/>
        </w:rPr>
        <w:t>的违法事实。</w:t>
      </w:r>
    </w:p>
    <w:p w14:paraId="7BB2A4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7.《解除先行登记保存证据通知书》（融水市监解登〔202</w:t>
      </w:r>
      <w:r>
        <w:rPr>
          <w:rFonts w:hint="eastAsia"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50</w:t>
      </w:r>
      <w:r>
        <w:rPr>
          <w:rFonts w:hint="eastAsia" w:ascii="Times New Roman" w:hAnsi="Times New Roman" w:eastAsia="仿宋_GB2312" w:cs="仿宋_GB2312"/>
          <w:color w:val="000000"/>
          <w:sz w:val="32"/>
          <w:u w:val="none"/>
        </w:rPr>
        <w:t>号）、《送达回证》，证明执法人员依法予以解除先行登记保存措施的事实及文书的送达签收情况。</w:t>
      </w:r>
      <w:r>
        <w:rPr>
          <w:rFonts w:hint="eastAsia" w:ascii="Times New Roman" w:hAnsi="Times New Roman" w:eastAsia="仿宋_GB2312" w:cs="仿宋_GB2312"/>
          <w:color w:val="000000"/>
          <w:sz w:val="32"/>
          <w:u w:val="none"/>
          <w:lang w:val="en-US" w:eastAsia="zh-CN"/>
        </w:rPr>
        <w:t xml:space="preserve">    </w:t>
      </w:r>
    </w:p>
    <w:p w14:paraId="2C5C3B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eastAsia="仿宋_GB2312" w:cs="仿宋_GB2312"/>
          <w:b w:val="0"/>
          <w:bCs/>
          <w:color w:val="auto"/>
          <w:u w:val="single"/>
        </w:rPr>
      </w:pPr>
      <w:r>
        <w:rPr>
          <w:rFonts w:hint="eastAsia" w:ascii="Times New Roman" w:hAnsi="Times New Roman" w:eastAsia="仿宋_GB2312" w:cs="仿宋_GB2312"/>
          <w:color w:val="000000"/>
          <w:sz w:val="32"/>
          <w:u w:val="none"/>
          <w:lang w:val="en-US" w:eastAsia="zh-CN"/>
        </w:rPr>
        <w:t>8.行政检查审批表、行政检查通知书，证明执法检查的合法性。</w:t>
      </w:r>
    </w:p>
    <w:p w14:paraId="6077DDD3">
      <w:pPr>
        <w:pStyle w:val="4"/>
        <w:keepNext w:val="0"/>
        <w:keepLines w:val="0"/>
        <w:pageBreakBefore w:val="0"/>
        <w:widowControl w:val="0"/>
        <w:tabs>
          <w:tab w:val="left" w:pos="9060"/>
        </w:tabs>
        <w:kinsoku/>
        <w:overflowPunct/>
        <w:topLinePunct/>
        <w:autoSpaceDE/>
        <w:autoSpaceDN/>
        <w:bidi w:val="0"/>
        <w:snapToGrid/>
        <w:spacing w:line="560" w:lineRule="exact"/>
        <w:ind w:left="0" w:firstLine="640" w:firstLineChars="200"/>
        <w:textAlignment w:val="auto"/>
        <w:rPr>
          <w:rFonts w:hint="default" w:ascii="仿宋_GB2312" w:hAnsi="Times New Roman" w:eastAsia="仿宋_GB2312" w:cs="仿宋_GB2312"/>
          <w:kern w:val="0"/>
          <w:sz w:val="32"/>
          <w:szCs w:val="32"/>
          <w:u w:val="none" w:color="auto"/>
          <w:lang w:val="en-US" w:eastAsia="zh-CN" w:bidi="ar-SA"/>
        </w:rPr>
      </w:pPr>
      <w:r>
        <w:rPr>
          <w:rFonts w:hint="eastAsia" w:ascii="仿宋_GB2312" w:hAnsi="Times New Roman" w:eastAsia="仿宋_GB2312" w:cs="仿宋_GB2312"/>
          <w:color w:val="000000"/>
          <w:kern w:val="0"/>
          <w:sz w:val="32"/>
          <w:szCs w:val="32"/>
          <w:u w:val="none" w:color="auto"/>
          <w:lang w:val="en-US" w:eastAsia="zh-CN" w:bidi="ar-SA"/>
        </w:rPr>
        <w:t>202</w:t>
      </w:r>
      <w:r>
        <w:rPr>
          <w:rFonts w:hint="eastAsia" w:ascii="仿宋_GB2312" w:eastAsia="仿宋_GB2312" w:cs="仿宋_GB2312"/>
          <w:color w:val="000000"/>
          <w:kern w:val="0"/>
          <w:sz w:val="32"/>
          <w:szCs w:val="32"/>
          <w:u w:val="none" w:color="auto"/>
          <w:lang w:val="en-US" w:eastAsia="zh-CN" w:bidi="ar-SA"/>
        </w:rPr>
        <w:t>6</w:t>
      </w:r>
      <w:r>
        <w:rPr>
          <w:rFonts w:hint="eastAsia" w:ascii="仿宋_GB2312" w:hAnsi="Times New Roman" w:eastAsia="仿宋_GB2312" w:cs="仿宋_GB2312"/>
          <w:color w:val="000000"/>
          <w:kern w:val="0"/>
          <w:sz w:val="32"/>
          <w:szCs w:val="32"/>
          <w:u w:val="none" w:color="auto"/>
          <w:lang w:val="en-US" w:eastAsia="zh-CN" w:bidi="ar-SA"/>
        </w:rPr>
        <w:t>年</w:t>
      </w:r>
      <w:r>
        <w:rPr>
          <w:rFonts w:hint="eastAsia" w:ascii="仿宋_GB2312" w:eastAsia="仿宋_GB2312" w:cs="仿宋_GB2312"/>
          <w:color w:val="000000"/>
          <w:kern w:val="0"/>
          <w:sz w:val="32"/>
          <w:szCs w:val="32"/>
          <w:u w:val="none" w:color="auto"/>
          <w:lang w:val="en-US" w:eastAsia="zh-CN" w:bidi="ar-SA"/>
        </w:rPr>
        <w:t>5</w:t>
      </w:r>
      <w:r>
        <w:rPr>
          <w:rFonts w:hint="eastAsia" w:ascii="仿宋_GB2312" w:hAnsi="Times New Roman" w:eastAsia="仿宋_GB2312" w:cs="仿宋_GB2312"/>
          <w:color w:val="000000"/>
          <w:kern w:val="0"/>
          <w:sz w:val="32"/>
          <w:szCs w:val="32"/>
          <w:u w:val="none" w:color="auto"/>
          <w:lang w:val="en-US" w:eastAsia="zh-CN" w:bidi="ar-SA"/>
        </w:rPr>
        <w:t>月</w:t>
      </w:r>
      <w:r>
        <w:rPr>
          <w:rFonts w:hint="eastAsia" w:ascii="仿宋_GB2312" w:eastAsia="仿宋_GB2312" w:cs="仿宋_GB2312"/>
          <w:color w:val="000000"/>
          <w:kern w:val="0"/>
          <w:sz w:val="32"/>
          <w:szCs w:val="32"/>
          <w:u w:val="none" w:color="auto"/>
          <w:lang w:val="en-US" w:eastAsia="zh-CN" w:bidi="ar-SA"/>
        </w:rPr>
        <w:t>7</w:t>
      </w:r>
      <w:r>
        <w:rPr>
          <w:rFonts w:hint="eastAsia" w:ascii="仿宋_GB2312" w:hAnsi="Times New Roman" w:eastAsia="仿宋_GB2312" w:cs="仿宋_GB2312"/>
          <w:color w:val="000000"/>
          <w:kern w:val="0"/>
          <w:sz w:val="32"/>
          <w:szCs w:val="32"/>
          <w:u w:val="none" w:color="auto"/>
          <w:lang w:val="en-US" w:eastAsia="zh-CN" w:bidi="ar-SA"/>
        </w:rPr>
        <w:t>日，</w:t>
      </w:r>
      <w:r>
        <w:rPr>
          <w:rFonts w:hint="eastAsia" w:ascii="仿宋_GB2312" w:eastAsia="仿宋_GB2312" w:cs="仿宋_GB2312"/>
          <w:color w:val="000000"/>
          <w:kern w:val="0"/>
          <w:sz w:val="32"/>
          <w:szCs w:val="32"/>
          <w:u w:val="none" w:color="auto"/>
          <w:lang w:val="en-US" w:eastAsia="zh-CN" w:bidi="ar-SA"/>
        </w:rPr>
        <w:t>本</w:t>
      </w:r>
      <w:r>
        <w:rPr>
          <w:rFonts w:hint="eastAsia" w:ascii="仿宋_GB2312" w:hAnsi="Times New Roman" w:eastAsia="仿宋_GB2312" w:cs="仿宋_GB2312"/>
          <w:color w:val="000000"/>
          <w:kern w:val="0"/>
          <w:sz w:val="32"/>
          <w:szCs w:val="32"/>
          <w:u w:val="none" w:color="auto"/>
          <w:lang w:val="en-US" w:eastAsia="zh-CN" w:bidi="ar-SA"/>
        </w:rPr>
        <w:t>局向当事人送达《行政处罚告知书》（融水市监罚告〔202</w:t>
      </w:r>
      <w:r>
        <w:rPr>
          <w:rFonts w:hint="eastAsia" w:ascii="仿宋_GB2312" w:eastAsia="仿宋_GB2312" w:cs="仿宋_GB2312"/>
          <w:color w:val="000000"/>
          <w:kern w:val="0"/>
          <w:sz w:val="32"/>
          <w:szCs w:val="32"/>
          <w:u w:val="none" w:color="auto"/>
          <w:lang w:val="en-US" w:eastAsia="zh-CN" w:bidi="ar-SA"/>
        </w:rPr>
        <w:t>6</w:t>
      </w:r>
      <w:r>
        <w:rPr>
          <w:rFonts w:hint="eastAsia" w:ascii="仿宋_GB2312" w:hAnsi="Times New Roman" w:eastAsia="仿宋_GB2312" w:cs="仿宋_GB2312"/>
          <w:color w:val="000000"/>
          <w:kern w:val="0"/>
          <w:sz w:val="32"/>
          <w:szCs w:val="32"/>
          <w:u w:val="none" w:color="auto"/>
          <w:lang w:val="en-US" w:eastAsia="zh-CN" w:bidi="ar-SA"/>
        </w:rPr>
        <w:t>〕</w:t>
      </w:r>
      <w:r>
        <w:rPr>
          <w:rFonts w:hint="eastAsia" w:ascii="仿宋_GB2312" w:eastAsia="仿宋_GB2312" w:cs="仿宋_GB2312"/>
          <w:color w:val="000000"/>
          <w:kern w:val="0"/>
          <w:sz w:val="32"/>
          <w:szCs w:val="32"/>
          <w:u w:val="none" w:color="auto"/>
          <w:lang w:val="en-US" w:eastAsia="zh-CN" w:bidi="ar-SA"/>
        </w:rPr>
        <w:t>80</w:t>
      </w:r>
      <w:r>
        <w:rPr>
          <w:rFonts w:hint="eastAsia" w:ascii="仿宋_GB2312" w:hAnsi="Times New Roman" w:eastAsia="仿宋_GB2312" w:cs="仿宋_GB2312"/>
          <w:color w:val="000000"/>
          <w:kern w:val="0"/>
          <w:sz w:val="32"/>
          <w:szCs w:val="32"/>
          <w:u w:val="none" w:color="auto"/>
          <w:lang w:val="en-US" w:eastAsia="zh-CN" w:bidi="ar-SA"/>
        </w:rPr>
        <w:t>号），其在规定期限内没有提出陈述、申辩，视为放弃此权利。</w:t>
      </w:r>
    </w:p>
    <w:p w14:paraId="6202C773">
      <w:pPr>
        <w:pStyle w:val="4"/>
        <w:keepNext w:val="0"/>
        <w:keepLines w:val="0"/>
        <w:pageBreakBefore w:val="0"/>
        <w:widowControl w:val="0"/>
        <w:tabs>
          <w:tab w:val="left" w:pos="8405"/>
        </w:tabs>
        <w:kinsoku/>
        <w:overflowPunct/>
        <w:topLinePunct/>
        <w:autoSpaceDE/>
        <w:autoSpaceDN/>
        <w:bidi w:val="0"/>
        <w:snapToGrid/>
        <w:spacing w:line="560" w:lineRule="exact"/>
        <w:ind w:left="0" w:firstLine="640" w:firstLineChars="200"/>
        <w:textAlignment w:val="auto"/>
        <w:rPr>
          <w:rFonts w:hint="eastAsia" w:ascii="仿宋_GB2312" w:hAnsi="Times New Roman" w:eastAsia="仿宋_GB2312" w:cs="仿宋_GB2312"/>
          <w:kern w:val="0"/>
          <w:sz w:val="32"/>
          <w:szCs w:val="32"/>
          <w:u w:val="none" w:color="auto"/>
          <w:lang w:val="en-US" w:eastAsia="zh-CN" w:bidi="ar-SA"/>
        </w:rPr>
      </w:pPr>
      <w:r>
        <w:rPr>
          <w:rFonts w:hint="eastAsia" w:ascii="仿宋_GB2312" w:eastAsia="仿宋_GB2312" w:cs="Mongolian Baiti"/>
          <w:b w:val="0"/>
          <w:bCs/>
          <w:color w:val="000000"/>
          <w:kern w:val="1"/>
          <w:u w:val="none"/>
        </w:rPr>
        <w:t>本局认为，</w:t>
      </w:r>
      <w:r>
        <w:rPr>
          <w:rFonts w:hint="eastAsia" w:ascii="仿宋_GB2312" w:hAnsi="Times New Roman" w:eastAsia="仿宋_GB2312" w:cs="仿宋_GB2312"/>
          <w:color w:val="000000"/>
          <w:sz w:val="32"/>
          <w:u w:val="none"/>
        </w:rPr>
        <w:t>当事人</w:t>
      </w:r>
      <w:r>
        <w:rPr>
          <w:rFonts w:hint="eastAsia" w:ascii="仿宋_GB2312" w:hAnsi="Times New Roman" w:eastAsia="仿宋_GB2312" w:cs="仿宋_GB2312"/>
          <w:color w:val="000000"/>
          <w:sz w:val="32"/>
          <w:u w:val="none"/>
          <w:lang w:eastAsia="zh-CN"/>
        </w:rPr>
        <w:t>未取得</w:t>
      </w:r>
      <w:r>
        <w:rPr>
          <w:rFonts w:hint="eastAsia" w:ascii="仿宋_GB2312" w:hAnsi="Times New Roman" w:eastAsia="仿宋_GB2312" w:cs="仿宋_GB2312"/>
          <w:color w:val="000000"/>
          <w:sz w:val="32"/>
          <w:u w:val="none"/>
        </w:rPr>
        <w:t>烟草专卖零售许可证经营烟草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零售业务的行为，违反了《中华人民共和国烟草专卖法实施条例（2023修订）》第六条第一款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从事烟草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的生产、批发、零售业务，以及经营烟草</w:t>
      </w:r>
      <w:r>
        <w:rPr>
          <w:rFonts w:hint="eastAsia" w:ascii="仿宋_GB2312" w:hAnsi="Times New Roman" w:eastAsia="仿宋_GB2312" w:cs="仿宋_GB2312"/>
          <w:color w:val="000000"/>
          <w:sz w:val="32"/>
          <w:u w:val="none"/>
          <w:lang w:eastAsia="zh-CN"/>
        </w:rPr>
        <w:t>制品</w:t>
      </w:r>
      <w:r>
        <w:rPr>
          <w:rFonts w:hint="eastAsia" w:ascii="仿宋_GB2312" w:hAnsi="Times New Roman" w:eastAsia="仿宋_GB2312" w:cs="仿宋_GB2312"/>
          <w:color w:val="000000"/>
          <w:sz w:val="32"/>
          <w:u w:val="none"/>
        </w:rPr>
        <w:t>进出口业务和经营外国烟草制品购销业务的，必须依照《烟草专卖法》和本条例的规定，申请领取烟草专卖许可证。</w:t>
      </w:r>
      <w:r>
        <w:rPr>
          <w:rFonts w:hint="eastAsia" w:ascii="仿宋_GB2312" w:hAnsi="Times New Roman" w:eastAsia="仿宋_GB2312" w:cs="仿宋_GB2312"/>
          <w:color w:val="000000"/>
          <w:sz w:val="32"/>
          <w:u w:val="none"/>
          <w:lang w:eastAsia="zh-CN"/>
        </w:rPr>
        <w:t>”的规定</w:t>
      </w:r>
      <w:r>
        <w:rPr>
          <w:rFonts w:hint="eastAsia" w:ascii="仿宋_GB2312" w:hAnsi="Times New Roman" w:eastAsia="仿宋_GB2312" w:cs="仿宋_GB2312"/>
          <w:color w:val="000000"/>
          <w:kern w:val="0"/>
          <w:sz w:val="32"/>
          <w:szCs w:val="32"/>
          <w:u w:val="none" w:color="auto"/>
          <w:lang w:val="en-US" w:eastAsia="zh-CN" w:bidi="ar-SA"/>
        </w:rPr>
        <w:t>，构成了无证经营烟草制品的违法行为。</w:t>
      </w:r>
    </w:p>
    <w:p w14:paraId="090D91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kern w:val="0"/>
          <w:sz w:val="32"/>
          <w:szCs w:val="32"/>
          <w:u w:val="none" w:color="auto"/>
          <w:lang w:val="en-US" w:eastAsia="zh-CN" w:bidi="ar-SA"/>
        </w:rPr>
      </w:pPr>
      <w:r>
        <w:rPr>
          <w:rFonts w:hint="eastAsia" w:ascii="仿宋_GB2312" w:hAnsi="Times New Roman" w:eastAsia="仿宋_GB2312" w:cs="仿宋_GB2312"/>
          <w:color w:val="000000"/>
          <w:kern w:val="0"/>
          <w:sz w:val="32"/>
          <w:szCs w:val="32"/>
          <w:u w:val="none" w:color="auto"/>
          <w:lang w:val="en-US" w:eastAsia="zh-CN" w:bidi="ar-SA"/>
        </w:rPr>
        <w:t>鉴于</w:t>
      </w:r>
      <w:r>
        <w:rPr>
          <w:rFonts w:hint="eastAsia" w:ascii="Times New Roman" w:hAnsi="Times New Roman" w:eastAsia="仿宋_GB2312" w:cs="仿宋_GB2312"/>
          <w:color w:val="000000"/>
          <w:sz w:val="32"/>
          <w:u w:val="none"/>
        </w:rPr>
        <w:t>本案中当事人未取得《烟草专卖零售许可证》从事烟草制品零售业务的违法经营额为</w:t>
      </w:r>
      <w:r>
        <w:rPr>
          <w:rFonts w:hint="eastAsia" w:ascii="Times New Roman" w:hAnsi="Times New Roman" w:eastAsia="仿宋_GB2312" w:cs="仿宋_GB2312"/>
          <w:color w:val="000000"/>
          <w:sz w:val="32"/>
          <w:u w:val="none"/>
          <w:lang w:val="en-US" w:eastAsia="zh-CN"/>
        </w:rPr>
        <w:t>1340</w:t>
      </w:r>
      <w:r>
        <w:rPr>
          <w:rFonts w:hint="eastAsia" w:ascii="Times New Roman" w:hAnsi="Times New Roman" w:eastAsia="仿宋_GB2312" w:cs="仿宋_GB2312"/>
          <w:color w:val="000000"/>
          <w:sz w:val="32"/>
          <w:u w:val="none"/>
        </w:rPr>
        <w:t>元，符合《广西壮族自治区市场监督管理行政处罚裁量基准（2023版）》一百二十八、《烟草专卖法实施条例》行政处罚裁量基准“序号1”的“适用情形”中“从轻（违法经营额1万元以下的）” 的处罚情形</w:t>
      </w:r>
      <w:r>
        <w:rPr>
          <w:rFonts w:hint="eastAsia" w:ascii="仿宋_GB2312" w:hAnsi="Times New Roman" w:eastAsia="仿宋_GB2312" w:cs="仿宋_GB2312"/>
          <w:color w:val="000000"/>
          <w:kern w:val="0"/>
          <w:sz w:val="32"/>
          <w:szCs w:val="32"/>
          <w:u w:val="none" w:color="auto"/>
          <w:lang w:val="en-US" w:eastAsia="zh-CN" w:bidi="ar-SA"/>
        </w:rPr>
        <w:t>。</w:t>
      </w:r>
      <w:r>
        <w:rPr>
          <w:rFonts w:hint="eastAsia" w:ascii="Times New Roman" w:hAnsi="仿宋_GB2312" w:eastAsia="仿宋_GB2312" w:cs="仿宋_GB2312"/>
          <w:bCs/>
          <w:color w:val="000000"/>
          <w:sz w:val="32"/>
          <w:szCs w:val="32"/>
          <w:u w:val="none"/>
          <w:lang w:eastAsia="zh-CN"/>
        </w:rPr>
        <w:t>依据</w:t>
      </w:r>
      <w:r>
        <w:rPr>
          <w:rFonts w:hint="eastAsia" w:ascii="仿宋_GB2312" w:hAnsi="Times New Roman" w:eastAsia="仿宋_GB2312" w:cs="仿宋_GB2312"/>
          <w:color w:val="000000"/>
          <w:sz w:val="32"/>
          <w:u w:val="none"/>
        </w:rPr>
        <w:t>《中华人民共和国烟草专卖法实施条例（2023修订）》第五十七条</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Times New Roman" w:eastAsia="仿宋_GB2312" w:cs="仿宋_GB2312"/>
          <w:color w:val="000000"/>
          <w:sz w:val="32"/>
          <w:u w:val="none"/>
          <w:lang w:eastAsia="zh-CN"/>
        </w:rPr>
        <w:t>”的规定</w:t>
      </w:r>
      <w:r>
        <w:rPr>
          <w:rFonts w:hint="eastAsia" w:ascii="仿宋_GB2312" w:hAnsi="Times New Roman" w:eastAsia="仿宋_GB2312" w:cs="仿宋_GB2312"/>
          <w:color w:val="000000"/>
          <w:kern w:val="0"/>
          <w:sz w:val="32"/>
          <w:szCs w:val="32"/>
          <w:u w:val="none" w:color="auto"/>
          <w:lang w:val="en-US" w:eastAsia="zh-CN" w:bidi="ar-SA"/>
        </w:rPr>
        <w:t>，</w:t>
      </w:r>
      <w:r>
        <w:rPr>
          <w:rFonts w:hint="eastAsia" w:ascii="仿宋_GB2312" w:hAnsi="Times New Roman" w:eastAsia="仿宋_GB2312" w:cs="仿宋_GB2312"/>
          <w:color w:val="000000"/>
          <w:sz w:val="32"/>
          <w:u w:val="none"/>
          <w:lang w:eastAsia="zh-CN"/>
        </w:rPr>
        <w:t>结合当事人</w:t>
      </w:r>
      <w:r>
        <w:rPr>
          <w:rFonts w:hint="eastAsia" w:ascii="仿宋_GB2312" w:hAnsi="Times New Roman" w:eastAsia="仿宋_GB2312" w:cs="仿宋_GB2312"/>
          <w:color w:val="000000"/>
          <w:sz w:val="32"/>
          <w:u w:val="none"/>
          <w:lang w:val="en-US" w:eastAsia="zh-CN"/>
        </w:rPr>
        <w:t>积极配合调查，</w:t>
      </w:r>
      <w:r>
        <w:rPr>
          <w:rFonts w:hint="eastAsia" w:ascii="仿宋_GB2312" w:hAnsi="Times New Roman" w:eastAsia="仿宋_GB2312" w:cs="仿宋_GB2312"/>
          <w:color w:val="000000"/>
          <w:sz w:val="32"/>
          <w:u w:val="none"/>
          <w:lang w:eastAsia="zh-CN"/>
        </w:rPr>
        <w:t>符合从轻处罚的情形，</w:t>
      </w:r>
      <w:r>
        <w:rPr>
          <w:rFonts w:hint="eastAsia" w:ascii="仿宋_GB2312" w:hAnsi="仿宋_GB2312" w:eastAsia="仿宋_GB2312" w:cs="仿宋_GB2312"/>
          <w:b w:val="0"/>
          <w:bCs/>
          <w:color w:val="000000"/>
          <w:sz w:val="32"/>
          <w:u w:val="none"/>
          <w:lang w:val="en-US" w:eastAsia="zh-CN"/>
        </w:rPr>
        <w:t>参照《广西壮族自治区市场监督管理行政处罚裁量基准（2023版）》一百二十八、《烟草专卖法实施条例》行政处罚裁量基准“序号1”的“适用情形”中“从轻”的“裁量标准（责令停止经营烟草制品零售业务，没收违法所得，处以违法经营总额20%以上29%以下的罚款。）”，本局决定责令当事人</w:t>
      </w:r>
      <w:bookmarkStart w:id="6" w:name="CALCULATE—AJCF—tAjCfes_cXzcfnr"/>
      <w:r>
        <w:rPr>
          <w:rFonts w:hint="eastAsia" w:ascii="仿宋_GB2312" w:hAnsi="仿宋_GB2312" w:eastAsia="仿宋_GB2312" w:cs="仿宋_GB2312"/>
          <w:b w:val="0"/>
          <w:bCs/>
          <w:color w:val="000000"/>
          <w:sz w:val="32"/>
          <w:u w:val="none"/>
          <w:lang w:val="en-US" w:eastAsia="zh-CN"/>
        </w:rPr>
        <w:t>立即停止从事烟草制品零售业务活动，</w:t>
      </w:r>
      <w:r>
        <w:rPr>
          <w:rFonts w:hint="eastAsia" w:ascii="仿宋_GB2312" w:hAnsi="Times New Roman" w:eastAsia="仿宋_GB2312" w:cs="仿宋_GB2312"/>
          <w:color w:val="000000"/>
          <w:sz w:val="32"/>
          <w:u w:val="none"/>
          <w:lang w:eastAsia="zh-CN"/>
        </w:rPr>
        <w:t>并处</w:t>
      </w:r>
      <w:r>
        <w:rPr>
          <w:rFonts w:hint="eastAsia" w:ascii="仿宋_GB2312" w:hAnsi="Times New Roman" w:eastAsia="仿宋_GB2312" w:cs="仿宋_GB2312"/>
          <w:color w:val="000000"/>
          <w:sz w:val="32"/>
          <w:u w:val="none"/>
          <w:lang w:val="en-US" w:eastAsia="zh-CN"/>
        </w:rPr>
        <w:t>以</w:t>
      </w:r>
      <w:r>
        <w:rPr>
          <w:rFonts w:hint="eastAsia" w:ascii="仿宋_GB2312" w:hAnsi="Times New Roman" w:eastAsia="仿宋_GB2312" w:cs="仿宋_GB2312"/>
          <w:color w:val="000000"/>
          <w:sz w:val="32"/>
          <w:u w:val="none"/>
          <w:lang w:eastAsia="zh-CN"/>
        </w:rPr>
        <w:t>违法经营总额20％的罚款268.00元</w:t>
      </w:r>
      <w:r>
        <w:rPr>
          <w:rFonts w:hint="eastAsia" w:ascii="仿宋_GB2312" w:hAnsi="Times New Roman" w:eastAsia="仿宋_GB2312" w:cs="仿宋_GB2312"/>
          <w:color w:val="000000"/>
          <w:sz w:val="32"/>
          <w:u w:val="none"/>
        </w:rPr>
        <w:t>。</w:t>
      </w:r>
      <w:bookmarkEnd w:id="6"/>
    </w:p>
    <w:p w14:paraId="3A600DA2">
      <w:pPr>
        <w:pStyle w:val="4"/>
        <w:keepNext w:val="0"/>
        <w:keepLines w:val="0"/>
        <w:pageBreakBefore w:val="0"/>
        <w:widowControl w:val="0"/>
        <w:tabs>
          <w:tab w:val="left" w:pos="9060"/>
        </w:tabs>
        <w:kinsoku/>
        <w:wordWrap w:val="0"/>
        <w:overflowPunct/>
        <w:topLinePunct/>
        <w:autoSpaceDE/>
        <w:autoSpaceDN/>
        <w:bidi w:val="0"/>
        <w:adjustRightInd w:val="0"/>
        <w:snapToGrid/>
        <w:spacing w:line="560" w:lineRule="exact"/>
        <w:ind w:left="0" w:firstLine="640" w:firstLineChars="200"/>
        <w:textAlignment w:val="auto"/>
        <w:rPr>
          <w:rFonts w:hint="eastAsia" w:ascii="仿宋_GB2312" w:hAnsi="Times New Roman" w:eastAsia="仿宋_GB2312" w:cs="仿宋_GB2312"/>
          <w:kern w:val="0"/>
          <w:sz w:val="32"/>
          <w:szCs w:val="32"/>
          <w:u w:val="none" w:color="auto"/>
          <w:lang w:val="en-US" w:eastAsia="zh-Hans" w:bidi="ar-SA"/>
        </w:rPr>
      </w:pPr>
      <w:r>
        <w:rPr>
          <w:rFonts w:hint="eastAsia" w:ascii="仿宋_GB2312" w:hAnsi="Times New Roman" w:eastAsia="仿宋_GB2312" w:cs="仿宋_GB2312"/>
          <w:color w:val="000000"/>
          <w:kern w:val="0"/>
          <w:sz w:val="32"/>
          <w:szCs w:val="32"/>
          <w:u w:val="none" w:color="auto"/>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3947E16C">
      <w:pPr>
        <w:pStyle w:val="4"/>
        <w:keepNext w:val="0"/>
        <w:keepLines w:val="0"/>
        <w:pageBreakBefore w:val="0"/>
        <w:widowControl w:val="0"/>
        <w:tabs>
          <w:tab w:val="left" w:pos="9060"/>
        </w:tabs>
        <w:kinsoku/>
        <w:wordWrap w:val="0"/>
        <w:overflowPunct/>
        <w:topLinePunct/>
        <w:autoSpaceDE/>
        <w:autoSpaceDN/>
        <w:bidi w:val="0"/>
        <w:adjustRightInd w:val="0"/>
        <w:snapToGrid/>
        <w:spacing w:line="560" w:lineRule="exact"/>
        <w:ind w:left="0" w:firstLine="640" w:firstLineChars="200"/>
        <w:textAlignment w:val="auto"/>
        <w:rPr>
          <w:rFonts w:hint="eastAsia" w:ascii="仿宋_GB2312" w:hAnsi="Times New Roman" w:eastAsia="仿宋_GB2312" w:cs="仿宋_GB2312"/>
          <w:color w:val="000000"/>
          <w:kern w:val="0"/>
          <w:sz w:val="32"/>
          <w:szCs w:val="32"/>
          <w:u w:val="none" w:color="auto"/>
          <w:lang w:val="en-US" w:eastAsia="zh-Hans" w:bidi="ar-SA"/>
        </w:rPr>
      </w:pPr>
      <w:r>
        <w:rPr>
          <w:rFonts w:hint="eastAsia" w:ascii="仿宋_GB2312" w:hAnsi="Times New Roman" w:eastAsia="仿宋_GB2312" w:cs="仿宋_GB2312"/>
          <w:color w:val="000000"/>
          <w:kern w:val="0"/>
          <w:sz w:val="32"/>
          <w:szCs w:val="32"/>
          <w:u w:val="none" w:color="auto"/>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43644BB">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0DB70B5">
      <w:pPr>
        <w:widowControl/>
        <w:snapToGrid w:val="0"/>
        <w:spacing w:line="520" w:lineRule="exact"/>
        <w:jc w:val="left"/>
        <w:rPr>
          <w:rFonts w:ascii="Times New Roman" w:hAnsi="Times New Roman" w:eastAsia="仿宋_GB2312" w:cs="仿宋_GB2312"/>
          <w:color w:val="auto"/>
          <w:sz w:val="32"/>
          <w:szCs w:val="32"/>
        </w:rPr>
      </w:pPr>
    </w:p>
    <w:p w14:paraId="300DBCC2">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2A8E04BB">
      <w:pPr>
        <w:spacing w:line="560" w:lineRule="exact"/>
        <w:ind w:right="640" w:firstLine="601"/>
        <w:jc w:val="right"/>
        <w:rPr>
          <w:rFonts w:ascii="Times New Roman" w:hAnsi="Times New Roman" w:eastAsia="仿宋_GB2312" w:cs="仿宋"/>
          <w:color w:val="auto"/>
          <w:sz w:val="32"/>
          <w:szCs w:val="32"/>
        </w:rPr>
      </w:pPr>
      <w:bookmarkStart w:id="7" w:name="DYNAMIC—DWXX—tAj_dwmc—2"/>
      <w:r>
        <w:rPr>
          <w:rFonts w:hint="eastAsia" w:ascii="Times New Roman" w:hAnsi="Times New Roman" w:eastAsia="仿宋_GB2312" w:cs="仿宋"/>
          <w:color w:val="000000"/>
          <w:sz w:val="32"/>
          <w:u w:val="none"/>
        </w:rPr>
        <w:t>融水苗族自治县市场监督管理局</w:t>
      </w:r>
      <w:bookmarkEnd w:id="7"/>
      <w:r>
        <w:rPr>
          <w:rFonts w:hint="eastAsia" w:ascii="Times New Roman" w:hAnsi="Times New Roman" w:eastAsia="仿宋_GB2312" w:cs="仿宋"/>
          <w:color w:val="000000"/>
          <w:sz w:val="32"/>
          <w:szCs w:val="32"/>
          <w:u w:val="none"/>
        </w:rPr>
        <w:t xml:space="preserve">    </w:t>
      </w:r>
    </w:p>
    <w:p w14:paraId="34424476">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31500A9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8" w:name="CALCULATE—TIME—NOW"/>
      <w:r>
        <w:rPr>
          <w:rFonts w:ascii="仿宋_GB2312" w:hAnsi="仿宋_GB2312" w:eastAsia="仿宋_GB2312" w:cs="仿宋_GB2312"/>
          <w:sz w:val="32"/>
        </w:rPr>
        <w:t>2026年05月14日</w:t>
      </w:r>
      <w:bookmarkEnd w:id="8"/>
      <w:r>
        <w:rPr>
          <w:rFonts w:hint="eastAsia" w:ascii="Times New Roman" w:hAnsi="Times New Roman" w:eastAsia="仿宋_GB2312" w:cs="仿宋_GB2312"/>
          <w:color w:val="000000"/>
          <w:sz w:val="32"/>
          <w:szCs w:val="32"/>
          <w:u w:val="none"/>
        </w:rPr>
        <w:t xml:space="preserve">  </w:t>
      </w:r>
    </w:p>
    <w:p w14:paraId="5FB2E6E2">
      <w:pPr>
        <w:widowControl/>
        <w:snapToGrid w:val="0"/>
        <w:spacing w:line="520" w:lineRule="exact"/>
        <w:jc w:val="right"/>
        <w:rPr>
          <w:rFonts w:ascii="Times New Roman" w:hAnsi="Times New Roman" w:eastAsia="仿宋_GB2312" w:cs="Mongolian Baiti"/>
          <w:color w:val="auto"/>
          <w:sz w:val="32"/>
          <w:szCs w:val="32"/>
        </w:rPr>
      </w:pPr>
    </w:p>
    <w:p w14:paraId="00423BF4">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55180417">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6D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B3C6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3B3C6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797F3E"/>
    <w:rsid w:val="258D6CE0"/>
    <w:rsid w:val="27A45517"/>
    <w:rsid w:val="2AFE52E8"/>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78A4FEE"/>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280188"/>
    <w:rsid w:val="547C0750"/>
    <w:rsid w:val="54946DD7"/>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481E9D"/>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2208</Words>
  <Characters>2348</Characters>
  <Lines>0</Lines>
  <Paragraphs>0</Paragraphs>
  <TotalTime>2</TotalTime>
  <ScaleCrop>false</ScaleCrop>
  <LinksUpToDate>false</LinksUpToDate>
  <CharactersWithSpaces>2372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eyJoZGlkIjoiNThhMmQyNzUxMmQwMDk4ZDI0ZjU1YWVlOGY5MWY4YWUiLCJ1c2VySWQiOiI1NTM4Mzc3NDIifQ==</vt:lpwstr>
  </property>
</Properties>
</file>