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FDE9B">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30FF0D6D">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0D5743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融水市监处罚〔2026〕73号</w:t>
      </w:r>
      <w:bookmarkEnd w:id="2"/>
    </w:p>
    <w:p w14:paraId="7F974641">
      <w:pPr>
        <w:keepNext w:val="0"/>
        <w:keepLines w:val="0"/>
        <w:widowControl w:val="0"/>
        <w:suppressLineNumbers w:val="0"/>
        <w:spacing w:before="240" w:beforeLines="100" w:beforeAutospacing="0" w:after="0" w:afterAutospacing="0" w:line="540" w:lineRule="exact"/>
        <w:ind w:left="142" w:right="0" w:hanging="142"/>
        <w:jc w:val="both"/>
        <w:rPr>
          <w:rFonts w:hint="eastAsia" w:ascii="Times New Roman" w:hAnsi="Times New Roman" w:eastAsia="仿宋_GB2312" w:cs="Mongolian Baiti"/>
          <w:b w:val="0"/>
          <w:bCs/>
          <w:caps w:val="0"/>
          <w:color w:val="auto"/>
          <w:sz w:val="32"/>
          <w:szCs w:val="32"/>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当事人：</w:t>
      </w:r>
      <w:bookmarkStart w:id="3" w:name="CALCULATE—DSR—tAjDsrs_cMc"/>
      <w:r>
        <w:rPr>
          <w:rFonts w:hint="eastAsia" w:ascii="Times New Roman" w:hAnsi="Times New Roman" w:eastAsia="仿宋_GB2312" w:cs="仿宋"/>
          <w:b w:val="0"/>
          <w:bCs w:val="0"/>
          <w:caps w:val="0"/>
          <w:color w:val="000000"/>
          <w:kern w:val="2"/>
          <w:sz w:val="32"/>
          <w:szCs w:val="32"/>
          <w:u w:val="none"/>
          <w:vertAlign w:val="baseline"/>
          <w:lang w:val="en-US" w:eastAsia="zh-CN" w:bidi="ar"/>
        </w:rPr>
        <w:t>融水苗族自治县大年乡卫生院</w:t>
      </w:r>
      <w:bookmarkEnd w:id="3"/>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55FAD05B">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u w:val="single"/>
          <w:vertAlign w:val="baseline"/>
        </w:rPr>
      </w:pPr>
      <w:r>
        <w:rPr>
          <w:rFonts w:hint="eastAsia" w:ascii="Times New Roman" w:hAnsi="Times New Roman" w:eastAsia="仿宋_GB2312" w:cs="微软雅黑"/>
          <w:b w:val="0"/>
          <w:bCs/>
          <w:caps w:val="0"/>
          <w:color w:val="000000"/>
          <w:kern w:val="2"/>
          <w:sz w:val="32"/>
          <w:szCs w:val="32"/>
          <w:u w:val="none"/>
          <w:vertAlign w:val="baseline"/>
          <w:lang w:val="en-US" w:eastAsia="zh-CN" w:bidi="ar"/>
        </w:rPr>
        <w:t>主体资格证照</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名称：</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事业单位法人证书</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29E07F7D">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u w:val="single"/>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统一社会信用代码：</w:t>
      </w:r>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12450226499106655L</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156B3CB5">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住所（住址）：</w:t>
      </w:r>
      <w:bookmarkStart w:id="4" w:name="CALCULATE—DSR—tAjDsrs_cLxdzSheng"/>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大年乡大年</w:t>
      </w:r>
      <w:bookmarkEnd w:id="4"/>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w:t>
      </w:r>
      <w:bookmarkStart w:id="12" w:name="_GoBack"/>
      <w:bookmarkEnd w:id="12"/>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05E95B94">
      <w:pPr>
        <w:keepNext w:val="0"/>
        <w:keepLines w:val="0"/>
        <w:widowControl w:val="0"/>
        <w:suppressLineNumbers w:val="0"/>
        <w:spacing w:before="0" w:beforeAutospacing="0" w:after="0" w:afterAutospacing="0" w:line="540" w:lineRule="exact"/>
        <w:ind w:left="0" w:right="0" w:firstLine="0"/>
        <w:jc w:val="both"/>
        <w:rPr>
          <w:rFonts w:hint="eastAsia" w:ascii="Times New Roman" w:hAnsi="Times New Roman" w:eastAsia="仿宋_GB2312" w:cs="Mongolian Baiti"/>
          <w:bCs/>
          <w:caps w:val="0"/>
          <w:color w:val="auto"/>
          <w:sz w:val="32"/>
          <w:szCs w:val="32"/>
          <w:vertAlign w:val="baseline"/>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法定代表人：</w:t>
      </w:r>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陈朝班</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274AD3E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rPr>
      </w:pPr>
      <w:bookmarkStart w:id="5" w:name="CALCULATE—AYHC—tAjHc_cHcqkjlaay"/>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03月02日，本局执法人员根据柳州市市场监督管理局问题线索移送函到融水苗族自治县大年乡大年街的融水苗族自治县大年乡卫生院开展检查，执法人员在该卫生院一楼化验室发现一台尿液分析仪，规格型号HT-2000A,制造单位：桂林市华通医用仪器有限公司，生产日期为20181029，使用年限为5年，注册证编号：桂械注准2017400041的医疗器械已超过有效期，详见《财物清单》（文书编号融水市监强制[2026]19号）。经本局领导审批同意，执法人员现场对检查发现上述超过有效期的医疗器械采取扣押的行政强制措施，现场下达《实施行政强制措施决定书》，制作有《现场笔录》。</w:t>
      </w:r>
    </w:p>
    <w:p w14:paraId="041D2AC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2026年03月02日经局领导审批，决定对当事人涉嫌使用过期医疗器械的行为进行立案调查。</w:t>
      </w:r>
    </w:p>
    <w:p w14:paraId="74A9EAB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bCs/>
          <w:caps w:val="0"/>
          <w:color w:val="000000"/>
          <w:sz w:val="32"/>
          <w:szCs w:val="32"/>
          <w:u w:val="none"/>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2026年03月17日当事人到本局接受询问调查，</w:t>
      </w:r>
      <w:r>
        <w:rPr>
          <w:rFonts w:hint="eastAsia" w:ascii="仿宋_GB2312" w:hAnsi="仿宋_GB2312" w:eastAsia="仿宋_GB2312" w:cs="仿宋_GB2312"/>
          <w:b w:val="0"/>
          <w:bCs/>
          <w:caps w:val="0"/>
          <w:color w:val="000000"/>
          <w:kern w:val="2"/>
          <w:sz w:val="32"/>
          <w:szCs w:val="32"/>
          <w:u w:val="none"/>
          <w:vertAlign w:val="baseline"/>
          <w:lang w:val="en-US" w:eastAsia="zh-CN" w:bidi="ar"/>
        </w:rPr>
        <w:t>并提供了相关证据材料。</w:t>
      </w:r>
    </w:p>
    <w:p w14:paraId="4A5E633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方正仿宋_GBK" w:eastAsia="仿宋_GB2312" w:cs="仿宋_GB2312"/>
          <w:b w:val="0"/>
          <w:bCs/>
          <w:caps w:val="0"/>
          <w:color w:val="auto"/>
          <w:sz w:val="21"/>
          <w:szCs w:val="21"/>
          <w:u w:val="single" w:color="231F20"/>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2026年04月14日当事人到本局接受询问调查，</w:t>
      </w:r>
      <w:r>
        <w:rPr>
          <w:rFonts w:hint="eastAsia" w:ascii="仿宋_GB2312" w:hAnsi="仿宋_GB2312" w:eastAsia="仿宋_GB2312" w:cs="仿宋_GB2312"/>
          <w:b w:val="0"/>
          <w:bCs/>
          <w:caps w:val="0"/>
          <w:color w:val="000000"/>
          <w:kern w:val="2"/>
          <w:sz w:val="32"/>
          <w:szCs w:val="32"/>
          <w:u w:val="none"/>
          <w:vertAlign w:val="baseline"/>
          <w:lang w:val="en-US" w:eastAsia="zh-CN" w:bidi="ar"/>
        </w:rPr>
        <w:t>并提供了相关证据材料，</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现已调查终结。</w:t>
      </w:r>
      <w:bookmarkEnd w:id="5"/>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  </w:t>
      </w:r>
      <w:r>
        <w:rPr>
          <w:rFonts w:hint="eastAsia" w:ascii="仿宋_GB2312" w:hAnsi="方正仿宋_GBK" w:eastAsia="仿宋_GB2312" w:cs="仿宋_GB2312"/>
          <w:b w:val="0"/>
          <w:bCs/>
          <w:caps w:val="0"/>
          <w:color w:val="000000"/>
          <w:kern w:val="2"/>
          <w:sz w:val="21"/>
          <w:szCs w:val="21"/>
          <w:u w:val="none" w:color="231F20"/>
          <w:vertAlign w:val="baseline"/>
          <w:lang w:val="en-US" w:eastAsia="zh-CN" w:bidi="ar"/>
        </w:rPr>
        <w:t xml:space="preserve">                    </w:t>
      </w:r>
    </w:p>
    <w:p w14:paraId="0C286A32">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Times New Roman" w:eastAsia="仿宋_GB2312" w:cs="仿宋_GB2312"/>
          <w:caps w:val="0"/>
          <w:color w:val="000000"/>
          <w:sz w:val="32"/>
          <w:szCs w:val="32"/>
          <w:u w:val="none"/>
          <w:vertAlign w:val="baseline"/>
          <w:lang w:val="en-US" w:eastAsia="zh-CN"/>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经查，当事人于2022年06月07日取得《事业单位法人证书》，于2025年11月22日取得《医疗机构执业许可证》，从事诊疗科目为:预防保健科/全科医疗外科/内科/外科/妇女保健科/儿科/口腔科/医学检验科/医学影像科/中医科******。</w:t>
      </w:r>
    </w:p>
    <w:p w14:paraId="47C29B82">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Times New Roman" w:eastAsia="仿宋_GB2312" w:cs="仿宋_GB2312"/>
          <w:caps w:val="0"/>
          <w:color w:val="000000"/>
          <w:sz w:val="32"/>
          <w:szCs w:val="32"/>
          <w:u w:val="none"/>
          <w:vertAlign w:val="baseline"/>
          <w:lang w:val="en-US" w:eastAsia="zh-CN"/>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2026年03月02日，执法人员在当事人化验科操作台上检查发现，尿液分析仪1台，规格型号：HT-2000A,制作单位：桂林市华通医用仪器有限公司，生产日期：：20181029，使用年限：5年，注册证编号：桂械注准2017400041，该医疗器械超过使用期限。2026年03月17日及2026年04月14日当事人到本局接受询问调查，并提供了相关证据材料。</w:t>
      </w:r>
    </w:p>
    <w:p w14:paraId="31758150">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Times New Roman" w:eastAsia="仿宋_GB2312" w:cs="仿宋_GB2312"/>
          <w:caps w:val="0"/>
          <w:color w:val="000000"/>
          <w:sz w:val="32"/>
          <w:szCs w:val="32"/>
          <w:u w:val="none"/>
          <w:vertAlign w:val="baseline"/>
          <w:lang w:val="en-US" w:eastAsia="zh-CN"/>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至案发时止，当事人使用过期的尿液分析仪从2023年 10月30日到2025年 12月7日期间该医疗器械超期使用，涉及4867人次，违规医药费用总额31148.8元,当事人获得收入即违法所得31148.8元。当事人于2026年1月清退违规医药费用总额30172.44元,还未清退金额为976.36元。</w:t>
      </w:r>
    </w:p>
    <w:p w14:paraId="401FBFFD">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Times New Roman" w:eastAsia="仿宋_GB2312" w:cs="仿宋_GB2312"/>
          <w:caps w:val="0"/>
          <w:color w:val="auto"/>
          <w:sz w:val="32"/>
          <w:szCs w:val="32"/>
          <w:u w:val="none"/>
          <w:vertAlign w:val="baseline"/>
          <w:lang w:eastAsia="zh-CN"/>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经融水苗族自治县价格认证中心核实，当事人使用上述超过有效期的医疗器械的货值</w:t>
      </w: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金额即本案涉案货值金额为60元。</w:t>
      </w:r>
    </w:p>
    <w:p w14:paraId="4B14576F">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仿宋_GB2312" w:cs="Mongolian Baiti"/>
          <w:b w:val="0"/>
          <w:bCs/>
          <w:caps w:val="0"/>
          <w:color w:val="auto"/>
          <w:kern w:val="2"/>
          <w:sz w:val="32"/>
          <w:szCs w:val="32"/>
          <w:vertAlign w:val="baseline"/>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上述事实，主要有以下证据证明：</w:t>
      </w:r>
    </w:p>
    <w:p w14:paraId="3769E2F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420" w:firstLineChars="200"/>
        <w:jc w:val="both"/>
        <w:rPr>
          <w:rFonts w:hint="eastAsia" w:ascii="仿宋_GB2312" w:hAnsi="仿宋_GB2312" w:eastAsia="仿宋_GB2312" w:cs="仿宋_GB2312"/>
          <w:caps w:val="0"/>
          <w:snapToGrid w:val="0"/>
          <w:color w:val="auto"/>
          <w:kern w:val="0"/>
          <w:sz w:val="32"/>
          <w:szCs w:val="32"/>
          <w:vertAlign w:val="baseline"/>
          <w:lang w:val="en-US" w:eastAsia="zh-CN" w:bidi="ar"/>
        </w:rPr>
      </w:pPr>
      <w:r>
        <w:rPr>
          <w:rFonts w:hint="eastAsia" w:ascii="Times New Roman" w:hAnsi="Times New Roman" w:eastAsia="仿宋_GB2312" w:cs="仿宋_GB2312"/>
          <w:b w:val="0"/>
          <w:bCs/>
          <w:caps w:val="0"/>
          <w:color w:val="000000"/>
          <w:kern w:val="2"/>
          <w:sz w:val="21"/>
          <w:szCs w:val="21"/>
          <w:u w:val="none"/>
          <w:vertAlign w:val="baseline"/>
          <w:lang w:val="en-US" w:eastAsia="zh-CN" w:bidi="ar"/>
        </w:rPr>
        <w:t xml:space="preserve">  </w:t>
      </w:r>
      <w:bookmarkStart w:id="6" w:name="CALCULATE—ZJCL—tajCltjes_zjclxx"/>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ab/>
      </w: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1.《现场笔录》，证明执法人员现场检查及当事人使用超过使用期限医疗器械的事实；</w:t>
      </w:r>
    </w:p>
    <w:p w14:paraId="4FB98A23">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000000"/>
          <w:sz w:val="32"/>
          <w:szCs w:val="32"/>
          <w:u w:val="none"/>
          <w:vertAlign w:val="baseline"/>
          <w:lang w:eastAsia="zh-CN"/>
        </w:rPr>
      </w:pP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2.《延长行政强制期限决定书》（融水市监延强</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〔2026〕13号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）、《财物清单》（文书编号：融水市监强制</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〔2026〕19号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《送达回证》，证明执法人员采取延长扣押期限的事实、扣押物品信息及延长强制措施文书的送达</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w:t>
      </w:r>
    </w:p>
    <w:p w14:paraId="43C2E642">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3.《实施行政强制措施决定书》（融水市监强制</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〔2026〕19号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）、《财物清单》（文书编号：融水市监强制</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〔2026〕19号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《送达回证》，证明执法人员采取扣押措施的事实、扣押物品信息及扣押文书的送达</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br w:type="textWrapping"/>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 xml:space="preserve">  </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　4.证据提取单（当事人主体资格证照） ，证明当事人合法主体资质；</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br w:type="textWrapping"/>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 xml:space="preserve">    5.《证据提取单（当事人身份证）》，证明当事人法定代表人符合承担法律责任的主体资格；</w:t>
      </w:r>
    </w:p>
    <w:p w14:paraId="4C65C48C">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6.《证据提取单（现场检查照片）》，证明当事人法定代表人陈朝班陪同执法人员开展现场检查和执法人员检查发现超过使用期限医疗器械的情况；</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br w:type="textWrapping"/>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 xml:space="preserve">    7.《证据提取单（现场扣押涉案产品照片）》，证明执法人员现场扣押的超过使用期限医疗器械及当事人指认扣押产品情况；</w:t>
      </w:r>
    </w:p>
    <w:p w14:paraId="2E7F317D">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8.《证据提取单（超过使用期限医疗器械产品信息图片）》，证明扣押的医疗器械已超过使用期限信息；</w:t>
      </w:r>
    </w:p>
    <w:p w14:paraId="7BCBF693">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9.《超过使用期限医疗器械的供货者的资质和医疗器械的合格证明文件》，证明当事人按照要求查验并索取了供货者的资质和医疗器械的合格证明文件并按要求履行了进货查验记录；</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br w:type="textWrapping"/>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　　10.《询问笔录》，</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证明当事人的违法事实及该案货值金额、违法所得等确认；</w:t>
      </w:r>
    </w:p>
    <w:p w14:paraId="32048F73">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11.关于《融水苗族自治县市场监督管理局协助调查函》的复函，</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证明过期医疗器械的货值金额的确认；</w:t>
      </w:r>
    </w:p>
    <w:p w14:paraId="2E961EE5">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12.《大年乡卫生院使用过期医疗器械退费凭证》，</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证明大年乡卫生院使用过期医疗器械违规收费清退的确认；</w:t>
      </w:r>
    </w:p>
    <w:p w14:paraId="3F3D0185">
      <w:pPr>
        <w:pStyle w:val="7"/>
        <w:keepNext w:val="0"/>
        <w:keepLines w:val="0"/>
        <w:widowControl w:val="0"/>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13.《关于2025年医保基金使用“跑冒滴漏”问题审计专项检查发现违规使用医保基金进行清退的通知》及应清退金额计算表，</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证明大年乡卫生院使用过期医疗器械产生的违规金额的确认；</w:t>
      </w:r>
    </w:p>
    <w:p w14:paraId="1E2A21AA">
      <w:pPr>
        <w:pStyle w:val="7"/>
        <w:keepNext w:val="0"/>
        <w:keepLines w:val="0"/>
        <w:widowControl w:val="0"/>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14.《电子取证现场笔录及电子数据证据固证清单》，</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证明当事人违法事实的确认；</w:t>
      </w:r>
    </w:p>
    <w:p w14:paraId="135E5DBA">
      <w:pPr>
        <w:keepNext w:val="0"/>
        <w:keepLines w:val="0"/>
        <w:widowControl w:val="0"/>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15.《证据提取单（电子取证图片）》，证明本局执法人员对融水苗族自治县大年乡卫生院进行电子取证的过程；</w:t>
      </w:r>
    </w:p>
    <w:p w14:paraId="2F029370">
      <w:pPr>
        <w:pStyle w:val="7"/>
        <w:keepNext w:val="0"/>
        <w:keepLines w:val="0"/>
        <w:widowControl w:val="0"/>
        <w:suppressLineNumbers w:val="0"/>
        <w:spacing w:before="0" w:beforeAutospacing="0" w:after="0" w:afterAutospacing="0" w:line="240" w:lineRule="auto"/>
        <w:ind w:left="0" w:right="0" w:firstLine="640" w:firstLineChars="200"/>
        <w:jc w:val="both"/>
        <w:rPr>
          <w:rFonts w:hint="eastAsia" w:ascii="Times New Roman" w:hAnsi="Times New Roman" w:eastAsia="仿宋_GB2312" w:cs="仿宋_GB2312"/>
          <w:caps w:val="0"/>
          <w:color w:val="auto"/>
          <w:sz w:val="32"/>
          <w:szCs w:val="32"/>
          <w:u w:val="none"/>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16.《证据提取单（收费截图）》，证明电子取证取得收费截图的信息；</w:t>
      </w:r>
    </w:p>
    <w:bookmarkEnd w:id="6"/>
    <w:p w14:paraId="6D408D37">
      <w:pPr>
        <w:pStyle w:val="7"/>
        <w:keepNext w:val="0"/>
        <w:keepLines w:val="0"/>
        <w:pageBreakBefore w:val="0"/>
        <w:widowControl w:val="0"/>
        <w:suppressLineNumbers w:val="0"/>
        <w:tabs>
          <w:tab w:val="left" w:pos="9060"/>
        </w:tabs>
        <w:kinsoku/>
        <w:wordWrap/>
        <w:autoSpaceDE w:val="0"/>
        <w:autoSpaceDN w:val="0"/>
        <w:bidi w:val="0"/>
        <w:adjustRightInd w:val="0"/>
        <w:snapToGrid/>
        <w:spacing w:before="0" w:beforeAutospacing="0" w:after="0" w:afterAutospacing="0" w:line="520" w:lineRule="exact"/>
        <w:ind w:left="0" w:right="0" w:firstLine="640" w:firstLineChars="200"/>
        <w:jc w:val="left"/>
        <w:rPr>
          <w:rFonts w:hint="eastAsia" w:ascii="Times New Roman" w:hAnsi="Times New Roman" w:eastAsia="仿宋_GB2312" w:cs="仿宋_GB2312"/>
          <w:b w:val="0"/>
          <w:bCs/>
          <w:caps w:val="0"/>
          <w:color w:val="auto"/>
          <w:sz w:val="32"/>
          <w:szCs w:val="32"/>
          <w:u w:val="single"/>
          <w:vertAlign w:val="baseline"/>
          <w:lang w:val="en-US" w:eastAsia="zh-CN"/>
        </w:rPr>
      </w:pPr>
      <w:r>
        <w:rPr>
          <w:rFonts w:hint="eastAsia" w:ascii="仿宋_GB2312" w:hAnsi="Times New Roman" w:eastAsia="仿宋_GB2312" w:cs="仿宋_GB2312"/>
          <w:b w:val="0"/>
          <w:bCs w:val="0"/>
          <w:caps w:val="0"/>
          <w:color w:val="000000"/>
          <w:kern w:val="2"/>
          <w:sz w:val="32"/>
          <w:szCs w:val="24"/>
          <w:u w:val="none"/>
          <w:vertAlign w:val="baseline"/>
          <w:lang w:val="en-US" w:eastAsia="zh-CN" w:bidi="ar"/>
        </w:rPr>
        <w:t>2026年04月23日，本局向当事人送达《行政处罚告知书》（融水市监罚告〔2026〕67号），告知当事人拟处罚决定及享有的权利。当事人在规定期限内未提出陈述和申辩，视为放弃此权利。</w:t>
      </w:r>
      <w:r>
        <w:rPr>
          <w:rFonts w:hint="eastAsia" w:ascii="Times New Roman" w:hAnsi="Times New Roman" w:eastAsia="仿宋_GB2312" w:cs="仿宋_GB2312"/>
          <w:b w:val="0"/>
          <w:bCs/>
          <w:caps w:val="0"/>
          <w:color w:val="000000"/>
          <w:kern w:val="0"/>
          <w:sz w:val="32"/>
          <w:szCs w:val="32"/>
          <w:u w:val="none"/>
          <w:vertAlign w:val="baseline"/>
          <w:lang w:val="en-US" w:eastAsia="zh-CN" w:bidi="ar"/>
        </w:rPr>
        <w:t xml:space="preserve">               </w:t>
      </w:r>
    </w:p>
    <w:p w14:paraId="4B7C6E5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Times New Roman" w:hAnsi="仿宋_GB2312" w:eastAsia="仿宋_GB2312" w:cs="仿宋_GB2312"/>
          <w:bCs/>
          <w:caps w:val="0"/>
          <w:color w:val="auto"/>
          <w:sz w:val="32"/>
          <w:szCs w:val="32"/>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本局认为，当事人在医疗器械超过有效期限后继续使用的行为，涉嫌违反《医疗器械监督管理条例》（2024修订）第五十五条“医疗器械经营企业、使用单位不得经营、使用未依法注册或者备案、无合格证明文件以及过期、失效、淘汰的医疗器械。”的规定，构成了使用过期医疗器械的违法行为。</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                            </w:t>
      </w:r>
      <w:bookmarkStart w:id="7" w:name="CALCULATE—AJCF—tAjCfes_cZyclsshly"/>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         </w:t>
      </w:r>
    </w:p>
    <w:bookmarkEnd w:id="7"/>
    <w:p w14:paraId="01441EA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Times New Roman" w:hAnsi="Times New Roman" w:eastAsia="仿宋_GB2312" w:cs="仿宋_GB2312"/>
          <w:bCs/>
          <w:caps w:val="0"/>
          <w:color w:val="auto"/>
          <w:sz w:val="32"/>
          <w:szCs w:val="32"/>
          <w:u w:val="single"/>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鉴于当事人</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初次违法，</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在案件调查过程中积极配合调查，如实交代违法事实并主动提供证据材料。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和第三十二条第（五）项“当事人有下列情形之一，应当从轻或者减轻行政处罚：……（五）法律、法规、规章规定其他应当从轻或者减轻行政处罚的。”的规定，参照《市场监管总局关于规范市场监督管理行政处罚裁量权的指导意见》（国市监法〔2022〕2号）第十四条第二项“有下列情形之一的，可以依法从轻或者减轻行政处罚：（二）积极配合市场监管部门调查并主动提供证据材料的；”的规定，当事人的情形符合上述减轻处罚情形。</w:t>
      </w:r>
    </w:p>
    <w:p w14:paraId="5A175FF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lang w:eastAsia="zh-CN"/>
        </w:rPr>
      </w:pPr>
      <w:bookmarkStart w:id="8" w:name="CALCULATE—WFFLFGXX—tAjCfes_cCfyj"/>
      <w:r>
        <w:rPr>
          <w:rFonts w:hint="eastAsia" w:ascii="仿宋_GB2312" w:hAnsi="仿宋_GB2312" w:eastAsia="仿宋_GB2312" w:cs="仿宋_GB2312"/>
          <w:b w:val="0"/>
          <w:bCs w:val="0"/>
          <w:caps w:val="0"/>
          <w:color w:val="000000"/>
          <w:kern w:val="2"/>
          <w:sz w:val="32"/>
          <w:szCs w:val="32"/>
          <w:u w:val="none"/>
          <w:vertAlign w:val="baseline"/>
          <w:lang w:val="en-US" w:eastAsia="zh-CN" w:bidi="ar"/>
        </w:rPr>
        <w:t>依据《医疗器械监督管理条例》第八十六条第三项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bookmarkEnd w:id="8"/>
      <w:r>
        <w:rPr>
          <w:rFonts w:hint="eastAsia" w:ascii="仿宋_GB2312" w:hAnsi="仿宋_GB2312" w:eastAsia="仿宋_GB2312" w:cs="仿宋_GB2312"/>
          <w:b w:val="0"/>
          <w:bCs w:val="0"/>
          <w:caps w:val="0"/>
          <w:color w:val="000000"/>
          <w:kern w:val="2"/>
          <w:sz w:val="32"/>
          <w:szCs w:val="32"/>
          <w:u w:val="none"/>
          <w:vertAlign w:val="baseline"/>
          <w:lang w:val="en-US" w:eastAsia="zh-CN" w:bidi="ar"/>
        </w:rPr>
        <w:t>的规定，结合当事人符合减轻行政处罚的情形，参照《广西壮族自治区医疗器械监管行政处罚裁量基准（2026年修订版）》第十六条第一款、第二款“本条是对《医疗器械监督管理条例》第八十六条 '违法生产、经营或者使用的医疗器械货值金额不足 1 万元的，并处 2 万元以上 5 万元以下罚款'裁量基准的规定。符合裁量规则减轻行政处罚情形的，减轻行政处罚，处低于2万元的罚款”,案件承办人建议责令当事人立即改正以上违法行为</w:t>
      </w:r>
      <w:bookmarkStart w:id="9" w:name="CALCULATE—AJCF—tAjCfes_cXzcfnr"/>
      <w:r>
        <w:rPr>
          <w:rFonts w:hint="eastAsia" w:ascii="仿宋_GB2312" w:hAnsi="仿宋_GB2312" w:eastAsia="仿宋_GB2312" w:cs="仿宋_GB2312"/>
          <w:b w:val="0"/>
          <w:bCs w:val="0"/>
          <w:caps w:val="0"/>
          <w:color w:val="000000"/>
          <w:kern w:val="2"/>
          <w:sz w:val="32"/>
          <w:szCs w:val="32"/>
          <w:u w:val="none"/>
          <w:vertAlign w:val="baseline"/>
          <w:lang w:val="en-US" w:eastAsia="zh-CN" w:bidi="ar"/>
        </w:rPr>
        <w:t>，并作行政处罚如下：</w:t>
      </w:r>
    </w:p>
    <w:p w14:paraId="757A5788">
      <w:pPr>
        <w:pStyle w:val="7"/>
        <w:keepNext w:val="0"/>
        <w:keepLines w:val="0"/>
        <w:widowControl w:val="0"/>
        <w:suppressLineNumbers w:val="0"/>
        <w:spacing w:before="0" w:beforeAutospacing="0" w:after="0" w:afterAutospacing="0" w:line="240" w:lineRule="auto"/>
        <w:ind w:left="0" w:right="0" w:firstLine="0"/>
        <w:jc w:val="both"/>
        <w:rPr>
          <w:rFonts w:ascii="宋体" w:hAnsi="宋体" w:eastAsia="宋体" w:cs="宋体"/>
          <w:caps w:val="0"/>
          <w:color w:val="auto"/>
          <w:sz w:val="21"/>
          <w:szCs w:val="21"/>
          <w:vertAlign w:val="baseline"/>
          <w:lang w:eastAsia="zh-CN"/>
        </w:rPr>
      </w:pPr>
    </w:p>
    <w:p w14:paraId="7C2D64BD">
      <w:pPr>
        <w:keepNext w:val="0"/>
        <w:keepLines w:val="0"/>
        <w:pageBreakBefore w:val="0"/>
        <w:widowControl w:val="0"/>
        <w:numPr>
          <w:ilvl w:val="0"/>
          <w:numId w:val="3"/>
        </w:numPr>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没收《财物清单》（文书编号：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融水市监强制</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〔2026〕19号）中所列物品；</w:t>
      </w:r>
    </w:p>
    <w:p w14:paraId="68B84B20">
      <w:pPr>
        <w:pStyle w:val="7"/>
        <w:keepNext w:val="0"/>
        <w:keepLines w:val="0"/>
        <w:widowControl w:val="0"/>
        <w:numPr>
          <w:ilvl w:val="0"/>
          <w:numId w:val="0"/>
        </w:numPr>
        <w:suppressLineNumbers w:val="0"/>
        <w:spacing w:before="0" w:beforeAutospacing="0" w:after="0" w:afterAutospacing="0" w:line="240" w:lineRule="auto"/>
        <w:ind w:left="0" w:right="0" w:firstLine="0"/>
        <w:jc w:val="both"/>
        <w:rPr>
          <w:rFonts w:ascii="宋体" w:hAnsi="宋体" w:eastAsia="宋体" w:cs="宋体"/>
          <w:caps w:val="0"/>
          <w:color w:val="auto"/>
          <w:sz w:val="21"/>
          <w:szCs w:val="21"/>
          <w:vertAlign w:val="baseline"/>
        </w:rPr>
      </w:pPr>
    </w:p>
    <w:bookmarkEnd w:id="9"/>
    <w:p w14:paraId="2B92A7B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二、罚款人民币伍仟元整（¥5000元）。</w:t>
      </w:r>
    </w:p>
    <w:p w14:paraId="514E0B18">
      <w:pPr>
        <w:pStyle w:val="7"/>
        <w:keepNext w:val="0"/>
        <w:keepLines w:val="0"/>
        <w:widowControl w:val="0"/>
        <w:suppressLineNumbers w:val="0"/>
        <w:tabs>
          <w:tab w:val="left" w:pos="9060"/>
        </w:tabs>
        <w:autoSpaceDE w:val="0"/>
        <w:autoSpaceDN w:val="0"/>
        <w:adjustRightInd w:val="0"/>
        <w:spacing w:before="0" w:beforeAutospacing="0" w:after="0" w:afterAutospacing="0" w:line="520" w:lineRule="exact"/>
        <w:ind w:left="0" w:right="0" w:firstLine="640" w:firstLineChars="200"/>
        <w:jc w:val="left"/>
        <w:rPr>
          <w:rFonts w:hint="eastAsia" w:ascii="Times New Roman" w:hAnsi="Times New Roman" w:eastAsia="仿宋_GB2312" w:cs="仿宋_GB2312"/>
          <w:b w:val="0"/>
          <w:bCs/>
          <w:caps w:val="0"/>
          <w:color w:val="auto"/>
          <w:sz w:val="32"/>
          <w:szCs w:val="32"/>
          <w:u w:val="single"/>
          <w:vertAlign w:val="baseline"/>
        </w:rPr>
      </w:pPr>
      <w:r>
        <w:rPr>
          <w:rFonts w:hint="eastAsia" w:ascii="Times New Roman" w:hAnsi="Times New Roman" w:eastAsia="仿宋_GB2312" w:cs="仿宋_GB2312"/>
          <w:b w:val="0"/>
          <w:bCs/>
          <w:caps w:val="0"/>
          <w:color w:val="000000"/>
          <w:kern w:val="0"/>
          <w:sz w:val="32"/>
          <w:szCs w:val="32"/>
          <w:u w:val="none"/>
          <w:vertAlign w:val="baseline"/>
          <w:lang w:val="en-US" w:eastAsia="zh-CN" w:bidi="ar"/>
        </w:rPr>
        <w:t xml:space="preserve">                                               </w:t>
      </w:r>
    </w:p>
    <w:p w14:paraId="0EC4D1AC">
      <w:pPr>
        <w:keepNext w:val="0"/>
        <w:keepLines w:val="0"/>
        <w:pageBreakBefore w:val="0"/>
        <w:widowControl w:val="0"/>
        <w:suppressLineNumbers w:val="0"/>
        <w:kinsoku/>
        <w:wordWrap/>
        <w:overflowPunct/>
        <w:topLinePunct w:val="0"/>
        <w:autoSpaceDE/>
        <w:autoSpaceDN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lang w:val="en-US"/>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 xml:space="preserve">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 </w:t>
      </w:r>
    </w:p>
    <w:p w14:paraId="27CAF101">
      <w:pPr>
        <w:keepNext w:val="0"/>
        <w:keepLines w:val="0"/>
        <w:pageBreakBefore w:val="0"/>
        <w:widowControl w:val="0"/>
        <w:suppressLineNumbers w:val="0"/>
        <w:kinsoku/>
        <w:wordWrap/>
        <w:overflowPunct/>
        <w:topLinePunct w:val="0"/>
        <w:autoSpaceDE/>
        <w:autoSpaceDN w:val="0"/>
        <w:adjustRightInd/>
        <w:snapToGrid/>
        <w:spacing w:before="0" w:beforeAutospacing="0" w:after="0" w:afterAutospacing="0" w:line="520" w:lineRule="exact"/>
        <w:ind w:left="0" w:right="0" w:firstLine="640" w:firstLineChars="200"/>
        <w:jc w:val="both"/>
        <w:rPr>
          <w:rFonts w:hint="eastAsia" w:ascii="仿宋_GB2312" w:hAnsi="仿宋_GB2312" w:eastAsia="仿宋_GB2312" w:cs="仿宋_GB2312"/>
          <w:caps w:val="0"/>
          <w:color w:val="auto"/>
          <w:sz w:val="32"/>
          <w:szCs w:val="32"/>
          <w:vertAlign w:val="baseline"/>
          <w:lang w:val="en-US"/>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B46364F">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auto"/>
          <w:sz w:val="32"/>
          <w:szCs w:val="32"/>
          <w:vertAlign w:val="baseline"/>
          <w:lang w:val="en-US"/>
        </w:rPr>
      </w:pPr>
    </w:p>
    <w:p w14:paraId="3D3917A6">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bookmarkStart w:id="10" w:name="DYNAMIC—DWXX—tAj_dwmc—2"/>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w:t>
      </w:r>
    </w:p>
    <w:p w14:paraId="5531033B">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p>
    <w:p w14:paraId="0CB2605E">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p>
    <w:p w14:paraId="1449682D">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auto"/>
          <w:sz w:val="32"/>
          <w:szCs w:val="32"/>
          <w:vertAlign w:val="baseline"/>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融水苗族自治县市场监督管理局</w:t>
      </w:r>
      <w:bookmarkEnd w:id="10"/>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w:t>
      </w:r>
    </w:p>
    <w:p w14:paraId="16A8DE67">
      <w:pPr>
        <w:keepNext w:val="0"/>
        <w:keepLines w:val="0"/>
        <w:widowControl w:val="0"/>
        <w:suppressLineNumbers w:val="0"/>
        <w:spacing w:before="0" w:beforeAutospacing="0" w:after="0" w:afterAutospacing="0" w:line="560" w:lineRule="exact"/>
        <w:ind w:left="0" w:right="640" w:firstLine="601"/>
        <w:jc w:val="right"/>
        <w:outlineLvl w:val="1"/>
        <w:rPr>
          <w:rFonts w:hint="eastAsia" w:ascii="Times New Roman" w:hAnsi="Times New Roman" w:eastAsia="仿宋_GB2312" w:cs="仿宋"/>
          <w:caps w:val="0"/>
          <w:color w:val="auto"/>
          <w:sz w:val="32"/>
          <w:szCs w:val="32"/>
          <w:vertAlign w:val="baseline"/>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（印 章）</w:t>
      </w:r>
    </w:p>
    <w:p w14:paraId="43849B0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630" w:rightChars="300" w:firstLine="600"/>
        <w:jc w:val="right"/>
        <w:outlineLvl w:val="9"/>
        <w:rPr>
          <w:rFonts w:hint="eastAsia" w:ascii="Times New Roman" w:hAnsi="Times New Roman" w:eastAsia="仿宋_GB2312" w:cs="仿宋_GB2312"/>
          <w:caps w:val="0"/>
          <w:color w:val="000000"/>
          <w:sz w:val="32"/>
          <w:szCs w:val="32"/>
          <w:u w:val="none"/>
          <w:vertAlign w:val="baseline"/>
        </w:rPr>
      </w:pPr>
      <w:bookmarkStart w:id="11" w:name="CALCULATE—TIME—NOW"/>
      <w:r>
        <w:rPr>
          <w:rFonts w:ascii="仿宋_GB2312" w:hAnsi="仿宋_GB2312" w:eastAsia="仿宋_GB2312" w:cs="仿宋_GB2312"/>
          <w:sz w:val="32"/>
        </w:rPr>
        <w:t>2026年05月06日</w:t>
      </w:r>
      <w:bookmarkEnd w:id="11"/>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 xml:space="preserve">  </w:t>
      </w:r>
    </w:p>
    <w:p w14:paraId="3DE74E03">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5CE60FCF">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6FA604BD">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30BC2A17">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6314B1F1">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09ECD03A">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2A9D714B">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01D27121">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4983BFC8">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5F8ED333">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4B23978B">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2B05ABFB">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0DB2A593">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6B34EC9F">
      <w:pPr>
        <w:pStyle w:val="7"/>
        <w:keepNext w:val="0"/>
        <w:keepLines w:val="0"/>
        <w:widowControl w:val="0"/>
        <w:suppressLineNumbers w:val="0"/>
        <w:autoSpaceDE w:val="0"/>
        <w:autoSpaceDN w:val="0"/>
        <w:adjustRightInd w:val="0"/>
        <w:spacing w:before="1" w:beforeAutospacing="0" w:after="0" w:afterAutospacing="0" w:line="240" w:lineRule="auto"/>
        <w:ind w:left="163" w:right="0" w:firstLine="0"/>
        <w:jc w:val="left"/>
        <w:rPr>
          <w:rFonts w:hint="eastAsia" w:ascii="Times New Roman" w:hAnsi="Times New Roman" w:eastAsia="仿宋_GB2312" w:cs="仿宋"/>
          <w:bCs/>
          <w:caps w:val="0"/>
          <w:color w:val="auto"/>
          <w:sz w:val="44"/>
          <w:szCs w:val="44"/>
          <w:vertAlign w:val="baseline"/>
        </w:rPr>
      </w:pPr>
      <w:r>
        <w:rPr>
          <w:rFonts w:hint="eastAsia" w:ascii="黑体" w:hAnsi="宋体" w:eastAsia="黑体" w:cs="黑体"/>
          <w:b w:val="0"/>
          <w:bCs w:val="0"/>
          <w:caps w:val="0"/>
          <w:color w:val="000000"/>
          <w:spacing w:val="-16"/>
          <w:kern w:val="0"/>
          <w:sz w:val="32"/>
          <w:szCs w:val="32"/>
          <w:u w:val="none"/>
          <w:vertAlign w:val="baseline"/>
          <w:lang w:val="en-US" w:eastAsia="zh-CN" w:bidi="ar"/>
        </w:rPr>
        <w:t>（市场监督管理部门将依法向社会公开行政处罚决定信息）</w:t>
      </w:r>
    </w:p>
    <w:p w14:paraId="2B0F3E39">
      <w:pPr>
        <w:keepNext w:val="0"/>
        <w:keepLines w:val="0"/>
        <w:widowControl w:val="0"/>
        <w:suppressLineNumbers w:val="0"/>
        <w:spacing w:before="0" w:beforeAutospacing="0" w:after="0" w:afterAutospacing="0" w:line="500" w:lineRule="exact"/>
        <w:ind w:left="0" w:right="0" w:firstLine="0"/>
        <w:jc w:val="both"/>
        <w:rPr>
          <w:rFonts w:hint="default" w:ascii="Calibri" w:hAnsi="Calibri" w:eastAsia="宋体" w:cs="Calibri"/>
          <w:caps w:val="0"/>
          <w:color w:val="auto"/>
          <w:sz w:val="21"/>
          <w:szCs w:val="21"/>
          <w:vertAlign w:val="baseline"/>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本文书一式  二 份，  一 份送达，一份归档，   /   。</w:t>
      </w:r>
    </w:p>
    <w:p w14:paraId="0FBF83D2">
      <w:pPr>
        <w:spacing w:line="500" w:lineRule="exac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06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B146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CB146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22469"/>
    <w:multiLevelType w:val="multilevel"/>
    <w:tmpl w:val="DF722469"/>
    <w:lvl w:ilvl="0" w:tentative="0">
      <w:start w:val="1"/>
      <w:numFmt w:val="chineseCounting"/>
      <w:suff w:val="nothing"/>
      <w:lvlText w:val="%1、"/>
      <w:lvlJc w:val="left"/>
      <w:pPr>
        <w:ind w:left="0" w:firstLine="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393758"/>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C3CE917B"/>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宋体" w:hAnsi="Courier New" w:eastAsia="宋体" w:cs="宋体"/>
      <w:kern w:val="2"/>
      <w:sz w:val="21"/>
      <w:szCs w:val="21"/>
      <w:lang w:val="en-US" w:eastAsia="zh-CN" w:bidi="ar"/>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439</Words>
  <Characters>439</Characters>
  <Lines>0</Lines>
  <Paragraphs>0</Paragraphs>
  <TotalTime>19</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Administrator</cp:lastModifiedBy>
  <dcterms:modified xsi:type="dcterms:W3CDTF">2026-05-21T03:09:22Z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