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6EEA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05608C7D">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22E1A5BD">
      <w:pPr>
        <w:keepNext w:val="0"/>
        <w:keepLines w:val="0"/>
        <w:pageBreakBefore w:val="0"/>
        <w:widowControl/>
        <w:kinsoku/>
        <w:wordWrap/>
        <w:overflowPunct/>
        <w:topLinePunct w:val="0"/>
        <w:bidi w:val="0"/>
        <w:snapToGrid w:val="0"/>
        <w:spacing w:line="560" w:lineRule="exact"/>
        <w:ind w:right="55"/>
        <w:jc w:val="center"/>
        <w:textAlignment w:val="auto"/>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融水市监处罚〔2026〕71号</w:t>
      </w:r>
      <w:bookmarkEnd w:id="2"/>
    </w:p>
    <w:p w14:paraId="58D602B6">
      <w:pPr>
        <w:keepNext w:val="0"/>
        <w:keepLines w:val="0"/>
        <w:pageBreakBefore w:val="0"/>
        <w:kinsoku/>
        <w:wordWrap/>
        <w:overflowPunct/>
        <w:topLinePunct w:val="0"/>
        <w:bidi w:val="0"/>
        <w:spacing w:before="315" w:beforeLines="100" w:line="560" w:lineRule="exact"/>
        <w:ind w:left="271" w:leftChars="129" w:firstLine="419" w:firstLineChars="131"/>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融水县杆洞乡宇哲百货店</w:t>
      </w:r>
      <w:bookmarkEnd w:id="3"/>
      <w:r>
        <w:rPr>
          <w:rFonts w:hint="eastAsia" w:ascii="仿宋_GB2312" w:hAnsi="仿宋_GB2312" w:eastAsia="仿宋_GB2312" w:cs="仿宋_GB2312"/>
          <w:b w:val="0"/>
          <w:bCs/>
          <w:color w:val="000000"/>
          <w:kern w:val="1"/>
          <w:sz w:val="32"/>
          <w:szCs w:val="32"/>
          <w:u w:val="none"/>
        </w:rPr>
        <w:t xml:space="preserve">                                            </w:t>
      </w:r>
    </w:p>
    <w:p w14:paraId="127DA194">
      <w:pPr>
        <w:keepNext w:val="0"/>
        <w:keepLines w:val="0"/>
        <w:pageBreakBefore w:val="0"/>
        <w:kinsoku/>
        <w:wordWrap/>
        <w:overflowPunct/>
        <w:topLinePunct w:val="0"/>
        <w:bidi w:val="0"/>
        <w:spacing w:line="560" w:lineRule="exact"/>
        <w:ind w:left="271" w:leftChars="129" w:firstLine="425" w:firstLineChars="133"/>
        <w:textAlignment w:val="auto"/>
        <w:rPr>
          <w:rFonts w:hint="eastAsia" w:ascii="仿宋_GB2312" w:hAnsi="仿宋_GB2312" w:eastAsia="仿宋_GB2312" w:cs="仿宋_GB2312"/>
          <w:b w:val="0"/>
          <w:bCs/>
          <w:color w:val="auto"/>
          <w:kern w:val="1"/>
          <w:sz w:val="32"/>
          <w:szCs w:val="32"/>
          <w:u w:val="non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14:paraId="6E08A226">
      <w:pPr>
        <w:keepNext w:val="0"/>
        <w:keepLines w:val="0"/>
        <w:pageBreakBefore w:val="0"/>
        <w:kinsoku/>
        <w:wordWrap/>
        <w:overflowPunct/>
        <w:topLinePunct w:val="0"/>
        <w:bidi w:val="0"/>
        <w:spacing w:line="560" w:lineRule="exact"/>
        <w:ind w:left="271" w:leftChars="129" w:firstLine="425" w:firstLineChars="133"/>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92450225MA5MDF892P</w:t>
      </w:r>
      <w:bookmarkEnd w:id="5"/>
      <w:r>
        <w:rPr>
          <w:rFonts w:hint="eastAsia" w:ascii="仿宋_GB2312" w:hAnsi="仿宋_GB2312" w:eastAsia="仿宋_GB2312" w:cs="仿宋_GB2312"/>
          <w:b w:val="0"/>
          <w:bCs/>
          <w:color w:val="000000"/>
          <w:kern w:val="1"/>
          <w:sz w:val="32"/>
          <w:szCs w:val="32"/>
          <w:u w:val="none"/>
        </w:rPr>
        <w:t xml:space="preserve">                                  </w:t>
      </w:r>
    </w:p>
    <w:p w14:paraId="31DC7D9E">
      <w:pPr>
        <w:keepNext w:val="0"/>
        <w:keepLines w:val="0"/>
        <w:pageBreakBefore w:val="0"/>
        <w:kinsoku/>
        <w:wordWrap/>
        <w:overflowPunct/>
        <w:topLinePunct w:val="0"/>
        <w:bidi w:val="0"/>
        <w:spacing w:line="560" w:lineRule="exact"/>
        <w:ind w:left="271" w:leftChars="129" w:firstLine="425" w:firstLineChars="133"/>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住所（住址）：</w:t>
      </w:r>
      <w:bookmarkStart w:id="6" w:name="CALCULATE—DSR—tAjDsrs_cLxdzSheng"/>
      <w:r>
        <w:rPr>
          <w:rFonts w:hint="eastAsia" w:ascii="仿宋_GB2312" w:hAnsi="仿宋_GB2312" w:eastAsia="仿宋_GB2312" w:cs="仿宋_GB2312"/>
          <w:b w:val="0"/>
          <w:color w:val="000000"/>
          <w:sz w:val="32"/>
          <w:u w:val="none"/>
        </w:rPr>
        <w:t>广西壮族自治区柳州市融水苗族自治县杆洞乡归江村</w:t>
      </w:r>
      <w:bookmarkEnd w:id="6"/>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7C2095B1">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法定代表人（负责人</w:t>
      </w: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color w:val="000000"/>
          <w:sz w:val="32"/>
          <w:u w:val="none"/>
        </w:rPr>
        <w:t>韦明</w:t>
      </w:r>
      <w:bookmarkEnd w:id="7"/>
      <w:r>
        <w:rPr>
          <w:rFonts w:hint="eastAsia" w:ascii="仿宋_GB2312" w:hAnsi="仿宋_GB2312" w:eastAsia="仿宋_GB2312" w:cs="仿宋_GB2312"/>
          <w:b w:val="0"/>
          <w:bCs/>
          <w:color w:val="000000"/>
          <w:kern w:val="1"/>
          <w:sz w:val="32"/>
          <w:szCs w:val="32"/>
          <w:u w:val="none"/>
        </w:rPr>
        <w:t xml:space="preserve">                       </w:t>
      </w:r>
    </w:p>
    <w:p w14:paraId="16D2C61D">
      <w:pPr>
        <w:keepNext w:val="0"/>
        <w:keepLines w:val="0"/>
        <w:pageBreakBefore w:val="0"/>
        <w:kinsoku/>
        <w:wordWrap/>
        <w:overflowPunct/>
        <w:topLinePunct w:val="0"/>
        <w:bidi w:val="0"/>
        <w:spacing w:line="560" w:lineRule="exact"/>
        <w:ind w:left="271" w:leftChars="129" w:firstLine="425" w:firstLineChars="133"/>
        <w:textAlignment w:val="auto"/>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身份证件号码：</w:t>
      </w:r>
      <w:bookmarkStart w:id="8" w:name="CALCULATE—DSR—tAjDsrs_cZjhm"/>
      <w:r>
        <w:rPr>
          <w:rFonts w:hint="eastAsia" w:ascii="仿宋_GB2312" w:hAnsi="仿宋_GB2312" w:eastAsia="仿宋_GB2312" w:cs="仿宋_GB2312"/>
          <w:b w:val="0"/>
          <w:color w:val="000000"/>
          <w:sz w:val="32"/>
          <w:u w:val="none"/>
        </w:rPr>
        <w:t>452229198609</w:t>
      </w:r>
      <w:bookmarkEnd w:id="8"/>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p>
    <w:p w14:paraId="01C4AC8E">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u w:val="none" w:color="auto"/>
        </w:rPr>
      </w:pPr>
      <w:bookmarkStart w:id="9" w:name="CALCULATE—AYHC—tAjHc_cHcqkjlaay"/>
      <w:r>
        <w:rPr>
          <w:rFonts w:hint="eastAsia" w:ascii="仿宋_GB2312" w:hAnsi="仿宋_GB2312" w:eastAsia="仿宋_GB2312" w:cs="仿宋_GB2312"/>
          <w:color w:val="000000"/>
          <w:sz w:val="32"/>
          <w:u w:val="none" w:color="auto"/>
        </w:rPr>
        <w:t>2026 年 3 月 11 日，我局执法人员和融水县烟草专卖局执法人员依法对融水县杆洞乡归江村</w:t>
      </w:r>
      <w:r>
        <w:rPr>
          <w:rFonts w:hint="eastAsia" w:ascii="仿宋_GB2312" w:hAnsi="仿宋_GB2312" w:eastAsia="仿宋_GB2312" w:cs="仿宋_GB2312"/>
          <w:color w:val="000000"/>
          <w:sz w:val="32"/>
          <w:u w:val="none" w:color="auto"/>
          <w:lang w:val="en-US" w:eastAsia="zh-CN"/>
        </w:rPr>
        <w:t>******</w:t>
      </w:r>
      <w:r>
        <w:rPr>
          <w:rFonts w:hint="eastAsia" w:ascii="仿宋_GB2312" w:hAnsi="仿宋_GB2312" w:eastAsia="仿宋_GB2312" w:cs="仿宋_GB2312"/>
          <w:color w:val="000000"/>
          <w:sz w:val="32"/>
          <w:u w:val="none" w:color="auto"/>
        </w:rPr>
        <w:t>的融水县杆洞乡宇哲百货店进行检查，当时该店正在开门营业，该店经营者韦明陪同检查。执法人员在该店销售区货架上发现有真龙（起源）、真龙（鸿韵）等11个品种的烟草制品共19.4 条</w:t>
      </w:r>
      <w:r>
        <w:rPr>
          <w:rFonts w:hint="eastAsia" w:ascii="仿宋_GB2312" w:hAnsi="仿宋_GB2312" w:eastAsia="仿宋_GB2312" w:cs="仿宋_GB2312"/>
          <w:color w:val="000000"/>
          <w:sz w:val="32"/>
          <w:u w:val="none" w:color="auto"/>
          <w:lang w:eastAsia="zh-CN"/>
        </w:rPr>
        <w:t>在销售</w:t>
      </w:r>
      <w:r>
        <w:rPr>
          <w:rFonts w:hint="eastAsia" w:ascii="仿宋_GB2312" w:hAnsi="仿宋_GB2312" w:eastAsia="仿宋_GB2312" w:cs="仿宋_GB2312"/>
          <w:color w:val="000000"/>
          <w:sz w:val="32"/>
          <w:u w:val="none" w:color="auto"/>
        </w:rPr>
        <w:t>，当事人现场无法提供有效《烟草专卖零售许可证》</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经请示局领导批准，执法人员对检查发现的烟草制品采取先行登记保存措施</w:t>
      </w:r>
      <w:bookmarkEnd w:id="9"/>
      <w:bookmarkStart w:id="10" w:name="CALCULATE—QZCS—tAjqzcses_qzcsxx"/>
      <w:bookmarkEnd w:id="10"/>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向当事人下达了《先行登记保存证据通知书》(融水市监先登〔2026〕3</w:t>
      </w:r>
      <w:r>
        <w:rPr>
          <w:rFonts w:hint="eastAsia" w:ascii="仿宋_GB2312" w:hAnsi="仿宋_GB2312" w:eastAsia="仿宋_GB2312" w:cs="仿宋_GB2312"/>
          <w:color w:val="000000"/>
          <w:sz w:val="32"/>
          <w:u w:val="none" w:color="auto"/>
          <w:lang w:val="en-US" w:eastAsia="zh-CN"/>
        </w:rPr>
        <w:t>3</w:t>
      </w:r>
      <w:r>
        <w:rPr>
          <w:rFonts w:hint="eastAsia" w:ascii="仿宋_GB2312" w:hAnsi="仿宋_GB2312" w:eastAsia="仿宋_GB2312" w:cs="仿宋_GB2312"/>
          <w:color w:val="000000"/>
          <w:sz w:val="32"/>
          <w:u w:val="none" w:color="auto"/>
        </w:rPr>
        <w:t>号）及《财物清单》(融水市监先登〔2026〕3</w:t>
      </w:r>
      <w:r>
        <w:rPr>
          <w:rFonts w:hint="eastAsia" w:ascii="仿宋_GB2312" w:hAnsi="仿宋_GB2312" w:eastAsia="仿宋_GB2312" w:cs="仿宋_GB2312"/>
          <w:color w:val="000000"/>
          <w:sz w:val="32"/>
          <w:u w:val="none" w:color="auto"/>
          <w:lang w:val="en-US" w:eastAsia="zh-CN"/>
        </w:rPr>
        <w:t>3</w:t>
      </w:r>
      <w:r>
        <w:rPr>
          <w:rFonts w:hint="eastAsia" w:ascii="仿宋_GB2312" w:hAnsi="仿宋_GB2312" w:eastAsia="仿宋_GB2312" w:cs="仿宋_GB2312"/>
          <w:color w:val="000000"/>
          <w:sz w:val="32"/>
          <w:u w:val="none" w:color="auto"/>
        </w:rPr>
        <w:t>号）,并制作了《现场笔录》。2026年3月11日经局领导审批决定对当事人的上述违法行为进行立案调查。2026年3月19日，当事人经营者</w:t>
      </w:r>
      <w:r>
        <w:rPr>
          <w:rFonts w:hint="eastAsia" w:ascii="仿宋_GB2312" w:hAnsi="仿宋_GB2312" w:eastAsia="仿宋_GB2312" w:cs="仿宋_GB2312"/>
          <w:color w:val="000000"/>
          <w:sz w:val="32"/>
          <w:u w:val="none" w:color="auto"/>
          <w:lang w:eastAsia="zh-CN"/>
        </w:rPr>
        <w:t>韦明</w:t>
      </w:r>
      <w:r>
        <w:rPr>
          <w:rFonts w:hint="eastAsia" w:ascii="仿宋_GB2312" w:hAnsi="仿宋_GB2312" w:eastAsia="仿宋_GB2312" w:cs="仿宋_GB2312"/>
          <w:color w:val="000000"/>
          <w:sz w:val="32"/>
          <w:u w:val="none" w:color="auto"/>
        </w:rPr>
        <w:t>到融水苗族自治县市场监督管理局杆洞市场监督管理所接受询问调查，并提供相关案件材料。</w:t>
      </w:r>
    </w:p>
    <w:p w14:paraId="3F060CAB">
      <w:pPr>
        <w:pStyle w:val="3"/>
        <w:keepNext w:val="0"/>
        <w:keepLines w:val="0"/>
        <w:pageBreakBefore w:val="0"/>
        <w:tabs>
          <w:tab w:val="left" w:pos="9060"/>
        </w:tabs>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u w:val="single" w:color="231F20"/>
          <w:lang w:val="en-US" w:eastAsia="zh-CN"/>
        </w:rPr>
      </w:pPr>
    </w:p>
    <w:p w14:paraId="1C78DE63">
      <w:pPr>
        <w:keepNext w:val="0"/>
        <w:keepLines w:val="0"/>
        <w:pageBreakBefore w:val="0"/>
        <w:kinsoku/>
        <w:wordWrap/>
        <w:overflowPunct/>
        <w:topLinePunct w:val="0"/>
        <w:bidi w:val="0"/>
        <w:spacing w:line="560" w:lineRule="exact"/>
        <w:ind w:firstLine="640" w:firstLineChars="200"/>
        <w:textAlignment w:val="auto"/>
        <w:rPr>
          <w:rFonts w:ascii="仿宋_GB2312" w:hAnsi="Times New Roman" w:eastAsia="仿宋_GB2312" w:cs="仿宋_GB2312"/>
          <w:sz w:val="32"/>
          <w:szCs w:val="32"/>
          <w:u w:val="none" w:color="auto"/>
        </w:rPr>
      </w:pPr>
      <w:bookmarkStart w:id="11" w:name="CALCULATE—AJCF—tAjCfes_cAjss"/>
      <w:r>
        <w:rPr>
          <w:rFonts w:hint="eastAsia" w:ascii="仿宋_GB2312" w:hAnsi="Times New Roman" w:eastAsia="仿宋_GB2312" w:cs="仿宋_GB2312"/>
          <w:color w:val="000000"/>
          <w:sz w:val="32"/>
          <w:u w:val="none" w:color="auto"/>
        </w:rPr>
        <w:t>经查，当事人于2016年5月25日登记注册取得《营业执照》，在广西柳州市融水县杆洞乡归江村</w:t>
      </w:r>
      <w:r>
        <w:rPr>
          <w:rFonts w:hint="eastAsia" w:ascii="仿宋_GB2312" w:hAnsi="Times New Roman" w:eastAsia="仿宋_GB2312" w:cs="仿宋_GB2312"/>
          <w:color w:val="000000"/>
          <w:sz w:val="32"/>
          <w:u w:val="none" w:color="auto"/>
          <w:lang w:val="en-US" w:eastAsia="zh-CN"/>
        </w:rPr>
        <w:t>******</w:t>
      </w:r>
      <w:bookmarkStart w:id="18" w:name="_GoBack"/>
      <w:bookmarkEnd w:id="18"/>
      <w:r>
        <w:rPr>
          <w:rFonts w:hint="eastAsia" w:ascii="仿宋_GB2312" w:hAnsi="Times New Roman" w:eastAsia="仿宋_GB2312" w:cs="仿宋_GB2312"/>
          <w:color w:val="000000"/>
          <w:sz w:val="32"/>
          <w:u w:val="none" w:color="auto"/>
        </w:rPr>
        <w:t>从事百货、日用杂品、食品零售等经营活动。2026年2月份开始，当事人在未取得《烟草专卖零售许可证》的情况下，从其朋友持有《烟草专卖零售许可证》的融水县杆洞乡连发食品店将烟草制品拿到经营场所进行销售。2026年3月11日，我局执法人员在当事人经营场所查获用于销售的真龙（起源）、真龙（鸿韵）等11个品种的烟草制品共19.4条。经核实，当事人拿到经营场所销售的烟草制品未建立有台账，无法核实当事人至案发共入库和销售烟草制品的具体数量，以现场检查发现的烟草制品的零售单价的总和3326元认定为该案涉案货值金额，同时违法所得无法计算，该案无违法所得。</w:t>
      </w:r>
    </w:p>
    <w:bookmarkEnd w:id="11"/>
    <w:p w14:paraId="00579085">
      <w:pPr>
        <w:keepNext w:val="0"/>
        <w:keepLines w:val="0"/>
        <w:pageBreakBefore w:val="0"/>
        <w:kinsoku/>
        <w:wordWrap/>
        <w:overflowPunct/>
        <w:topLinePunct w:val="0"/>
        <w:bidi w:val="0"/>
        <w:spacing w:line="560" w:lineRule="exact"/>
        <w:ind w:firstLine="640" w:firstLineChars="200"/>
        <w:textAlignment w:val="auto"/>
        <w:rPr>
          <w:rFonts w:ascii="仿宋_GB2312" w:hAnsi="Times New Roman" w:eastAsia="仿宋_GB2312" w:cs="仿宋_GB2312"/>
          <w:b/>
          <w:bCs/>
          <w:sz w:val="32"/>
          <w:szCs w:val="32"/>
          <w:u w:val="none" w:color="auto"/>
        </w:rPr>
      </w:pPr>
      <w:r>
        <w:rPr>
          <w:rFonts w:hint="eastAsia" w:ascii="仿宋_GB2312" w:hAnsi="仿宋_GB2312" w:eastAsia="仿宋_GB2312" w:cs="仿宋_GB2312"/>
          <w:b w:val="0"/>
          <w:bCs w:val="0"/>
          <w:color w:val="000000"/>
          <w:sz w:val="32"/>
          <w:szCs w:val="32"/>
          <w:u w:val="none" w:color="auto"/>
        </w:rPr>
        <w:t>上述事实，主要有以下证据证明：</w:t>
      </w:r>
    </w:p>
    <w:p w14:paraId="28770313">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1.行政检查审批表及通知书，证明执法人员依法对当事人实施行政检查；</w:t>
      </w:r>
    </w:p>
    <w:p w14:paraId="5870AE0B">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2.现场笔录，证明现场检查记录的情况和发现违法行为的事实；</w:t>
      </w:r>
    </w:p>
    <w:p w14:paraId="1C4DEA84">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3.《先行登记保存证据通知书》（融水市监先登〔2026〕3</w:t>
      </w:r>
      <w:r>
        <w:rPr>
          <w:rFonts w:hint="eastAsia" w:ascii="仿宋_GB2312" w:hAnsi="仿宋_GB2312" w:eastAsia="仿宋_GB2312" w:cs="仿宋_GB2312"/>
          <w:color w:val="000000"/>
          <w:sz w:val="32"/>
          <w:szCs w:val="32"/>
          <w:u w:val="none" w:color="auto"/>
          <w:lang w:val="en-US" w:eastAsia="zh-CN"/>
        </w:rPr>
        <w:t>3</w:t>
      </w:r>
      <w:r>
        <w:rPr>
          <w:rFonts w:hint="eastAsia" w:ascii="仿宋_GB2312" w:hAnsi="仿宋_GB2312" w:eastAsia="仿宋_GB2312" w:cs="仿宋_GB2312"/>
          <w:color w:val="000000"/>
          <w:sz w:val="32"/>
          <w:szCs w:val="32"/>
          <w:u w:val="none" w:color="auto"/>
        </w:rPr>
        <w:t>号）及《财物清单》、《送达回证》，证明执法人员采取先行登记保存证据的事实、财物清单保存证据物品信息及文书的送达。</w:t>
      </w:r>
    </w:p>
    <w:p w14:paraId="6A6C07DB">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4.《询问笔录》，证明当事人确认在无《烟草专卖零售许可证》的情况下从事经营烟草制品零售经营及涉案货值金额等违法事实；</w:t>
      </w:r>
    </w:p>
    <w:p w14:paraId="2AFBD0D2">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5.《证据提取单》（《营业执照》、《居民身份证》），证明当事人的市场主体资质及经营者个人基本信息；</w:t>
      </w:r>
    </w:p>
    <w:p w14:paraId="4046947F">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6.《涉案烟草专卖品核价表》，证明该店涉案烟草制品的货值金额；</w:t>
      </w:r>
    </w:p>
    <w:p w14:paraId="6BE0D25B">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7.《证据提取单》（现场检查照片），证明执法人员现场执法事实及当事人无烟草专卖零售许可证经营烟草制品的违法事实；</w:t>
      </w:r>
    </w:p>
    <w:p w14:paraId="47D4D0ED">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8.解除先行登记保存证据通知书、送达回证，证明执法人员依法予以解除先行登记保存措施及文书的送达签收情况。</w:t>
      </w:r>
    </w:p>
    <w:p w14:paraId="1A97AD1A">
      <w:pPr>
        <w:pStyle w:val="3"/>
        <w:keepNext w:val="0"/>
        <w:keepLines w:val="0"/>
        <w:pageBreakBefore w:val="0"/>
        <w:tabs>
          <w:tab w:val="left" w:pos="9060"/>
        </w:tabs>
        <w:kinsoku/>
        <w:wordWrap/>
        <w:overflowPunct/>
        <w:topLinePunct w:val="0"/>
        <w:bidi w:val="0"/>
        <w:spacing w:line="560" w:lineRule="exact"/>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000000"/>
          <w:sz w:val="32"/>
          <w:szCs w:val="32"/>
          <w:u w:val="none"/>
          <w:lang w:val="en-US" w:eastAsia="zh-CN"/>
        </w:rPr>
        <w:t xml:space="preserve">    </w:t>
      </w:r>
      <w:bookmarkStart w:id="12" w:name="CALCULATE—XZCFJDS—cCfgzwsSdrq"/>
      <w:r>
        <w:rPr>
          <w:rFonts w:hint="eastAsia" w:ascii="仿宋_GB2312" w:hAnsi="仿宋_GB2312" w:eastAsia="仿宋_GB2312" w:cs="仿宋_GB2312"/>
          <w:b w:val="0"/>
          <w:color w:val="000000"/>
          <w:sz w:val="32"/>
          <w:u w:val="none"/>
        </w:rPr>
        <w:t>2026年4月20日</w:t>
      </w:r>
      <w:bookmarkEnd w:id="12"/>
      <w:r>
        <w:rPr>
          <w:rFonts w:hint="eastAsia" w:ascii="仿宋_GB2312" w:hAnsi="仿宋_GB2312" w:eastAsia="仿宋_GB2312" w:cs="仿宋_GB2312"/>
          <w:b w:val="0"/>
          <w:bCs/>
          <w:color w:val="000000"/>
          <w:sz w:val="32"/>
          <w:szCs w:val="32"/>
          <w:u w:val="none"/>
        </w:rPr>
        <w:t>，本局向当事人送达了本案《行政处罚告知书》(</w:t>
      </w:r>
      <w:bookmarkStart w:id="13" w:name="CALCULATE—XZCFJDS—cCfgzSdwswh"/>
      <w:r>
        <w:rPr>
          <w:rFonts w:hint="eastAsia" w:ascii="仿宋_GB2312" w:hAnsi="仿宋_GB2312" w:eastAsia="仿宋_GB2312" w:cs="仿宋_GB2312"/>
          <w:b w:val="0"/>
          <w:color w:val="000000"/>
          <w:sz w:val="32"/>
          <w:u w:val="none"/>
        </w:rPr>
        <w:t>融水市监罚告〔2026〕68号</w:t>
      </w:r>
      <w:bookmarkEnd w:id="13"/>
      <w:r>
        <w:rPr>
          <w:rFonts w:hint="eastAsia" w:ascii="仿宋_GB2312" w:hAnsi="仿宋_GB2312" w:eastAsia="仿宋_GB2312" w:cs="仿宋_GB2312"/>
          <w:b w:val="0"/>
          <w:bCs/>
          <w:color w:val="000000"/>
          <w:sz w:val="32"/>
          <w:szCs w:val="32"/>
          <w:u w:val="none"/>
        </w:rPr>
        <w:t>)，</w:t>
      </w:r>
      <w:bookmarkStart w:id="14" w:name="CALCULATE—XZCFJDS—nTccssb"/>
      <w:r>
        <w:rPr>
          <w:rFonts w:hint="eastAsia" w:ascii="仿宋_GB2312" w:hAnsi="仿宋_GB2312" w:eastAsia="仿宋_GB2312" w:cs="仿宋_GB2312"/>
          <w:b w:val="0"/>
          <w:color w:val="000000"/>
          <w:sz w:val="32"/>
          <w:u w:val="none"/>
        </w:rPr>
        <w:t>当事人在法定期限内未提出任何陈述或申辩</w:t>
      </w:r>
      <w:bookmarkEnd w:id="14"/>
      <w:r>
        <w:rPr>
          <w:rFonts w:hint="eastAsia" w:ascii="仿宋_GB2312" w:hAnsi="仿宋_GB2312" w:eastAsia="仿宋_GB2312" w:cs="仿宋_GB2312"/>
          <w:b w:val="0"/>
          <w:color w:val="000000"/>
          <w:sz w:val="32"/>
          <w:u w:val="none"/>
          <w:lang w:eastAsia="zh-CN"/>
        </w:rPr>
        <w:t>。</w:t>
      </w:r>
      <w:r>
        <w:rPr>
          <w:rFonts w:hint="eastAsia" w:ascii="仿宋_GB2312" w:hAnsi="仿宋_GB2312" w:eastAsia="仿宋_GB2312" w:cs="仿宋_GB2312"/>
          <w:b w:val="0"/>
          <w:bCs/>
          <w:color w:val="000000"/>
          <w:sz w:val="32"/>
          <w:szCs w:val="32"/>
          <w:u w:val="none"/>
        </w:rPr>
        <w:t xml:space="preserve">                     </w:t>
      </w:r>
    </w:p>
    <w:p w14:paraId="36E6D5DF">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仿宋_GB2312"/>
          <w:sz w:val="32"/>
          <w:szCs w:val="32"/>
          <w:u w:val="none"/>
        </w:rPr>
      </w:pPr>
      <w:bookmarkStart w:id="15" w:name="CALCULATE—XZCFJDS—xzcfjdswfxx"/>
      <w:r>
        <w:rPr>
          <w:rFonts w:hint="eastAsia" w:ascii="仿宋_GB2312" w:hAnsi="仿宋_GB2312" w:eastAsia="仿宋_GB2312" w:cs="仿宋_GB2312"/>
          <w:color w:val="000000"/>
          <w:kern w:val="1"/>
          <w:sz w:val="32"/>
          <w:szCs w:val="32"/>
          <w:u w:val="none"/>
        </w:rPr>
        <w:t>本局认为，当事人的上述行为违反了</w:t>
      </w:r>
      <w:r>
        <w:rPr>
          <w:rFonts w:hint="eastAsia" w:ascii="仿宋_GB2312" w:hAnsi="Times New Roman" w:eastAsia="仿宋_GB2312" w:cs="仿宋_GB2312"/>
          <w:color w:val="000000"/>
          <w:sz w:val="32"/>
          <w:u w:val="none"/>
        </w:rPr>
        <w:t>《中华人民共和国烟草专卖法实施条例（2023修订）》第六条第一款“从事烟草专卖品的生产、批发、零售业务，以及经营烟草专卖品进出口业务和经营外国烟草制品购销业务的，必须依照《烟草专卖法》和本条例的规定，申请领取烟草专卖许可证。”的规定，</w:t>
      </w:r>
      <w:r>
        <w:rPr>
          <w:rFonts w:hint="eastAsia" w:ascii="仿宋_GB2312" w:hAnsi="Times New Roman" w:eastAsia="仿宋_GB2312" w:cs="仿宋_GB2312"/>
          <w:color w:val="000000"/>
          <w:sz w:val="32"/>
          <w:u w:val="none"/>
          <w:lang w:eastAsia="zh-CN"/>
        </w:rPr>
        <w:t>构成了无烟草专卖零售许可证经营烟草制品的违法行为。</w:t>
      </w:r>
    </w:p>
    <w:p w14:paraId="20B4CC26">
      <w:pPr>
        <w:pStyle w:val="3"/>
        <w:keepNext w:val="0"/>
        <w:keepLines w:val="0"/>
        <w:pageBreakBefore w:val="0"/>
        <w:kinsoku/>
        <w:wordWrap/>
        <w:overflowPunct/>
        <w:topLinePunct w:val="0"/>
        <w:bidi w:val="0"/>
        <w:spacing w:line="560" w:lineRule="exact"/>
        <w:ind w:firstLine="627" w:firstLineChars="196"/>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Times New Roman" w:eastAsia="仿宋_GB2312" w:cs="仿宋_GB2312"/>
          <w:color w:val="000000"/>
          <w:sz w:val="32"/>
          <w:u w:val="none" w:color="auto"/>
          <w:lang w:eastAsia="zh-CN"/>
        </w:rPr>
        <w:t>依据</w:t>
      </w:r>
      <w:r>
        <w:rPr>
          <w:rFonts w:hint="eastAsia" w:ascii="仿宋_GB2312" w:hAnsi="Times New Roman" w:eastAsia="仿宋_GB2312" w:cs="仿宋_GB2312"/>
          <w:color w:val="000000"/>
          <w:sz w:val="32"/>
          <w:u w:val="none" w:color="auto"/>
        </w:rPr>
        <w:t>《中华人民共和国烟草专卖法实施条例（2023修订）》第五十七条</w:t>
      </w:r>
      <w:r>
        <w:rPr>
          <w:rFonts w:hint="eastAsia" w:ascii="仿宋_GB2312" w:hAnsi="Times New Roman" w:eastAsia="仿宋_GB2312" w:cs="仿宋_GB2312"/>
          <w:color w:val="000000"/>
          <w:sz w:val="32"/>
          <w:u w:val="none" w:color="auto"/>
          <w:lang w:eastAsia="zh-CN"/>
        </w:rPr>
        <w:t>“</w:t>
      </w:r>
      <w:r>
        <w:rPr>
          <w:rFonts w:hint="eastAsia" w:ascii="仿宋_GB2312" w:hAnsi="Times New Roman" w:eastAsia="仿宋_GB2312" w:cs="仿宋_GB2312"/>
          <w:color w:val="000000"/>
          <w:sz w:val="32"/>
          <w:u w:val="none" w:color="auto"/>
        </w:rPr>
        <w:t>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r>
        <w:rPr>
          <w:rFonts w:hint="eastAsia" w:ascii="仿宋_GB2312" w:hAnsi="Times New Roman" w:eastAsia="仿宋_GB2312" w:cs="仿宋_GB2312"/>
          <w:color w:val="000000"/>
          <w:sz w:val="32"/>
          <w:u w:val="none" w:color="auto"/>
          <w:lang w:eastAsia="zh-CN"/>
        </w:rPr>
        <w:t>”的规定</w:t>
      </w:r>
      <w:r>
        <w:rPr>
          <w:rFonts w:hint="eastAsia" w:ascii="仿宋_GB2312" w:hAnsi="Times New Roman" w:eastAsia="仿宋_GB2312" w:cs="仿宋_GB2312"/>
          <w:color w:val="000000"/>
          <w:sz w:val="32"/>
          <w:szCs w:val="32"/>
          <w:u w:val="none" w:color="auto"/>
          <w:lang w:eastAsia="zh-CN"/>
        </w:rPr>
        <w:t>；结合</w:t>
      </w:r>
      <w:r>
        <w:rPr>
          <w:rFonts w:hint="eastAsia" w:ascii="Times New Roman" w:hAnsi="Times New Roman" w:eastAsia="仿宋_GB2312" w:cs="仿宋_GB2312"/>
          <w:color w:val="000000"/>
          <w:sz w:val="32"/>
          <w:u w:val="none" w:color="auto"/>
        </w:rPr>
        <w:t>当事人</w:t>
      </w:r>
      <w:r>
        <w:rPr>
          <w:rFonts w:hint="eastAsia" w:ascii="Times New Roman" w:hAnsi="Times New Roman" w:eastAsia="仿宋_GB2312" w:cs="仿宋_GB2312"/>
          <w:color w:val="000000"/>
          <w:sz w:val="32"/>
          <w:u w:val="none"/>
        </w:rPr>
        <w:t>涉案货值金额为</w:t>
      </w:r>
      <w:r>
        <w:rPr>
          <w:rFonts w:hint="eastAsia" w:ascii="Times New Roman" w:hAnsi="Times New Roman" w:eastAsia="仿宋_GB2312" w:cs="仿宋_GB2312"/>
          <w:color w:val="000000"/>
          <w:sz w:val="32"/>
          <w:u w:val="none" w:color="auto"/>
        </w:rPr>
        <w:t>3326</w:t>
      </w:r>
      <w:r>
        <w:rPr>
          <w:rFonts w:hint="eastAsia" w:ascii="Times New Roman" w:hAnsi="Times New Roman" w:eastAsia="仿宋_GB2312" w:cs="仿宋_GB2312"/>
          <w:color w:val="000000"/>
          <w:sz w:val="32"/>
          <w:u w:val="none"/>
        </w:rPr>
        <w:t>元</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color="auto"/>
          <w:lang w:eastAsia="zh-CN"/>
        </w:rPr>
        <w:t>符合从轻处罚的情形，</w:t>
      </w:r>
      <w:r>
        <w:rPr>
          <w:rFonts w:hint="eastAsia" w:ascii="仿宋_GB2312" w:hAnsi="仿宋_GB2312" w:eastAsia="仿宋_GB2312" w:cs="仿宋_GB2312"/>
          <w:color w:val="000000"/>
          <w:sz w:val="32"/>
          <w:u w:val="none" w:color="auto"/>
          <w:lang w:val="en-US" w:eastAsia="zh-CN"/>
        </w:rPr>
        <w:t>参照《广西壮族自治区市场监督管理行政处罚裁量基准（2023版）》一百二十八、《烟草专卖法实施条例》行政处罚裁量基准“序号1”的“适用情形”中“从轻”的“裁量标准（责令停止经营烟草制品零售业务，没收违法所得，处以违法经营总额20%以上29%以下的罚款）的规定，</w:t>
      </w:r>
      <w:r>
        <w:rPr>
          <w:rFonts w:hint="eastAsia" w:ascii="Times New Roman" w:hAnsi="Times New Roman" w:eastAsia="仿宋_GB2312" w:cs="仿宋_GB2312"/>
          <w:color w:val="000000"/>
          <w:sz w:val="32"/>
          <w:u w:val="none" w:color="auto"/>
          <w:lang w:val="en-US" w:eastAsia="zh-CN"/>
        </w:rPr>
        <w:t>本着过罚相当的原则，综合本案案情，</w:t>
      </w:r>
      <w:r>
        <w:rPr>
          <w:rFonts w:hint="eastAsia" w:ascii="仿宋_GB2312" w:hAnsi="仿宋_GB2312" w:eastAsia="仿宋_GB2312" w:cs="仿宋_GB2312"/>
          <w:b w:val="0"/>
          <w:color w:val="000000"/>
          <w:sz w:val="32"/>
          <w:u w:val="none"/>
        </w:rPr>
        <w:t>本局决定</w:t>
      </w:r>
      <w:r>
        <w:rPr>
          <w:rFonts w:hint="eastAsia" w:ascii="仿宋_GB2312" w:hAnsi="仿宋_GB2312" w:eastAsia="仿宋_GB2312" w:cs="仿宋_GB2312"/>
          <w:b w:val="0"/>
          <w:bCs/>
          <w:color w:val="000000"/>
          <w:sz w:val="32"/>
          <w:szCs w:val="32"/>
          <w:u w:val="none" w:color="auto"/>
        </w:rPr>
        <w:t>责令当事人停止经营烟草制品零售业务，</w:t>
      </w:r>
      <w:r>
        <w:rPr>
          <w:rFonts w:hint="eastAsia" w:ascii="仿宋_GB2312" w:hAnsi="仿宋_GB2312" w:eastAsia="仿宋_GB2312" w:cs="仿宋_GB2312"/>
          <w:b w:val="0"/>
          <w:color w:val="000000"/>
          <w:sz w:val="32"/>
          <w:u w:val="none"/>
        </w:rPr>
        <w:t>并对当事人处以违法经营总额25%的罚款的行政处罚：</w:t>
      </w:r>
      <w:r>
        <w:rPr>
          <w:rFonts w:hint="eastAsia" w:ascii="仿宋_GB2312" w:hAnsi="仿宋_GB2312" w:eastAsia="仿宋_GB2312" w:cs="仿宋_GB2312"/>
          <w:b w:val="0"/>
          <w:color w:val="000000"/>
          <w:sz w:val="32"/>
          <w:u w:val="none"/>
        </w:rPr>
        <w:br w:type="textWrapping"/>
      </w:r>
      <w:r>
        <w:rPr>
          <w:rFonts w:hint="eastAsia" w:ascii="仿宋_GB2312" w:hAnsi="仿宋_GB2312" w:eastAsia="仿宋_GB2312" w:cs="仿宋_GB2312"/>
          <w:b w:val="0"/>
          <w:color w:val="000000"/>
          <w:sz w:val="32"/>
          <w:u w:val="none"/>
          <w:lang w:val="en-US" w:eastAsia="zh-CN"/>
        </w:rPr>
        <w:t xml:space="preserve">    </w:t>
      </w:r>
      <w:r>
        <w:rPr>
          <w:rFonts w:hint="eastAsia" w:ascii="仿宋_GB2312" w:hAnsi="仿宋_GB2312" w:eastAsia="仿宋_GB2312" w:cs="仿宋_GB2312"/>
          <w:b w:val="0"/>
          <w:color w:val="000000"/>
          <w:sz w:val="32"/>
          <w:u w:val="none"/>
        </w:rPr>
        <w:t>罚款人民币捌佰叁拾壹元伍角（￥831.5元）（按违法经营总额25%计）。</w:t>
      </w:r>
      <w:bookmarkEnd w:id="15"/>
    </w:p>
    <w:p w14:paraId="0C76C012">
      <w:pPr>
        <w:pStyle w:val="3"/>
        <w:keepNext w:val="0"/>
        <w:keepLines w:val="0"/>
        <w:pageBreakBefore w:val="0"/>
        <w:widowControl w:val="0"/>
        <w:tabs>
          <w:tab w:val="left" w:pos="9060"/>
        </w:tab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6387976A">
      <w:pPr>
        <w:pStyle w:val="3"/>
        <w:keepNext w:val="0"/>
        <w:keepLines w:val="0"/>
        <w:pageBreakBefore w:val="0"/>
        <w:widowControl w:val="0"/>
        <w:tabs>
          <w:tab w:val="left" w:pos="9060"/>
        </w:tabs>
        <w:kinsoku/>
        <w:wordWrap/>
        <w:overflowPunct/>
        <w:topLinePunct w:val="0"/>
        <w:bidi w:val="0"/>
        <w:snapToGrid/>
        <w:spacing w:line="56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仿宋_GB2312" w:hAnsi="仿宋_GB2312" w:eastAsia="仿宋_GB2312" w:cs="仿宋_GB2312"/>
          <w:b w:val="0"/>
          <w:bCs/>
          <w:color w:val="000000"/>
          <w:sz w:val="32"/>
          <w:szCs w:val="32"/>
          <w:u w:val="none" w:color="auto"/>
          <w:lang w:val="en-US" w:eastAsia="zh-CN"/>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37250953">
      <w:pPr>
        <w:keepNext w:val="0"/>
        <w:keepLines w:val="0"/>
        <w:pageBreakBefore w:val="0"/>
        <w:widowControl/>
        <w:kinsoku/>
        <w:wordWrap/>
        <w:overflowPunct/>
        <w:topLinePunct w:val="0"/>
        <w:bidi w:val="0"/>
        <w:snapToGrid w:val="0"/>
        <w:spacing w:line="560" w:lineRule="exact"/>
        <w:jc w:val="left"/>
        <w:textAlignment w:val="auto"/>
        <w:rPr>
          <w:rFonts w:ascii="Times New Roman" w:hAnsi="Times New Roman" w:eastAsia="仿宋_GB2312" w:cs="仿宋_GB2312"/>
          <w:color w:val="auto"/>
          <w:sz w:val="32"/>
          <w:szCs w:val="32"/>
        </w:rPr>
      </w:pPr>
    </w:p>
    <w:p w14:paraId="382D2F6B">
      <w:pPr>
        <w:keepNext w:val="0"/>
        <w:keepLines w:val="0"/>
        <w:pageBreakBefore w:val="0"/>
        <w:widowControl/>
        <w:kinsoku/>
        <w:wordWrap/>
        <w:overflowPunct/>
        <w:topLinePunct w:val="0"/>
        <w:bidi w:val="0"/>
        <w:snapToGrid w:val="0"/>
        <w:spacing w:line="560" w:lineRule="exact"/>
        <w:ind w:firstLine="6240" w:firstLineChars="1950"/>
        <w:jc w:val="left"/>
        <w:textAlignment w:val="auto"/>
        <w:rPr>
          <w:rFonts w:hint="eastAsia" w:ascii="Times New Roman" w:hAnsi="Times New Roman" w:eastAsia="仿宋_GB2312" w:cs="仿宋_GB2312"/>
          <w:color w:val="auto"/>
          <w:sz w:val="32"/>
          <w:szCs w:val="32"/>
          <w:lang w:val="en-US" w:eastAsia="zh-Hans"/>
        </w:rPr>
      </w:pPr>
    </w:p>
    <w:p w14:paraId="7A7BB550">
      <w:pPr>
        <w:keepNext w:val="0"/>
        <w:keepLines w:val="0"/>
        <w:pageBreakBefore w:val="0"/>
        <w:kinsoku/>
        <w:wordWrap/>
        <w:overflowPunct/>
        <w:topLinePunct w:val="0"/>
        <w:bidi w:val="0"/>
        <w:spacing w:line="560" w:lineRule="exact"/>
        <w:ind w:right="640" w:firstLine="601"/>
        <w:jc w:val="right"/>
        <w:textAlignment w:val="auto"/>
        <w:rPr>
          <w:rFonts w:ascii="Times New Roman" w:hAnsi="Times New Roman" w:eastAsia="仿宋_GB2312" w:cs="仿宋"/>
          <w:color w:val="auto"/>
          <w:sz w:val="32"/>
          <w:szCs w:val="32"/>
        </w:rPr>
      </w:pPr>
      <w:bookmarkStart w:id="16" w:name="DYNAMIC—DWXX—tAj_dwmc—2"/>
      <w:r>
        <w:rPr>
          <w:rFonts w:hint="eastAsia" w:ascii="Times New Roman" w:hAnsi="Times New Roman" w:eastAsia="仿宋_GB2312" w:cs="仿宋"/>
          <w:color w:val="000000"/>
          <w:sz w:val="32"/>
          <w:u w:val="none"/>
        </w:rPr>
        <w:t>融水苗族自治县市场监督管理局</w:t>
      </w:r>
      <w:bookmarkEnd w:id="16"/>
      <w:r>
        <w:rPr>
          <w:rFonts w:hint="eastAsia" w:ascii="Times New Roman" w:hAnsi="Times New Roman" w:eastAsia="仿宋_GB2312" w:cs="仿宋"/>
          <w:color w:val="000000"/>
          <w:sz w:val="32"/>
          <w:szCs w:val="32"/>
          <w:u w:val="none"/>
        </w:rPr>
        <w:t xml:space="preserve">    </w:t>
      </w:r>
    </w:p>
    <w:p w14:paraId="6D324EF9">
      <w:pPr>
        <w:keepNext w:val="0"/>
        <w:keepLines w:val="0"/>
        <w:pageBreakBefore w:val="0"/>
        <w:kinsoku/>
        <w:wordWrap/>
        <w:overflowPunct/>
        <w:topLinePunct w:val="0"/>
        <w:bidi w:val="0"/>
        <w:spacing w:line="560" w:lineRule="exact"/>
        <w:ind w:right="640" w:firstLine="601"/>
        <w:jc w:val="right"/>
        <w:textAlignment w:val="auto"/>
        <w:outlineLvl w:val="1"/>
        <w:rPr>
          <w:rFonts w:ascii="Times New Roman" w:hAnsi="Times New Roman" w:eastAsia="仿宋_GB2312" w:cs="仿宋"/>
          <w:color w:val="auto"/>
          <w:sz w:val="32"/>
          <w:szCs w:val="32"/>
        </w:rPr>
      </w:pPr>
    </w:p>
    <w:p w14:paraId="2B9D235B">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7" w:name="CALCULATE—TIME—NOW"/>
      <w:r>
        <w:rPr>
          <w:rFonts w:ascii="仿宋_GB2312" w:hAnsi="仿宋_GB2312" w:eastAsia="仿宋_GB2312" w:cs="仿宋_GB2312"/>
          <w:sz w:val="32"/>
        </w:rPr>
        <w:t>2026年04月29日</w:t>
      </w:r>
      <w:bookmarkEnd w:id="17"/>
      <w:r>
        <w:rPr>
          <w:rFonts w:hint="eastAsia" w:ascii="Times New Roman" w:hAnsi="Times New Roman" w:eastAsia="仿宋_GB2312" w:cs="仿宋_GB2312"/>
          <w:color w:val="000000"/>
          <w:sz w:val="32"/>
          <w:szCs w:val="32"/>
          <w:u w:val="none"/>
        </w:rPr>
        <w:t xml:space="preserve">  </w:t>
      </w:r>
    </w:p>
    <w:p w14:paraId="494EA377">
      <w:pPr>
        <w:keepNext w:val="0"/>
        <w:keepLines w:val="0"/>
        <w:pageBreakBefore w:val="0"/>
        <w:widowControl/>
        <w:kinsoku/>
        <w:wordWrap/>
        <w:overflowPunct/>
        <w:topLinePunct w:val="0"/>
        <w:bidi w:val="0"/>
        <w:snapToGrid w:val="0"/>
        <w:spacing w:line="560" w:lineRule="exact"/>
        <w:jc w:val="right"/>
        <w:textAlignment w:val="auto"/>
        <w:rPr>
          <w:rFonts w:ascii="Times New Roman" w:hAnsi="Times New Roman" w:eastAsia="仿宋_GB2312" w:cs="Mongolian Baiti"/>
          <w:color w:val="auto"/>
          <w:sz w:val="32"/>
          <w:szCs w:val="32"/>
        </w:rPr>
      </w:pPr>
    </w:p>
    <w:p w14:paraId="09D3F4B4">
      <w:pPr>
        <w:keepNext w:val="0"/>
        <w:keepLines w:val="0"/>
        <w:pageBreakBefore w:val="0"/>
        <w:widowControl/>
        <w:kinsoku/>
        <w:wordWrap/>
        <w:overflowPunct/>
        <w:topLinePunct w:val="0"/>
        <w:bidi w:val="0"/>
        <w:snapToGrid w:val="0"/>
        <w:spacing w:line="560" w:lineRule="exact"/>
        <w:jc w:val="right"/>
        <w:textAlignment w:val="auto"/>
        <w:rPr>
          <w:rFonts w:ascii="Times New Roman" w:hAnsi="Times New Roman" w:eastAsia="仿宋_GB2312" w:cs="Mongolian Baiti"/>
          <w:color w:val="auto"/>
          <w:sz w:val="32"/>
          <w:szCs w:val="32"/>
        </w:rPr>
      </w:pPr>
    </w:p>
    <w:p w14:paraId="642EB113">
      <w:pPr>
        <w:keepNext w:val="0"/>
        <w:keepLines w:val="0"/>
        <w:pageBreakBefore w:val="0"/>
        <w:widowControl/>
        <w:kinsoku/>
        <w:wordWrap/>
        <w:overflowPunct/>
        <w:topLinePunct w:val="0"/>
        <w:bidi w:val="0"/>
        <w:snapToGrid w:val="0"/>
        <w:spacing w:line="560" w:lineRule="exact"/>
        <w:jc w:val="right"/>
        <w:textAlignment w:val="auto"/>
        <w:rPr>
          <w:rFonts w:ascii="Times New Roman" w:hAnsi="Times New Roman" w:eastAsia="仿宋_GB2312" w:cs="Mongolian Baiti"/>
          <w:color w:val="auto"/>
          <w:sz w:val="32"/>
          <w:szCs w:val="32"/>
        </w:rPr>
      </w:pPr>
    </w:p>
    <w:p w14:paraId="45EA8E4E">
      <w:pPr>
        <w:pStyle w:val="3"/>
        <w:keepNext w:val="0"/>
        <w:keepLines w:val="0"/>
        <w:pageBreakBefore w:val="0"/>
        <w:kinsoku/>
        <w:wordWrap/>
        <w:overflowPunct/>
        <w:topLinePunct w:val="0"/>
        <w:bidi w:val="0"/>
        <w:spacing w:before="1" w:line="560" w:lineRule="exact"/>
        <w:ind w:left="163"/>
        <w:textAlignment w:val="auto"/>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1B45945F">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8F9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7025A">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67025A">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E8C4899"/>
    <w:rsid w:val="0FB748D6"/>
    <w:rsid w:val="103E22C5"/>
    <w:rsid w:val="11524677"/>
    <w:rsid w:val="115320F9"/>
    <w:rsid w:val="119E3BCA"/>
    <w:rsid w:val="1350279A"/>
    <w:rsid w:val="13A9082F"/>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512F24"/>
    <w:rsid w:val="258D6CE0"/>
    <w:rsid w:val="27A45517"/>
    <w:rsid w:val="28777ADE"/>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4FB15DF7"/>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30CB4"/>
    <w:rsid w:val="7DA813EB"/>
    <w:rsid w:val="7DFF108F"/>
    <w:rsid w:val="7EED8AE6"/>
    <w:rsid w:val="7F5A6980"/>
    <w:rsid w:val="7FB268E8"/>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Plain Text"/>
    <w:basedOn w:val="1"/>
    <w:qFormat/>
    <w:uiPriority w:val="0"/>
    <w:rPr>
      <w:rFonts w:ascii="宋体" w:hAnsi="Courier New"/>
      <w:szCs w:val="21"/>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2393</Words>
  <Characters>2535</Characters>
  <Lines>0</Lines>
  <Paragraphs>0</Paragraphs>
  <TotalTime>0</TotalTime>
  <ScaleCrop>false</ScaleCrop>
  <LinksUpToDate>false</LinksUpToDate>
  <CharactersWithSpaces>3033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2026-05-21T03:04:49Z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eyJoZGlkIjoiZjk4ZDcwZTQxMjQ0MjJhYzYxZjE1ZmRmMWU4N2I3ODIifQ==</vt:lpwstr>
  </property>
</Properties>
</file>