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19F13">
      <w:pPr>
        <w:numPr>
          <w:ilvl w:val="0"/>
          <w:numId w:val="2"/>
        </w:numPr>
        <w:spacing w:line="640" w:lineRule="exact"/>
        <w:jc w:val="center"/>
        <w:outlineLvl w:val="0"/>
        <w:rPr>
          <w:rFonts w:hint="eastAsia" w:ascii="方正小标宋简体" w:hAnsi="方正小标宋简体" w:eastAsia="方正小标宋简体" w:cs="方正小标宋简体"/>
          <w:color w:val="auto"/>
          <w:sz w:val="44"/>
          <w:szCs w:val="44"/>
        </w:rPr>
      </w:pPr>
      <w:bookmarkStart w:id="0" w:name="DYNAMIC—DWXX—tAj_dwmc"/>
      <w:r>
        <w:rPr>
          <w:rFonts w:hint="default" w:ascii="方正小标宋简体" w:hAnsi="方正小标宋简体" w:eastAsia="方正小标宋简体" w:cs="方正小标宋简体"/>
          <w:color w:val="000000"/>
          <w:sz w:val="44"/>
          <w:u w:val="none"/>
        </w:rPr>
        <w:t>融水苗族自治县市场监督管理局</w:t>
      </w:r>
      <w:bookmarkEnd w:id="0"/>
    </w:p>
    <w:p w14:paraId="73B5CC66">
      <w:pPr>
        <w:pStyle w:val="3"/>
        <w:keepNext w:val="0"/>
        <w:numPr>
          <w:ilvl w:val="0"/>
          <w:numId w:val="2"/>
        </w:numPr>
        <w:spacing w:before="0" w:after="0" w:line="640" w:lineRule="exact"/>
        <w:jc w:val="center"/>
        <w:rPr>
          <w:rFonts w:hint="eastAsia" w:eastAsia="方正小标宋简体" w:cs="方正小标宋简体"/>
          <w:color w:val="auto"/>
          <w:sz w:val="44"/>
          <w:szCs w:val="44"/>
        </w:rPr>
      </w:pPr>
      <w:bookmarkStart w:id="1" w:name="_Toc76683344"/>
      <w:r>
        <w:rPr>
          <w:rFonts w:hint="eastAsia" w:hAnsi="方正小标宋简体" w:eastAsia="方正小标宋简体" w:cs="方正小标宋简体"/>
          <w:color w:val="000000"/>
          <w:sz w:val="44"/>
          <w:szCs w:val="44"/>
          <w:u w:val="none"/>
          <w:lang w:val="en-US"/>
        </w:rPr>
        <w:t>行政处罚</w:t>
      </w:r>
      <w:r>
        <w:rPr>
          <w:rFonts w:hint="eastAsia" w:hAnsi="方正小标宋简体" w:eastAsia="方正小标宋简体" w:cs="方正小标宋简体"/>
          <w:color w:val="000000"/>
          <w:sz w:val="44"/>
          <w:szCs w:val="44"/>
          <w:u w:val="none"/>
          <w:lang w:val="en-US" w:eastAsia="zh-Hans"/>
        </w:rPr>
        <w:t>决定</w:t>
      </w:r>
      <w:r>
        <w:rPr>
          <w:rFonts w:hint="eastAsia" w:hAnsi="方正小标宋简体" w:eastAsia="方正小标宋简体" w:cs="方正小标宋简体"/>
          <w:color w:val="000000"/>
          <w:sz w:val="44"/>
          <w:szCs w:val="44"/>
          <w:u w:val="none"/>
          <w:lang w:val="en-US"/>
        </w:rPr>
        <w:t>书</w:t>
      </w:r>
      <w:bookmarkEnd w:id="1"/>
    </w:p>
    <w:p w14:paraId="530A5AFF">
      <w:pPr>
        <w:widowControl/>
        <w:snapToGrid w:val="0"/>
        <w:spacing w:line="560" w:lineRule="exact"/>
        <w:ind w:right="55"/>
        <w:jc w:val="center"/>
        <w:outlineLvl w:val="1"/>
        <w:rPr>
          <w:rFonts w:hint="eastAsia" w:ascii="Times New Roman" w:hAnsi="仿宋_GB2312" w:eastAsia="仿宋_GB2312" w:cs="仿宋_GB2312"/>
          <w:bCs/>
          <w:color w:val="auto"/>
          <w:sz w:val="32"/>
          <w:szCs w:val="32"/>
        </w:rPr>
      </w:pPr>
      <w:bookmarkStart w:id="2" w:name="tAj_wh"/>
      <w:r>
        <w:rPr>
          <w:rFonts w:hint="eastAsia" w:ascii="Times New Roman" w:hAnsi="Times New Roman" w:eastAsia="仿宋_GB2312" w:cs="Mongolian Baiti"/>
          <w:color w:val="000000"/>
          <w:sz w:val="32"/>
          <w:u w:val="none"/>
        </w:rPr>
        <w:t>融水市监处罚〔2026〕33号</w:t>
      </w:r>
      <w:bookmarkEnd w:id="2"/>
    </w:p>
    <w:p w14:paraId="6099CB1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当事人：</w:t>
      </w:r>
      <w:bookmarkStart w:id="3" w:name="CALCULATE—DSR—tAjDsrs_cMc"/>
      <w:r>
        <w:rPr>
          <w:rFonts w:hint="eastAsia" w:ascii="仿宋_GB2312" w:hAnsi="仿宋_GB2312" w:eastAsia="仿宋_GB2312" w:cs="仿宋_GB2312"/>
          <w:b w:val="0"/>
          <w:bCs/>
          <w:color w:val="000000"/>
          <w:kern w:val="1"/>
          <w:sz w:val="32"/>
          <w:szCs w:val="32"/>
          <w:u w:val="none"/>
        </w:rPr>
        <w:t>融水县拱洞乡锋建食品店</w:t>
      </w:r>
      <w:bookmarkEnd w:id="3"/>
    </w:p>
    <w:p w14:paraId="1942BA0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主体资格证照名称：</w:t>
      </w:r>
      <w:bookmarkStart w:id="4" w:name="CALCULATE—DSR—tAjDsrs_cZtzgzzmc"/>
      <w:r>
        <w:rPr>
          <w:rFonts w:hint="eastAsia" w:ascii="仿宋_GB2312" w:hAnsi="仿宋_GB2312" w:eastAsia="仿宋_GB2312" w:cs="仿宋_GB2312"/>
          <w:b w:val="0"/>
          <w:bCs/>
          <w:color w:val="000000"/>
          <w:kern w:val="1"/>
          <w:sz w:val="32"/>
          <w:szCs w:val="32"/>
          <w:u w:val="none"/>
        </w:rPr>
        <w:t>营业执照</w:t>
      </w:r>
      <w:bookmarkEnd w:id="4"/>
      <w:r>
        <w:rPr>
          <w:rFonts w:hint="eastAsia" w:ascii="仿宋_GB2312" w:hAnsi="仿宋_GB2312" w:eastAsia="仿宋_GB2312" w:cs="仿宋_GB2312"/>
          <w:b w:val="0"/>
          <w:bCs/>
          <w:color w:val="000000"/>
          <w:kern w:val="1"/>
          <w:sz w:val="32"/>
          <w:szCs w:val="32"/>
          <w:u w:val="none"/>
        </w:rPr>
        <w:t xml:space="preserve"> </w:t>
      </w:r>
    </w:p>
    <w:p w14:paraId="09F25CA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统一社会信用代码：</w:t>
      </w:r>
      <w:bookmarkStart w:id="5" w:name="CALCULATE—DSR—tAjDsrs_cTzshxydm"/>
      <w:r>
        <w:rPr>
          <w:rFonts w:hint="eastAsia" w:ascii="仿宋_GB2312" w:hAnsi="仿宋_GB2312" w:eastAsia="仿宋_GB2312" w:cs="仿宋_GB2312"/>
          <w:b w:val="0"/>
          <w:bCs/>
          <w:color w:val="000000"/>
          <w:kern w:val="1"/>
          <w:sz w:val="32"/>
          <w:szCs w:val="32"/>
          <w:u w:val="none"/>
        </w:rPr>
        <w:t>92450225MA5L05GK46</w:t>
      </w:r>
      <w:bookmarkEnd w:id="5"/>
      <w:r>
        <w:rPr>
          <w:rFonts w:hint="eastAsia" w:ascii="仿宋_GB2312" w:hAnsi="仿宋_GB2312" w:eastAsia="仿宋_GB2312" w:cs="仿宋_GB2312"/>
          <w:b w:val="0"/>
          <w:bCs/>
          <w:color w:val="000000"/>
          <w:kern w:val="1"/>
          <w:sz w:val="32"/>
          <w:szCs w:val="32"/>
          <w:u w:val="none"/>
        </w:rPr>
        <w:t xml:space="preserve"> </w:t>
      </w:r>
    </w:p>
    <w:p w14:paraId="6F11C8F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000000"/>
          <w:kern w:val="1"/>
          <w:sz w:val="32"/>
          <w:szCs w:val="32"/>
          <w:u w:val="none"/>
          <w:lang w:val="en-US" w:eastAsia="zh-CN"/>
        </w:rPr>
      </w:pPr>
      <w:r>
        <w:rPr>
          <w:rFonts w:hint="eastAsia" w:ascii="仿宋_GB2312" w:hAnsi="仿宋_GB2312" w:eastAsia="仿宋_GB2312" w:cs="仿宋_GB2312"/>
          <w:b w:val="0"/>
          <w:bCs/>
          <w:color w:val="000000"/>
          <w:kern w:val="1"/>
          <w:sz w:val="32"/>
          <w:szCs w:val="32"/>
          <w:u w:val="none"/>
        </w:rPr>
        <w:t>住所（住址）：</w:t>
      </w:r>
      <w:bookmarkStart w:id="6" w:name="CALCULATE—DSR—tAjDsrs_cLxdzSheng"/>
      <w:r>
        <w:rPr>
          <w:rFonts w:hint="eastAsia" w:ascii="仿宋_GB2312" w:hAnsi="仿宋_GB2312" w:eastAsia="仿宋_GB2312" w:cs="仿宋_GB2312"/>
          <w:b w:val="0"/>
          <w:bCs/>
          <w:color w:val="000000"/>
          <w:kern w:val="1"/>
          <w:sz w:val="32"/>
          <w:szCs w:val="32"/>
          <w:u w:val="none"/>
        </w:rPr>
        <w:t>广西壮族自治区柳州市融水苗族自治县广西柳州市融水县拱洞乡</w:t>
      </w:r>
      <w:bookmarkEnd w:id="6"/>
      <w:r>
        <w:rPr>
          <w:rFonts w:hint="eastAsia" w:ascii="仿宋_GB2312" w:hAnsi="仿宋_GB2312" w:eastAsia="仿宋_GB2312" w:cs="仿宋_GB2312"/>
          <w:b w:val="0"/>
          <w:bCs/>
          <w:color w:val="000000"/>
          <w:kern w:val="1"/>
          <w:sz w:val="32"/>
          <w:szCs w:val="32"/>
          <w:u w:val="none"/>
          <w:lang w:val="en-US" w:eastAsia="zh-CN"/>
        </w:rPr>
        <w:t>******</w:t>
      </w:r>
    </w:p>
    <w:p w14:paraId="7B44CC18">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lang w:eastAsia="zh-CN"/>
        </w:rPr>
        <w:t>经营者</w:t>
      </w:r>
      <w:r>
        <w:rPr>
          <w:rFonts w:hint="eastAsia" w:ascii="仿宋_GB2312" w:hAnsi="仿宋_GB2312" w:eastAsia="仿宋_GB2312" w:cs="仿宋_GB2312"/>
          <w:b w:val="0"/>
          <w:bCs/>
          <w:color w:val="000000"/>
          <w:kern w:val="1"/>
          <w:sz w:val="32"/>
          <w:szCs w:val="32"/>
          <w:u w:val="none"/>
        </w:rPr>
        <w:t>：</w:t>
      </w:r>
      <w:bookmarkStart w:id="7" w:name="CALCULATE—DSR—tAjDsrs_cFddbr"/>
      <w:r>
        <w:rPr>
          <w:rFonts w:hint="eastAsia" w:ascii="仿宋_GB2312" w:hAnsi="仿宋_GB2312" w:eastAsia="仿宋_GB2312" w:cs="仿宋_GB2312"/>
          <w:b w:val="0"/>
          <w:bCs/>
          <w:color w:val="000000"/>
          <w:kern w:val="1"/>
          <w:sz w:val="32"/>
          <w:szCs w:val="32"/>
          <w:u w:val="none"/>
        </w:rPr>
        <w:t>杨新明</w:t>
      </w:r>
      <w:bookmarkEnd w:id="7"/>
      <w:r>
        <w:rPr>
          <w:rFonts w:hint="eastAsia" w:ascii="仿宋_GB2312" w:hAnsi="仿宋_GB2312" w:eastAsia="仿宋_GB2312" w:cs="仿宋_GB2312"/>
          <w:b w:val="0"/>
          <w:bCs/>
          <w:color w:val="000000"/>
          <w:kern w:val="1"/>
          <w:sz w:val="32"/>
          <w:szCs w:val="32"/>
          <w:u w:val="none"/>
        </w:rPr>
        <w:t xml:space="preserve"> </w:t>
      </w:r>
    </w:p>
    <w:p w14:paraId="04705AE5">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身份证件号码：</w:t>
      </w:r>
      <w:bookmarkStart w:id="8" w:name="CALCULATE—DSR—tAjDsrs_cZjhm"/>
      <w:r>
        <w:rPr>
          <w:rFonts w:hint="eastAsia" w:ascii="仿宋_GB2312" w:hAnsi="仿宋_GB2312" w:eastAsia="仿宋_GB2312" w:cs="仿宋_GB2312"/>
          <w:b w:val="0"/>
          <w:bCs/>
          <w:color w:val="000000"/>
          <w:kern w:val="1"/>
          <w:sz w:val="32"/>
          <w:szCs w:val="32"/>
          <w:u w:val="none"/>
        </w:rPr>
        <w:t>452229197511</w:t>
      </w:r>
      <w:bookmarkEnd w:id="8"/>
      <w:r>
        <w:rPr>
          <w:rFonts w:hint="eastAsia" w:ascii="仿宋_GB2312" w:hAnsi="仿宋_GB2312" w:eastAsia="仿宋_GB2312" w:cs="仿宋_GB2312"/>
          <w:b w:val="0"/>
          <w:bCs/>
          <w:color w:val="000000"/>
          <w:kern w:val="1"/>
          <w:sz w:val="32"/>
          <w:szCs w:val="32"/>
          <w:u w:val="none"/>
          <w:lang w:val="en-US" w:eastAsia="zh-CN"/>
        </w:rPr>
        <w:t>******</w:t>
      </w:r>
    </w:p>
    <w:p w14:paraId="48F69CE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bookmarkStart w:id="9" w:name="CALCULATE—AYHC—tAjHc_cHcqkjlaay"/>
      <w:r>
        <w:rPr>
          <w:rFonts w:hint="eastAsia" w:ascii="仿宋_GB2312" w:hAnsi="仿宋_GB2312" w:eastAsia="仿宋_GB2312" w:cs="仿宋_GB2312"/>
          <w:b w:val="0"/>
          <w:bCs/>
          <w:color w:val="000000"/>
          <w:kern w:val="1"/>
          <w:sz w:val="32"/>
          <w:szCs w:val="32"/>
          <w:u w:val="none"/>
        </w:rPr>
        <w:t>2026年1月27日，本局执法人员到位于融水县拱洞乡</w:t>
      </w:r>
      <w:r>
        <w:rPr>
          <w:rFonts w:hint="eastAsia"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的融水县拱洞乡锋建食品店开展执法检查，当事人持有有效《营业执照》一本。执法人员在当事人经营场所的销售货架上检查发现有“康师傅®老坛酸菜牛肉面”等23个品种的预包装食品超过保质期，当事人现场未能提供上述过期食品的供货者资质材料、购销票据台账。经本局领导批准，执法人员现场对检查发现的过期食品采取扣押强制措施，向当事人下达《实施行政强制措施决定书》（融水市监强制〔2026〕11号）及《财物清单》。</w:t>
      </w:r>
      <w:bookmarkEnd w:id="9"/>
      <w:r>
        <w:rPr>
          <w:rFonts w:hint="eastAsia" w:ascii="仿宋_GB2312" w:hAnsi="仿宋_GB2312" w:eastAsia="仿宋_GB2312" w:cs="仿宋_GB2312"/>
          <w:b w:val="0"/>
          <w:bCs/>
          <w:color w:val="000000"/>
          <w:kern w:val="1"/>
          <w:sz w:val="32"/>
          <w:szCs w:val="32"/>
          <w:u w:val="none"/>
        </w:rPr>
        <w:t>当事人的行为涉嫌违反了《食品安全法》第三十四条第（十）项的规定，</w:t>
      </w:r>
      <w:r>
        <w:rPr>
          <w:rFonts w:hint="eastAsia" w:ascii="仿宋_GB2312" w:hAnsi="仿宋_GB2312" w:eastAsia="仿宋_GB2312" w:cs="仿宋_GB2312"/>
          <w:b w:val="0"/>
          <w:bCs/>
          <w:color w:val="000000"/>
          <w:kern w:val="1"/>
          <w:sz w:val="32"/>
          <w:szCs w:val="32"/>
          <w:u w:val="none"/>
          <w:lang w:eastAsia="zh-CN"/>
        </w:rPr>
        <w:t>经本局领导审批同意，于</w:t>
      </w:r>
      <w:r>
        <w:rPr>
          <w:rFonts w:hint="eastAsia" w:ascii="仿宋_GB2312" w:hAnsi="仿宋_GB2312" w:eastAsia="仿宋_GB2312" w:cs="仿宋_GB2312"/>
          <w:b w:val="0"/>
          <w:bCs/>
          <w:color w:val="000000"/>
          <w:kern w:val="1"/>
          <w:sz w:val="32"/>
          <w:szCs w:val="32"/>
          <w:u w:val="none"/>
          <w:lang w:val="en-US" w:eastAsia="zh-CN"/>
        </w:rPr>
        <w:t>2026年1月29日对当事人</w:t>
      </w:r>
      <w:r>
        <w:rPr>
          <w:rFonts w:hint="eastAsia" w:ascii="仿宋_GB2312" w:hAnsi="仿宋_GB2312" w:eastAsia="仿宋_GB2312" w:cs="仿宋_GB2312"/>
          <w:b w:val="0"/>
          <w:bCs/>
          <w:color w:val="000000"/>
          <w:kern w:val="1"/>
          <w:sz w:val="32"/>
          <w:szCs w:val="32"/>
          <w:u w:val="none"/>
        </w:rPr>
        <w:t>立案调查。2026年2月26 日，当事人经营者杨新明到本局拱洞市场监管所接受询问调查，提供了相关证据材料，供述被查获过期食品的购销单价及购进途径，但未能提供供货者的资质材料和进货票据。</w:t>
      </w:r>
    </w:p>
    <w:p w14:paraId="13203D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bookmarkStart w:id="10" w:name="CALCULATE—AJCF—tAjCfes_cAjss"/>
      <w:r>
        <w:rPr>
          <w:rFonts w:hint="eastAsia" w:ascii="仿宋_GB2312" w:hAnsi="仿宋_GB2312" w:eastAsia="仿宋_GB2312" w:cs="仿宋_GB2312"/>
          <w:b w:val="0"/>
          <w:bCs/>
          <w:color w:val="000000"/>
          <w:kern w:val="1"/>
          <w:sz w:val="32"/>
          <w:szCs w:val="32"/>
          <w:u w:val="none"/>
        </w:rPr>
        <w:t>经查，当事人于2017年2月24日取得营业执照在融水县拱洞乡</w:t>
      </w:r>
      <w:r>
        <w:rPr>
          <w:rFonts w:hint="eastAsia"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开展经营活动，经营范围：食品、日用百货、日用杂品、禽畜肉类、水果、家禽零售。2026年1月27日，本局执法人员到当事人经营场所开展执法检查，在当事人销售货架上</w:t>
      </w:r>
      <w:r>
        <w:rPr>
          <w:rFonts w:hint="eastAsia" w:ascii="仿宋_GB2312" w:hAnsi="仿宋_GB2312" w:eastAsia="仿宋_GB2312" w:cs="仿宋_GB2312"/>
          <w:b w:val="0"/>
          <w:bCs/>
          <w:color w:val="000000"/>
          <w:kern w:val="1"/>
          <w:sz w:val="32"/>
          <w:szCs w:val="32"/>
          <w:u w:val="none"/>
          <w:lang w:eastAsia="zh-CN"/>
        </w:rPr>
        <w:t>查获</w:t>
      </w:r>
      <w:r>
        <w:rPr>
          <w:rFonts w:hint="eastAsia" w:ascii="仿宋_GB2312" w:hAnsi="仿宋_GB2312" w:eastAsia="仿宋_GB2312" w:cs="仿宋_GB2312"/>
          <w:b w:val="0"/>
          <w:bCs/>
          <w:color w:val="000000"/>
          <w:kern w:val="1"/>
          <w:sz w:val="32"/>
          <w:szCs w:val="32"/>
          <w:u w:val="none"/>
        </w:rPr>
        <w:t>“康师傅老坛酸菜牛肉面”等23个品种超过保质期的预包装食品，当事人未能提供过期食品的供货者资质材料及购进票据。经核实，当事人销售的过期食品货值为1376元。由于当事人未能提供购进票据及销售台账记录，无法查明当事人在上述预包装食品在超过保质期后的销售情况，该案违法所得无法计算，以现场检查发现的超过保质期食品的销售货值1376元认定为该案的涉案货值。</w:t>
      </w:r>
      <w:bookmarkEnd w:id="10"/>
      <w:r>
        <w:rPr>
          <w:rFonts w:hint="eastAsia" w:ascii="仿宋_GB2312" w:hAnsi="仿宋_GB2312" w:eastAsia="仿宋_GB2312" w:cs="仿宋_GB2312"/>
          <w:b w:val="0"/>
          <w:bCs/>
          <w:color w:val="000000"/>
          <w:kern w:val="1"/>
          <w:sz w:val="32"/>
          <w:szCs w:val="32"/>
          <w:u w:val="none"/>
          <w:lang w:val="en-US" w:eastAsia="zh-CN"/>
        </w:rPr>
        <w:t xml:space="preserve"> </w:t>
      </w:r>
    </w:p>
    <w:p w14:paraId="21AE055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rPr>
      </w:pPr>
      <w:r>
        <w:rPr>
          <w:rFonts w:hint="eastAsia" w:ascii="仿宋_GB2312" w:hAnsi="仿宋_GB2312" w:eastAsia="仿宋_GB2312" w:cs="仿宋_GB2312"/>
          <w:b w:val="0"/>
          <w:bCs/>
          <w:color w:val="000000"/>
          <w:kern w:val="1"/>
          <w:sz w:val="32"/>
          <w:szCs w:val="32"/>
          <w:u w:val="none"/>
        </w:rPr>
        <w:t>上述事实，主要有以下证据证明：</w:t>
      </w:r>
    </w:p>
    <w:p w14:paraId="08327BC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bookmarkStart w:id="11" w:name="CALCULATE—ZJCL—tajCltjes_zjclxx"/>
      <w:r>
        <w:rPr>
          <w:rFonts w:hint="eastAsia" w:ascii="仿宋_GB2312" w:hAnsi="仿宋_GB2312" w:eastAsia="仿宋_GB2312" w:cs="仿宋_GB2312"/>
          <w:b w:val="0"/>
          <w:bCs/>
          <w:color w:val="000000"/>
          <w:kern w:val="1"/>
          <w:sz w:val="32"/>
          <w:szCs w:val="32"/>
          <w:u w:val="none"/>
        </w:rPr>
        <w:t>1.现场笔录；</w:t>
      </w:r>
      <w:r>
        <w:rPr>
          <w:rFonts w:hint="eastAsia" w:ascii="仿宋_GB2312" w:hAnsi="仿宋_GB2312" w:eastAsia="仿宋_GB2312" w:cs="仿宋_GB2312"/>
          <w:b w:val="0"/>
          <w:bCs/>
          <w:color w:val="000000"/>
          <w:kern w:val="1"/>
          <w:sz w:val="32"/>
          <w:szCs w:val="32"/>
          <w:u w:val="none"/>
        </w:rPr>
        <w:br w:type="textWrapping"/>
      </w:r>
      <w:r>
        <w:rPr>
          <w:rFonts w:hint="eastAsia" w:ascii="仿宋_GB2312" w:hAnsi="仿宋_GB2312" w:eastAsia="仿宋_GB2312" w:cs="仿宋_GB2312"/>
          <w:b w:val="0"/>
          <w:bCs/>
          <w:color w:val="000000"/>
          <w:kern w:val="1"/>
          <w:sz w:val="32"/>
          <w:szCs w:val="32"/>
          <w:u w:val="none"/>
        </w:rPr>
        <w:t>　　2.行政检查审批表及通知书；</w:t>
      </w:r>
      <w:r>
        <w:rPr>
          <w:rFonts w:hint="eastAsia" w:ascii="仿宋_GB2312" w:hAnsi="仿宋_GB2312" w:eastAsia="仿宋_GB2312" w:cs="仿宋_GB2312"/>
          <w:b w:val="0"/>
          <w:bCs/>
          <w:color w:val="000000"/>
          <w:kern w:val="1"/>
          <w:sz w:val="32"/>
          <w:szCs w:val="32"/>
          <w:u w:val="none"/>
        </w:rPr>
        <w:br w:type="textWrapping"/>
      </w:r>
      <w:r>
        <w:rPr>
          <w:rFonts w:hint="eastAsia" w:ascii="仿宋_GB2312" w:hAnsi="仿宋_GB2312" w:eastAsia="仿宋_GB2312" w:cs="仿宋_GB2312"/>
          <w:b w:val="0"/>
          <w:bCs/>
          <w:color w:val="000000"/>
          <w:kern w:val="1"/>
          <w:sz w:val="32"/>
          <w:szCs w:val="32"/>
          <w:u w:val="none"/>
        </w:rPr>
        <w:t>　　3.询问笔录；</w:t>
      </w:r>
      <w:r>
        <w:rPr>
          <w:rFonts w:hint="eastAsia" w:ascii="仿宋_GB2312" w:hAnsi="仿宋_GB2312" w:eastAsia="仿宋_GB2312" w:cs="仿宋_GB2312"/>
          <w:b w:val="0"/>
          <w:bCs/>
          <w:color w:val="000000"/>
          <w:kern w:val="1"/>
          <w:sz w:val="32"/>
          <w:szCs w:val="32"/>
          <w:u w:val="none"/>
        </w:rPr>
        <w:br w:type="textWrapping"/>
      </w:r>
      <w:r>
        <w:rPr>
          <w:rFonts w:hint="eastAsia" w:ascii="仿宋_GB2312" w:hAnsi="仿宋_GB2312" w:eastAsia="仿宋_GB2312" w:cs="仿宋_GB2312"/>
          <w:b w:val="0"/>
          <w:bCs/>
          <w:color w:val="000000"/>
          <w:kern w:val="1"/>
          <w:sz w:val="32"/>
          <w:szCs w:val="32"/>
          <w:u w:val="none"/>
        </w:rPr>
        <w:t>　　4.证据提取单（过期食品图片）；</w:t>
      </w:r>
      <w:r>
        <w:rPr>
          <w:rFonts w:hint="eastAsia" w:ascii="仿宋_GB2312" w:hAnsi="仿宋_GB2312" w:eastAsia="仿宋_GB2312" w:cs="仿宋_GB2312"/>
          <w:b w:val="0"/>
          <w:bCs/>
          <w:color w:val="000000"/>
          <w:kern w:val="1"/>
          <w:sz w:val="32"/>
          <w:szCs w:val="32"/>
          <w:u w:val="none"/>
        </w:rPr>
        <w:br w:type="textWrapping"/>
      </w:r>
      <w:r>
        <w:rPr>
          <w:rFonts w:hint="eastAsia" w:ascii="仿宋_GB2312" w:hAnsi="仿宋_GB2312" w:eastAsia="仿宋_GB2312" w:cs="仿宋_GB2312"/>
          <w:b w:val="0"/>
          <w:bCs/>
          <w:color w:val="000000"/>
          <w:kern w:val="1"/>
          <w:sz w:val="32"/>
          <w:szCs w:val="32"/>
          <w:u w:val="none"/>
        </w:rPr>
        <w:t>　　5.证据提取单（当事人营业执照）及经营者居民身份证复印件；</w:t>
      </w:r>
      <w:bookmarkEnd w:id="11"/>
      <w:r>
        <w:rPr>
          <w:rFonts w:hint="eastAsia" w:ascii="仿宋_GB2312" w:hAnsi="仿宋_GB2312" w:eastAsia="仿宋_GB2312" w:cs="仿宋_GB2312"/>
          <w:b w:val="0"/>
          <w:bCs/>
          <w:color w:val="000000"/>
          <w:kern w:val="1"/>
          <w:sz w:val="32"/>
          <w:szCs w:val="32"/>
          <w:u w:val="none"/>
          <w:lang w:val="en-US" w:eastAsia="zh-CN"/>
        </w:rPr>
        <w:t xml:space="preserve"> </w:t>
      </w:r>
    </w:p>
    <w:p w14:paraId="1531CE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bookmarkStart w:id="12" w:name="CALCULATE—XZCFJDS—cCfgzwsSdrq"/>
      <w:r>
        <w:rPr>
          <w:rFonts w:hint="eastAsia" w:ascii="仿宋_GB2312" w:hAnsi="仿宋_GB2312" w:eastAsia="仿宋_GB2312" w:cs="仿宋_GB2312"/>
          <w:b w:val="0"/>
          <w:bCs/>
          <w:color w:val="000000"/>
          <w:kern w:val="1"/>
          <w:sz w:val="32"/>
          <w:szCs w:val="32"/>
          <w:u w:val="none"/>
        </w:rPr>
        <w:t>2026年2月28日</w:t>
      </w:r>
      <w:bookmarkEnd w:id="12"/>
      <w:r>
        <w:rPr>
          <w:rFonts w:hint="eastAsia" w:ascii="仿宋_GB2312" w:hAnsi="仿宋_GB2312" w:eastAsia="仿宋_GB2312" w:cs="仿宋_GB2312"/>
          <w:b w:val="0"/>
          <w:bCs/>
          <w:color w:val="000000"/>
          <w:kern w:val="1"/>
          <w:sz w:val="32"/>
          <w:szCs w:val="32"/>
          <w:u w:val="none"/>
        </w:rPr>
        <w:t>，本局向当事人送达了本案《行政处罚告知书》(</w:t>
      </w:r>
      <w:bookmarkStart w:id="13" w:name="CALCULATE—XZCFJDS—cCfgzSdwswh"/>
      <w:r>
        <w:rPr>
          <w:rFonts w:hint="eastAsia" w:ascii="仿宋_GB2312" w:hAnsi="仿宋_GB2312" w:eastAsia="仿宋_GB2312" w:cs="仿宋_GB2312"/>
          <w:b w:val="0"/>
          <w:bCs/>
          <w:color w:val="000000"/>
          <w:kern w:val="1"/>
          <w:sz w:val="32"/>
          <w:szCs w:val="32"/>
          <w:u w:val="none"/>
        </w:rPr>
        <w:t>融水市监罚告〔2026〕30号</w:t>
      </w:r>
      <w:bookmarkEnd w:id="13"/>
      <w:r>
        <w:rPr>
          <w:rFonts w:hint="eastAsia" w:ascii="仿宋_GB2312" w:hAnsi="仿宋_GB2312" w:eastAsia="仿宋_GB2312" w:cs="仿宋_GB2312"/>
          <w:b w:val="0"/>
          <w:bCs/>
          <w:color w:val="000000"/>
          <w:kern w:val="1"/>
          <w:sz w:val="32"/>
          <w:szCs w:val="32"/>
          <w:u w:val="none"/>
        </w:rPr>
        <w:t>)，</w:t>
      </w:r>
      <w:bookmarkStart w:id="14" w:name="CALCULATE—XZCFJDS—nTccssb"/>
      <w:r>
        <w:rPr>
          <w:rFonts w:hint="eastAsia" w:ascii="仿宋_GB2312" w:hAnsi="仿宋_GB2312" w:eastAsia="仿宋_GB2312" w:cs="仿宋_GB2312"/>
          <w:b w:val="0"/>
          <w:bCs/>
          <w:color w:val="000000"/>
          <w:kern w:val="1"/>
          <w:sz w:val="32"/>
          <w:szCs w:val="32"/>
          <w:u w:val="none"/>
        </w:rPr>
        <w:t>当事人在法定期限内未提出任何陈述或申辩</w:t>
      </w:r>
      <w:bookmarkEnd w:id="14"/>
      <w:r>
        <w:rPr>
          <w:rFonts w:hint="eastAsia" w:ascii="仿宋_GB2312" w:hAnsi="仿宋_GB2312" w:eastAsia="仿宋_GB2312" w:cs="仿宋_GB2312"/>
          <w:b w:val="0"/>
          <w:bCs/>
          <w:color w:val="000000"/>
          <w:kern w:val="1"/>
          <w:sz w:val="32"/>
          <w:szCs w:val="32"/>
          <w:u w:val="none"/>
          <w:lang w:eastAsia="zh-CN"/>
        </w:rPr>
        <w:t>，视为放弃此权利。</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r>
        <w:rPr>
          <w:rFonts w:hint="eastAsia" w:ascii="仿宋_GB2312" w:hAnsi="仿宋_GB2312" w:eastAsia="仿宋_GB2312" w:cs="仿宋_GB2312"/>
          <w:b w:val="0"/>
          <w:bCs/>
          <w:color w:val="000000"/>
          <w:kern w:val="1"/>
          <w:sz w:val="32"/>
          <w:szCs w:val="32"/>
          <w:u w:val="none"/>
        </w:rPr>
        <w:t xml:space="preserve">                            </w:t>
      </w:r>
      <w:r>
        <w:rPr>
          <w:rFonts w:hint="eastAsia" w:ascii="仿宋_GB2312" w:hAnsi="仿宋_GB2312" w:eastAsia="仿宋_GB2312" w:cs="仿宋_GB2312"/>
          <w:b w:val="0"/>
          <w:bCs/>
          <w:color w:val="000000"/>
          <w:kern w:val="1"/>
          <w:sz w:val="32"/>
          <w:szCs w:val="32"/>
          <w:u w:val="none"/>
          <w:lang w:val="en-US" w:eastAsia="zh-CN"/>
        </w:rPr>
        <w:t xml:space="preserve">                                         </w:t>
      </w:r>
    </w:p>
    <w:p w14:paraId="3E31B2E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本局认为，</w:t>
      </w:r>
      <w:r>
        <w:rPr>
          <w:rFonts w:hint="eastAsia" w:ascii="仿宋_GB2312" w:hAnsi="仿宋_GB2312" w:eastAsia="仿宋_GB2312" w:cs="仿宋_GB2312"/>
          <w:b w:val="0"/>
          <w:bCs/>
          <w:color w:val="000000"/>
          <w:kern w:val="1"/>
          <w:sz w:val="32"/>
          <w:szCs w:val="32"/>
          <w:u w:val="none"/>
          <w:lang w:eastAsia="zh-CN"/>
        </w:rPr>
        <w:t>当事人销售超过保质期食品且未履行进货查验制度的行为，涉嫌违反了</w:t>
      </w:r>
      <w:r>
        <w:rPr>
          <w:rFonts w:hint="eastAsia" w:ascii="仿宋_GB2312" w:hAnsi="仿宋_GB2312" w:eastAsia="仿宋_GB2312" w:cs="仿宋_GB2312"/>
          <w:b w:val="0"/>
          <w:bCs/>
          <w:color w:val="000000"/>
          <w:kern w:val="1"/>
          <w:sz w:val="32"/>
          <w:szCs w:val="32"/>
          <w:u w:val="none"/>
        </w:rPr>
        <w:t>《中华人民共和国食品安全法(2025修正)》第五十三条第一款</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食品经营者采购食品，应当查验供货者的许可证和食品出厂检验合格证或者其他合格证明（以下称合格证明文件）</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第三十四条第十项</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禁止生产经营下列食品、食品添加剂、食品相关产品：（十）标注虚假生产日期、保质期或者超过保质期的食品、食品添加剂</w:t>
      </w:r>
      <w:r>
        <w:rPr>
          <w:rFonts w:hint="eastAsia" w:ascii="仿宋_GB2312" w:hAnsi="仿宋_GB2312" w:eastAsia="仿宋_GB2312" w:cs="仿宋_GB2312"/>
          <w:b w:val="0"/>
          <w:bCs/>
          <w:color w:val="000000"/>
          <w:kern w:val="1"/>
          <w:sz w:val="32"/>
          <w:szCs w:val="32"/>
          <w:u w:val="none"/>
          <w:lang w:eastAsia="zh-CN"/>
        </w:rPr>
        <w:t>”的规定。</w:t>
      </w:r>
    </w:p>
    <w:p w14:paraId="1942488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r>
        <w:rPr>
          <w:rFonts w:hint="eastAsia" w:ascii="仿宋_GB2312" w:hAnsi="仿宋_GB2312" w:eastAsia="仿宋_GB2312" w:cs="仿宋_GB2312"/>
          <w:b w:val="0"/>
          <w:bCs/>
          <w:color w:val="000000"/>
          <w:kern w:val="1"/>
          <w:sz w:val="32"/>
          <w:szCs w:val="32"/>
          <w:u w:val="none"/>
        </w:rPr>
        <w:t>鉴于当事人为个体工商户，经营地点位于农村偏远山区，违法行为轻微、社会危害性较小，在案发后积极配合调查并主动提供相关证据材料，符合《市场监管总局关于规范市场监督管理行政处罚裁量权的指导意见（2022）》第十四条 第（二）、（三）项“有下列情形之一的，可以依法从轻或者减轻行政处罚：（二）积极配合市场监管部门调查并主动提供证据材料的；（三）违法行为轻微，社会危害性较小的”、《广西壮族自治区市场监督管理行政处罚裁量基准（2023版）》六十七、《食品安全法》行政处罚裁量基准“序号7”的</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适用情形</w:t>
      </w:r>
      <w:r>
        <w:rPr>
          <w:rFonts w:hint="default"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中“减轻（未造成食品安全事故等人身危害后果且有下列情形之一的：……5.违法行为人为自然人或者个体工商户，违法行为地在山区、农村偏远地区，属于违法行为轻微、社会危害性较小的”的规定，当事人的违法行为符合减轻处罚情形。</w:t>
      </w:r>
    </w:p>
    <w:p w14:paraId="22D9366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eastAsia="zh-CN"/>
        </w:rPr>
      </w:pPr>
      <w:bookmarkStart w:id="15" w:name="CALCULATE—WFFLFGXX—tAjCfes_cCfyj"/>
      <w:r>
        <w:rPr>
          <w:rFonts w:hint="eastAsia" w:ascii="仿宋_GB2312" w:hAnsi="仿宋_GB2312" w:eastAsia="仿宋_GB2312" w:cs="仿宋_GB2312"/>
          <w:b w:val="0"/>
          <w:bCs/>
          <w:color w:val="000000"/>
          <w:kern w:val="1"/>
          <w:sz w:val="32"/>
          <w:szCs w:val="32"/>
          <w:u w:val="none"/>
          <w:lang w:eastAsia="zh-CN"/>
        </w:rPr>
        <w:t>依据</w:t>
      </w:r>
      <w:r>
        <w:rPr>
          <w:rFonts w:hint="eastAsia" w:ascii="仿宋_GB2312" w:hAnsi="仿宋_GB2312" w:eastAsia="仿宋_GB2312" w:cs="仿宋_GB2312"/>
          <w:b w:val="0"/>
          <w:bCs/>
          <w:color w:val="000000"/>
          <w:kern w:val="1"/>
          <w:sz w:val="32"/>
          <w:szCs w:val="32"/>
          <w:u w:val="none"/>
        </w:rPr>
        <w:t>《中华人民共和国食品安全法》第一百二十四条第一款第五项</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五）生产经营标注虚假生产日期、保质期或者超过保质期的食品、食品添加剂</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第一百二十六条第一款第三项　</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违反本法规定，有下列情形之一的，由县级以上人民政府食品安全监督管理部门责令改正，给予警告；拒不改正的，处五千元以上五万元以下罚款；情节严重的，责令停产停业，直至吊销许可证：（三）食品、食品添加剂生产经营者进货时未查验许可证和相关证明文件，或者未按规定建立并遵守进货查验记录、出厂检验记录和销售记录制度</w:t>
      </w:r>
      <w:r>
        <w:rPr>
          <w:rFonts w:hint="eastAsia" w:ascii="仿宋_GB2312" w:hAnsi="仿宋_GB2312" w:eastAsia="仿宋_GB2312" w:cs="仿宋_GB2312"/>
          <w:b w:val="0"/>
          <w:bCs/>
          <w:color w:val="000000"/>
          <w:kern w:val="1"/>
          <w:sz w:val="32"/>
          <w:szCs w:val="32"/>
          <w:u w:val="none"/>
          <w:lang w:eastAsia="zh-CN"/>
        </w:rPr>
        <w:t>”的规定，结合当事人符合减轻处罚的情形，参照</w:t>
      </w:r>
      <w:r>
        <w:rPr>
          <w:rFonts w:hint="eastAsia" w:ascii="仿宋_GB2312" w:hAnsi="仿宋_GB2312" w:eastAsia="仿宋_GB2312" w:cs="仿宋_GB2312"/>
          <w:b w:val="0"/>
          <w:bCs/>
          <w:color w:val="000000"/>
          <w:kern w:val="1"/>
          <w:sz w:val="32"/>
          <w:szCs w:val="32"/>
          <w:u w:val="none"/>
        </w:rPr>
        <w:t>《广西壮族自治区市场监督管理行政处罚裁量基准》六十七、《食品安全法》行政处罚裁量基准“序号7”的</w:t>
      </w:r>
      <w:r>
        <w:rPr>
          <w:rFonts w:hint="eastAsia" w:ascii="仿宋_GB2312" w:hAnsi="仿宋_GB2312" w:eastAsia="仿宋_GB2312" w:cs="仿宋_GB2312"/>
          <w:b w:val="0"/>
          <w:bCs/>
          <w:color w:val="000000"/>
          <w:kern w:val="1"/>
          <w:sz w:val="32"/>
          <w:szCs w:val="32"/>
          <w:u w:val="none"/>
          <w:lang w:eastAsia="zh-CN"/>
        </w:rPr>
        <w:t>“</w:t>
      </w:r>
      <w:r>
        <w:rPr>
          <w:rFonts w:hint="eastAsia" w:ascii="仿宋_GB2312" w:hAnsi="仿宋_GB2312" w:eastAsia="仿宋_GB2312" w:cs="仿宋_GB2312"/>
          <w:b w:val="0"/>
          <w:bCs/>
          <w:color w:val="000000"/>
          <w:kern w:val="1"/>
          <w:sz w:val="32"/>
          <w:szCs w:val="32"/>
          <w:u w:val="none"/>
        </w:rPr>
        <w:t>适用情形</w:t>
      </w:r>
      <w:r>
        <w:rPr>
          <w:rFonts w:hint="default" w:ascii="仿宋_GB2312" w:hAnsi="仿宋_GB2312" w:eastAsia="仿宋_GB2312" w:cs="仿宋_GB2312"/>
          <w:b w:val="0"/>
          <w:bCs/>
          <w:color w:val="000000"/>
          <w:kern w:val="1"/>
          <w:sz w:val="32"/>
          <w:szCs w:val="32"/>
          <w:u w:val="none"/>
          <w:lang w:val="en-US" w:eastAsia="zh-CN"/>
        </w:rPr>
        <w:t>”</w:t>
      </w:r>
      <w:r>
        <w:rPr>
          <w:rFonts w:hint="eastAsia" w:ascii="仿宋_GB2312" w:hAnsi="仿宋_GB2312" w:eastAsia="仿宋_GB2312" w:cs="仿宋_GB2312"/>
          <w:b w:val="0"/>
          <w:bCs/>
          <w:color w:val="000000"/>
          <w:kern w:val="1"/>
          <w:sz w:val="32"/>
          <w:szCs w:val="32"/>
          <w:u w:val="none"/>
        </w:rPr>
        <w:t>中“减轻”</w:t>
      </w:r>
      <w:r>
        <w:rPr>
          <w:rFonts w:hint="eastAsia" w:ascii="仿宋_GB2312" w:hAnsi="仿宋_GB2312" w:eastAsia="仿宋_GB2312" w:cs="仿宋_GB2312"/>
          <w:b w:val="0"/>
          <w:bCs/>
          <w:color w:val="000000"/>
          <w:kern w:val="1"/>
          <w:sz w:val="32"/>
          <w:szCs w:val="32"/>
          <w:u w:val="none"/>
          <w:lang w:eastAsia="zh-CN"/>
        </w:rPr>
        <w:t>的“裁量标准（没收违法所得和违法生产经营的食品、食品添加剂， 并可以没收用于违法生产经营的工具、设备、原料等物品；并处5万元以下罚款）”，本局决定责令当事人改正经营超过保质期食品的违法行为，并对当事人作出如下行政处罚</w:t>
      </w:r>
      <w:bookmarkEnd w:id="15"/>
      <w:r>
        <w:rPr>
          <w:rFonts w:hint="eastAsia" w:ascii="仿宋_GB2312" w:hAnsi="仿宋_GB2312" w:eastAsia="仿宋_GB2312" w:cs="仿宋_GB2312"/>
          <w:b w:val="0"/>
          <w:bCs/>
          <w:color w:val="000000"/>
          <w:kern w:val="1"/>
          <w:sz w:val="32"/>
          <w:szCs w:val="32"/>
          <w:u w:val="none"/>
          <w:lang w:eastAsia="zh-CN"/>
        </w:rPr>
        <w:t xml:space="preserve">： </w:t>
      </w:r>
    </w:p>
    <w:p w14:paraId="7A93C08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rPr>
      </w:pPr>
      <w:bookmarkStart w:id="16" w:name="CALCULATE—AJCF—tAjCfes_cXzcfnr"/>
      <w:r>
        <w:rPr>
          <w:rFonts w:hint="eastAsia" w:ascii="仿宋_GB2312" w:hAnsi="仿宋_GB2312" w:eastAsia="仿宋_GB2312" w:cs="仿宋_GB2312"/>
          <w:b w:val="0"/>
          <w:bCs/>
          <w:color w:val="000000"/>
          <w:kern w:val="1"/>
          <w:sz w:val="32"/>
          <w:szCs w:val="32"/>
          <w:u w:val="none"/>
          <w:lang w:val="en-US" w:eastAsia="zh-CN"/>
        </w:rPr>
        <w:t>1、</w:t>
      </w:r>
      <w:r>
        <w:rPr>
          <w:rFonts w:hint="eastAsia" w:ascii="仿宋_GB2312" w:hAnsi="仿宋_GB2312" w:eastAsia="仿宋_GB2312" w:cs="仿宋_GB2312"/>
          <w:b w:val="0"/>
          <w:bCs/>
          <w:color w:val="000000"/>
          <w:kern w:val="1"/>
          <w:sz w:val="32"/>
          <w:szCs w:val="32"/>
          <w:u w:val="none"/>
        </w:rPr>
        <w:t>警告；</w:t>
      </w:r>
    </w:p>
    <w:p w14:paraId="1DCAE0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CN"/>
        </w:rPr>
      </w:pPr>
      <w:r>
        <w:rPr>
          <w:rFonts w:hint="eastAsia" w:ascii="仿宋_GB2312" w:hAnsi="仿宋_GB2312" w:eastAsia="仿宋_GB2312" w:cs="仿宋_GB2312"/>
          <w:b w:val="0"/>
          <w:bCs/>
          <w:color w:val="000000"/>
          <w:kern w:val="1"/>
          <w:sz w:val="32"/>
          <w:szCs w:val="32"/>
          <w:u w:val="none"/>
        </w:rPr>
        <w:t>2、没收融水市监强制〔2026〕11号《财物清单》中所列超过保质期食品；</w:t>
      </w:r>
      <w:r>
        <w:rPr>
          <w:rFonts w:hint="eastAsia" w:ascii="仿宋_GB2312" w:hAnsi="仿宋_GB2312" w:eastAsia="仿宋_GB2312" w:cs="仿宋_GB2312"/>
          <w:b w:val="0"/>
          <w:bCs/>
          <w:color w:val="000000"/>
          <w:kern w:val="1"/>
          <w:sz w:val="32"/>
          <w:szCs w:val="32"/>
          <w:u w:val="none"/>
        </w:rPr>
        <w:br w:type="textWrapping"/>
      </w:r>
      <w:r>
        <w:rPr>
          <w:rFonts w:hint="eastAsia" w:ascii="仿宋_GB2312" w:hAnsi="仿宋_GB2312" w:eastAsia="仿宋_GB2312" w:cs="仿宋_GB2312"/>
          <w:b w:val="0"/>
          <w:bCs/>
          <w:color w:val="000000"/>
          <w:kern w:val="1"/>
          <w:sz w:val="32"/>
          <w:szCs w:val="32"/>
          <w:u w:val="none"/>
          <w:lang w:val="en-US" w:eastAsia="zh-CN"/>
        </w:rPr>
        <w:t xml:space="preserve">    </w:t>
      </w:r>
      <w:r>
        <w:rPr>
          <w:rFonts w:hint="eastAsia" w:ascii="仿宋_GB2312" w:hAnsi="仿宋_GB2312" w:eastAsia="仿宋_GB2312" w:cs="仿宋_GB2312"/>
          <w:b w:val="0"/>
          <w:bCs/>
          <w:color w:val="000000"/>
          <w:kern w:val="1"/>
          <w:sz w:val="32"/>
          <w:szCs w:val="32"/>
          <w:u w:val="none"/>
        </w:rPr>
        <w:t>3、处罚款1000元。</w:t>
      </w:r>
      <w:bookmarkEnd w:id="16"/>
    </w:p>
    <w:p w14:paraId="41A80AE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color w:val="auto"/>
          <w:kern w:val="1"/>
          <w:sz w:val="32"/>
          <w:szCs w:val="32"/>
          <w:lang w:val="en-US" w:eastAsia="zh-Hans"/>
        </w:rPr>
      </w:pPr>
      <w:r>
        <w:rPr>
          <w:rFonts w:hint="eastAsia" w:ascii="仿宋_GB2312" w:hAnsi="仿宋_GB2312" w:eastAsia="仿宋_GB2312" w:cs="仿宋_GB2312"/>
          <w:b w:val="0"/>
          <w:bCs/>
          <w:color w:val="000000"/>
          <w:kern w:val="1"/>
          <w:sz w:val="32"/>
          <w:szCs w:val="32"/>
          <w:u w:val="none"/>
          <w:lang w:val="en-US" w:eastAsia="zh-Hans"/>
        </w:rPr>
        <w:t>当事人应当自收到本行政处罚决定之日起十五日内到融水苗族自治县市场监督管理局财务股开具《广西壮族自治区非税收入电子缴款通知书》，持此缴款通知书到相应银行缴纳罚没款。到期不缴纳罚款的，依据《中华人民共和国行政处罚法》第七十二条的规定，本局将每日按罚款数额的百分之三加处罚款，并依法申请人民法院强制执行。</w:t>
      </w:r>
    </w:p>
    <w:p w14:paraId="12541076">
      <w:pPr>
        <w:keepNext w:val="0"/>
        <w:keepLines w:val="0"/>
        <w:pageBreakBefore w:val="0"/>
        <w:widowControl w:val="0"/>
        <w:kinsoku/>
        <w:wordWrap/>
        <w:overflowPunct/>
        <w:topLinePunct w:val="0"/>
        <w:autoSpaceDE/>
        <w:autoSpaceDN/>
        <w:bidi w:val="0"/>
        <w:adjustRightInd/>
        <w:snapToGrid/>
        <w:spacing w:line="520" w:lineRule="exact"/>
        <w:ind w:left="0" w:firstLine="1134"/>
        <w:textAlignment w:val="auto"/>
        <w:rPr>
          <w:rFonts w:ascii="Times New Roman" w:hAnsi="Times New Roman" w:eastAsia="仿宋_GB2312" w:cs="仿宋_GB2312"/>
          <w:color w:val="auto"/>
          <w:sz w:val="32"/>
          <w:szCs w:val="32"/>
        </w:rPr>
      </w:pPr>
      <w:r>
        <w:rPr>
          <w:rFonts w:hint="eastAsia" w:ascii="仿宋_GB2312" w:hAnsi="仿宋_GB2312" w:eastAsia="仿宋_GB2312" w:cs="仿宋_GB2312"/>
          <w:b w:val="0"/>
          <w:bCs/>
          <w:color w:val="000000"/>
          <w:kern w:val="1"/>
          <w:sz w:val="32"/>
          <w:szCs w:val="32"/>
          <w:u w:val="none"/>
          <w:lang w:val="en-US" w:eastAsia="zh-Hans"/>
        </w:rPr>
        <w:t>当事人如不服本行政处罚决定，可以在收到本行政处罚决定书之日起六十日内向融水苗族自治县人民政府申请行政复议；也可以在六个月内依法向柳州市柳北区人民法院提起行政诉讼。申请行政复议或者提起行政诉讼期间，行政处罚不停止执行。</w:t>
      </w:r>
    </w:p>
    <w:p w14:paraId="487857C9">
      <w:pPr>
        <w:pStyle w:val="4"/>
        <w:keepNext w:val="0"/>
        <w:keepLines w:val="0"/>
        <w:pageBreakBefore w:val="0"/>
        <w:widowControl w:val="0"/>
        <w:tabs>
          <w:tab w:val="left" w:pos="8395"/>
        </w:tabs>
        <w:kinsoku/>
        <w:wordWrap w:val="0"/>
        <w:overflowPunct/>
        <w:topLinePunct w:val="0"/>
        <w:autoSpaceDE w:val="0"/>
        <w:autoSpaceDN w:val="0"/>
        <w:bidi w:val="0"/>
        <w:adjustRightInd w:val="0"/>
        <w:snapToGrid/>
        <w:spacing w:line="520" w:lineRule="exact"/>
        <w:ind w:firstLine="640" w:firstLineChars="200"/>
        <w:textAlignment w:val="auto"/>
        <w:rPr>
          <w:rFonts w:hint="eastAsia" w:ascii="仿宋_GB2312" w:hAnsi="仿宋_GB2312" w:eastAsia="仿宋_GB2312" w:cs="仿宋_GB2312"/>
          <w:b w:val="0"/>
          <w:bCs/>
          <w:color w:val="auto"/>
          <w:kern w:val="2"/>
          <w:sz w:val="32"/>
          <w:szCs w:val="32"/>
          <w:u w:val="single"/>
          <w:lang w:val="en-US" w:eastAsia="zh-CN" w:bidi="ar-SA"/>
        </w:rPr>
      </w:pPr>
    </w:p>
    <w:p w14:paraId="6C302DF7">
      <w:pPr>
        <w:widowControl/>
        <w:snapToGrid w:val="0"/>
        <w:spacing w:line="520" w:lineRule="exact"/>
        <w:jc w:val="left"/>
        <w:rPr>
          <w:rFonts w:ascii="Times New Roman" w:hAnsi="Times New Roman" w:eastAsia="仿宋_GB2312" w:cs="仿宋_GB2312"/>
          <w:color w:val="auto"/>
          <w:sz w:val="32"/>
          <w:szCs w:val="32"/>
        </w:rPr>
      </w:pPr>
    </w:p>
    <w:p w14:paraId="7657A9B8">
      <w:pPr>
        <w:widowControl/>
        <w:snapToGrid w:val="0"/>
        <w:spacing w:line="520" w:lineRule="exact"/>
        <w:ind w:firstLine="6240" w:firstLineChars="1950"/>
        <w:jc w:val="left"/>
        <w:rPr>
          <w:rFonts w:hint="eastAsia" w:ascii="Times New Roman" w:hAnsi="Times New Roman" w:eastAsia="仿宋_GB2312" w:cs="仿宋_GB2312"/>
          <w:color w:val="auto"/>
          <w:sz w:val="32"/>
          <w:szCs w:val="32"/>
          <w:lang w:val="en-US" w:eastAsia="zh-Hans"/>
        </w:rPr>
      </w:pPr>
    </w:p>
    <w:p w14:paraId="2A2E7D6B">
      <w:pPr>
        <w:spacing w:line="560" w:lineRule="exact"/>
        <w:ind w:right="640" w:firstLine="601"/>
        <w:jc w:val="right"/>
        <w:rPr>
          <w:rFonts w:ascii="Times New Roman" w:hAnsi="Times New Roman" w:eastAsia="仿宋_GB2312" w:cs="仿宋"/>
          <w:color w:val="auto"/>
          <w:sz w:val="32"/>
          <w:szCs w:val="32"/>
        </w:rPr>
      </w:pPr>
      <w:bookmarkStart w:id="17" w:name="DYNAMIC—DWXX—tAj_dwmc—2"/>
      <w:r>
        <w:rPr>
          <w:rFonts w:hint="eastAsia" w:ascii="Times New Roman" w:hAnsi="Times New Roman" w:eastAsia="仿宋_GB2312" w:cs="仿宋"/>
          <w:color w:val="000000"/>
          <w:sz w:val="32"/>
          <w:u w:val="none"/>
        </w:rPr>
        <w:t>融水苗族自治县市场监督管理局</w:t>
      </w:r>
      <w:bookmarkEnd w:id="17"/>
      <w:r>
        <w:rPr>
          <w:rFonts w:hint="eastAsia" w:ascii="Times New Roman" w:hAnsi="Times New Roman" w:eastAsia="仿宋_GB2312" w:cs="仿宋"/>
          <w:color w:val="000000"/>
          <w:sz w:val="32"/>
          <w:szCs w:val="32"/>
          <w:u w:val="none"/>
        </w:rPr>
        <w:t xml:space="preserve">    </w:t>
      </w:r>
    </w:p>
    <w:p w14:paraId="18547A0E">
      <w:pPr>
        <w:keepNext w:val="0"/>
        <w:keepLines w:val="0"/>
        <w:pageBreakBefore w:val="0"/>
        <w:widowControl w:val="0"/>
        <w:kinsoku/>
        <w:wordWrap/>
        <w:overflowPunct/>
        <w:topLinePunct w:val="0"/>
        <w:autoSpaceDE/>
        <w:autoSpaceDN/>
        <w:bidi w:val="0"/>
        <w:adjustRightInd/>
        <w:snapToGrid/>
        <w:spacing w:line="560" w:lineRule="exact"/>
        <w:ind w:left="0" w:leftChars="0" w:right="630" w:rightChars="300" w:firstLine="600" w:firstLineChars="0"/>
        <w:jc w:val="center"/>
        <w:textAlignment w:val="auto"/>
        <w:outlineLvl w:val="9"/>
        <w:rPr>
          <w:rFonts w:ascii="Times New Roman" w:hAnsi="Times New Roman" w:eastAsia="仿宋_GB2312" w:cs="仿宋_GB2312"/>
          <w:color w:val="auto"/>
          <w:sz w:val="32"/>
          <w:szCs w:val="32"/>
        </w:rPr>
      </w:pPr>
      <w:bookmarkStart w:id="18" w:name="CALCULATE—TIME—NOW"/>
      <w:r>
        <w:rPr>
          <w:rFonts w:hint="eastAsia" w:ascii="仿宋_GB2312" w:hAnsi="仿宋_GB2312" w:eastAsia="仿宋_GB2312" w:cs="仿宋_GB2312"/>
          <w:sz w:val="32"/>
          <w:lang w:val="en-US" w:eastAsia="zh-CN"/>
        </w:rPr>
        <w:t xml:space="preserve">          </w:t>
      </w:r>
      <w:bookmarkStart w:id="19" w:name="_GoBack"/>
      <w:bookmarkEnd w:id="19"/>
      <w:r>
        <w:rPr>
          <w:rFonts w:ascii="仿宋_GB2312" w:hAnsi="仿宋_GB2312" w:eastAsia="仿宋_GB2312" w:cs="仿宋_GB2312"/>
          <w:sz w:val="32"/>
        </w:rPr>
        <w:t>2026年03月09日</w:t>
      </w:r>
      <w:bookmarkEnd w:id="18"/>
      <w:r>
        <w:rPr>
          <w:rFonts w:hint="eastAsia" w:ascii="Times New Roman" w:hAnsi="Times New Roman" w:eastAsia="仿宋_GB2312" w:cs="仿宋_GB2312"/>
          <w:color w:val="000000"/>
          <w:sz w:val="32"/>
          <w:szCs w:val="32"/>
          <w:u w:val="none"/>
        </w:rPr>
        <w:t xml:space="preserve">  </w:t>
      </w:r>
    </w:p>
    <w:p w14:paraId="59C8F73C">
      <w:pPr>
        <w:widowControl/>
        <w:snapToGrid w:val="0"/>
        <w:spacing w:line="520" w:lineRule="exact"/>
        <w:jc w:val="right"/>
        <w:rPr>
          <w:rFonts w:ascii="Times New Roman" w:hAnsi="Times New Roman" w:eastAsia="仿宋_GB2312" w:cs="Mongolian Baiti"/>
          <w:color w:val="auto"/>
          <w:sz w:val="32"/>
          <w:szCs w:val="32"/>
        </w:rPr>
      </w:pPr>
    </w:p>
    <w:p w14:paraId="3A3D2F99">
      <w:pPr>
        <w:pStyle w:val="2"/>
        <w:rPr>
          <w:rFonts w:ascii="Times New Roman" w:hAnsi="Times New Roman" w:eastAsia="仿宋_GB2312" w:cs="Mongolian Baiti"/>
          <w:color w:val="auto"/>
          <w:sz w:val="32"/>
          <w:szCs w:val="32"/>
        </w:rPr>
      </w:pPr>
    </w:p>
    <w:p w14:paraId="7055385A">
      <w:pPr>
        <w:pStyle w:val="2"/>
        <w:rPr>
          <w:rFonts w:ascii="Times New Roman" w:hAnsi="Times New Roman" w:eastAsia="仿宋_GB2312" w:cs="Mongolian Baiti"/>
          <w:color w:val="auto"/>
          <w:sz w:val="32"/>
          <w:szCs w:val="32"/>
        </w:rPr>
      </w:pPr>
    </w:p>
    <w:p w14:paraId="2DBAF9A8">
      <w:pPr>
        <w:pStyle w:val="2"/>
        <w:rPr>
          <w:rFonts w:ascii="Times New Roman" w:hAnsi="Times New Roman" w:eastAsia="仿宋_GB2312" w:cs="Mongolian Baiti"/>
          <w:color w:val="auto"/>
          <w:sz w:val="32"/>
          <w:szCs w:val="32"/>
        </w:rPr>
      </w:pPr>
    </w:p>
    <w:p w14:paraId="3D0C7B7E">
      <w:pPr>
        <w:pStyle w:val="2"/>
        <w:rPr>
          <w:rFonts w:ascii="Times New Roman" w:hAnsi="Times New Roman" w:eastAsia="仿宋_GB2312" w:cs="Mongolian Baiti"/>
          <w:color w:val="auto"/>
          <w:sz w:val="32"/>
          <w:szCs w:val="32"/>
        </w:rPr>
      </w:pPr>
    </w:p>
    <w:p w14:paraId="4459B27F">
      <w:pPr>
        <w:pStyle w:val="2"/>
        <w:rPr>
          <w:rFonts w:ascii="Times New Roman" w:hAnsi="Times New Roman" w:eastAsia="仿宋_GB2312" w:cs="Mongolian Baiti"/>
          <w:color w:val="auto"/>
          <w:sz w:val="32"/>
          <w:szCs w:val="32"/>
        </w:rPr>
      </w:pPr>
    </w:p>
    <w:p w14:paraId="61E16827">
      <w:pPr>
        <w:pStyle w:val="2"/>
        <w:rPr>
          <w:rFonts w:ascii="Times New Roman" w:hAnsi="Times New Roman" w:eastAsia="仿宋_GB2312" w:cs="Mongolian Baiti"/>
          <w:color w:val="auto"/>
          <w:sz w:val="32"/>
          <w:szCs w:val="32"/>
        </w:rPr>
      </w:pPr>
    </w:p>
    <w:p w14:paraId="4A4D24E0">
      <w:pPr>
        <w:pStyle w:val="2"/>
        <w:rPr>
          <w:rFonts w:ascii="Times New Roman" w:hAnsi="Times New Roman" w:eastAsia="仿宋_GB2312" w:cs="Mongolian Baiti"/>
          <w:color w:val="auto"/>
          <w:sz w:val="32"/>
          <w:szCs w:val="32"/>
        </w:rPr>
      </w:pPr>
    </w:p>
    <w:p w14:paraId="0CA10FBB">
      <w:pPr>
        <w:pStyle w:val="2"/>
        <w:rPr>
          <w:rFonts w:ascii="Times New Roman" w:hAnsi="Times New Roman" w:eastAsia="仿宋_GB2312" w:cs="Mongolian Baiti"/>
          <w:color w:val="auto"/>
          <w:sz w:val="32"/>
          <w:szCs w:val="32"/>
        </w:rPr>
      </w:pPr>
    </w:p>
    <w:p w14:paraId="4E2368EA">
      <w:pPr>
        <w:pStyle w:val="2"/>
        <w:rPr>
          <w:rFonts w:ascii="Times New Roman" w:hAnsi="Times New Roman" w:eastAsia="仿宋_GB2312" w:cs="Mongolian Baiti"/>
          <w:color w:val="auto"/>
          <w:sz w:val="32"/>
          <w:szCs w:val="32"/>
        </w:rPr>
      </w:pPr>
    </w:p>
    <w:p w14:paraId="47370E0F">
      <w:pPr>
        <w:pStyle w:val="2"/>
        <w:rPr>
          <w:rFonts w:ascii="Times New Roman" w:hAnsi="Times New Roman" w:eastAsia="仿宋_GB2312" w:cs="Mongolian Baiti"/>
          <w:color w:val="auto"/>
          <w:sz w:val="32"/>
          <w:szCs w:val="32"/>
        </w:rPr>
      </w:pPr>
    </w:p>
    <w:p w14:paraId="6C50D55D">
      <w:pPr>
        <w:pStyle w:val="2"/>
        <w:rPr>
          <w:rFonts w:ascii="Times New Roman" w:hAnsi="Times New Roman" w:eastAsia="仿宋_GB2312" w:cs="Mongolian Baiti"/>
          <w:color w:val="auto"/>
          <w:sz w:val="32"/>
          <w:szCs w:val="32"/>
        </w:rPr>
      </w:pPr>
    </w:p>
    <w:p w14:paraId="4EDB4D0A">
      <w:pPr>
        <w:pStyle w:val="2"/>
        <w:rPr>
          <w:rFonts w:ascii="Times New Roman" w:hAnsi="Times New Roman" w:eastAsia="仿宋_GB2312" w:cs="Mongolian Baiti"/>
          <w:color w:val="auto"/>
          <w:sz w:val="32"/>
          <w:szCs w:val="32"/>
        </w:rPr>
      </w:pPr>
    </w:p>
    <w:p w14:paraId="7982AABC">
      <w:pPr>
        <w:pStyle w:val="2"/>
        <w:rPr>
          <w:rFonts w:ascii="Times New Roman" w:hAnsi="Times New Roman" w:eastAsia="仿宋_GB2312" w:cs="Mongolian Baiti"/>
          <w:color w:val="auto"/>
          <w:sz w:val="32"/>
          <w:szCs w:val="32"/>
        </w:rPr>
      </w:pPr>
    </w:p>
    <w:p w14:paraId="306C6E23">
      <w:pPr>
        <w:pStyle w:val="4"/>
        <w:spacing w:before="1"/>
        <w:ind w:left="163"/>
        <w:rPr>
          <w:rFonts w:ascii="Times New Roman" w:hAnsi="Times New Roman" w:eastAsia="仿宋_GB2312" w:cs="仿宋"/>
          <w:bCs/>
          <w:color w:val="auto"/>
          <w:sz w:val="44"/>
          <w:szCs w:val="44"/>
        </w:rPr>
      </w:pPr>
      <w:r>
        <w:rPr>
          <w:rFonts w:ascii="Times New Roman" w:hAnsi="Times New Roman" w:eastAsia="仿宋_GB2312"/>
          <w:color w:val="000000"/>
          <w:sz w:val="32"/>
          <w:u w:val="none"/>
        </w:rPr>
        <mc:AlternateContent>
          <mc:Choice Requires="wps">
            <w:drawing>
              <wp:anchor distT="0" distB="0" distL="114300" distR="114300" simplePos="0" relativeHeight="251661312" behindDoc="0" locked="0" layoutInCell="1" allowOverlap="1">
                <wp:simplePos x="0" y="0"/>
                <wp:positionH relativeFrom="column">
                  <wp:posOffset>27305</wp:posOffset>
                </wp:positionH>
                <wp:positionV relativeFrom="paragraph">
                  <wp:posOffset>396875</wp:posOffset>
                </wp:positionV>
                <wp:extent cx="5550535" cy="635"/>
                <wp:effectExtent l="0" t="0" r="0" b="0"/>
                <wp:wrapNone/>
                <wp:docPr id="14" name="直接连接符 14"/>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15pt;margin-top:31.25pt;height:0.05pt;width:437.05pt;z-index:251661312;mso-width-relative:page;mso-height-relative:page;" filled="f" stroked="t" coordsize="21600,21600" o:gfxdata="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1F2Z1gAAAAcBAAAPAAAAAAAAAAEAIAAAACIAAABkcnMvZG93bnJldi54bWxQSwECFAAUAAAACACH&#10;TuJAlk3HAe0BAADdAwAADgAAAAAAAAABACAAAAAlAQAAZHJzL2Uyb0RvYy54bWxQSwUGAAAAAAYA&#10;BgBZAQAAhAUAAAAA&#10;">
                <v:fill on="f" focussize="0,0"/>
                <v:stroke weight="1.25pt" color="#000000" joinstyle="round"/>
                <v:imagedata o:title=""/>
                <o:lock v:ext="edit" aspectratio="f"/>
              </v:line>
            </w:pict>
          </mc:Fallback>
        </mc:AlternateContent>
      </w:r>
      <w:r>
        <w:rPr>
          <w:rFonts w:hint="eastAsia" w:ascii="黑体" w:hAnsi="黑体" w:eastAsia="黑体"/>
          <w:color w:val="000000"/>
          <w:spacing w:val="-16"/>
          <w:u w:val="none"/>
        </w:rPr>
        <w:t>（市场监督管理部门将依法向社会公开行政处罚决定信息）</w:t>
      </w:r>
    </w:p>
    <w:p w14:paraId="65F3C8F3">
      <w:pPr>
        <w:spacing w:line="500" w:lineRule="exact"/>
        <w:rPr>
          <w:color w:val="auto"/>
        </w:rPr>
      </w:pPr>
      <w:r>
        <w:rPr>
          <w:rFonts w:ascii="Times New Roman" w:hAnsi="Times New Roman" w:eastAsia="仿宋_GB2312" w:cs="仿宋"/>
          <w:bCs/>
          <w:color w:val="000000"/>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AJ1svO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u w:val="none"/>
        </w:rPr>
        <w:t xml:space="preserve">本文书一式 </w:t>
      </w:r>
      <w:r>
        <w:rPr>
          <w:rFonts w:hint="eastAsia" w:ascii="Times New Roman" w:hAnsi="Times New Roman" w:eastAsia="仿宋_GB2312" w:cs="仿宋"/>
          <w:color w:val="000000"/>
          <w:sz w:val="32"/>
          <w:szCs w:val="32"/>
          <w:u w:val="none"/>
          <w:lang w:eastAsia="zh-CN"/>
        </w:rPr>
        <w:t>二</w:t>
      </w:r>
      <w:r>
        <w:rPr>
          <w:rFonts w:hint="eastAsia" w:ascii="Times New Roman" w:hAnsi="Times New Roman" w:eastAsia="仿宋_GB2312" w:cs="仿宋"/>
          <w:color w:val="000000"/>
          <w:sz w:val="32"/>
          <w:szCs w:val="32"/>
          <w:u w:val="none"/>
        </w:rPr>
        <w:t xml:space="preserve"> 份， </w:t>
      </w:r>
      <w:r>
        <w:rPr>
          <w:rFonts w:hint="eastAsia" w:ascii="Times New Roman" w:hAnsi="Times New Roman" w:eastAsia="仿宋_GB2312" w:cs="仿宋"/>
          <w:color w:val="000000"/>
          <w:sz w:val="32"/>
          <w:szCs w:val="32"/>
          <w:u w:val="none"/>
          <w:lang w:eastAsia="zh-CN"/>
        </w:rPr>
        <w:t>一</w:t>
      </w:r>
      <w:r>
        <w:rPr>
          <w:rFonts w:hint="eastAsia" w:ascii="Times New Roman" w:hAnsi="Times New Roman" w:eastAsia="仿宋_GB2312" w:cs="仿宋"/>
          <w:color w:val="000000"/>
          <w:sz w:val="32"/>
          <w:szCs w:val="32"/>
          <w:u w:val="none"/>
        </w:rPr>
        <w:t xml:space="preserve"> 份送达，一份归档。</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DejaVu Math TeX Gyre"/>
    <w:panose1 w:val="02040503050203030202"/>
    <w:charset w:val="00"/>
    <w:family w:val="roman"/>
    <w:pitch w:val="default"/>
    <w:sig w:usb0="00000000" w:usb1="00000000" w:usb2="00000000" w:usb3="00000000" w:csb0="00000001"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971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4707D3">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4707D3">
                    <w:pPr>
                      <w:pStyle w:val="5"/>
                      <w:rPr>
                        <w:rFonts w:hint="eastAsia" w:ascii="宋体" w:hAnsi="宋体" w:eastAsia="宋体" w:cs="宋体"/>
                        <w:sz w:val="28"/>
                        <w:szCs w:val="28"/>
                      </w:rPr>
                    </w:pPr>
                    <w:r>
                      <w:rPr>
                        <w:rFonts w:hint="eastAsia" w:ascii="宋体" w:hAnsi="宋体" w:eastAsia="宋体" w:cs="宋体"/>
                        <w:sz w:val="28"/>
                        <w:szCs w:val="28"/>
                      </w:rPr>
                      <w:t xml:space="preserve">第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页 共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NUMPAGES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3"/>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yM2U5YzI2ZWYzNzA3YjY5MWY2NDE1MjMyNWZjOTUifQ=="/>
    <w:docVar w:name="KSO_WPS_MARK_KEY" w:val="3a570657-d4b9-4633-8bde-b1be1a221b99"/>
  </w:docVars>
  <w:rsids>
    <w:rsidRoot w:val="5BA419F7"/>
    <w:rsid w:val="00193C35"/>
    <w:rsid w:val="0032134F"/>
    <w:rsid w:val="010A478A"/>
    <w:rsid w:val="02B83402"/>
    <w:rsid w:val="02EB2B77"/>
    <w:rsid w:val="04267A87"/>
    <w:rsid w:val="042774DD"/>
    <w:rsid w:val="048D2705"/>
    <w:rsid w:val="04CD463F"/>
    <w:rsid w:val="04FA4431"/>
    <w:rsid w:val="05C51508"/>
    <w:rsid w:val="06476E0A"/>
    <w:rsid w:val="06BAE61F"/>
    <w:rsid w:val="071C7669"/>
    <w:rsid w:val="07580619"/>
    <w:rsid w:val="0776795A"/>
    <w:rsid w:val="07DA78EE"/>
    <w:rsid w:val="08365B64"/>
    <w:rsid w:val="087864F3"/>
    <w:rsid w:val="090B4D3A"/>
    <w:rsid w:val="09290BEC"/>
    <w:rsid w:val="09AA7B69"/>
    <w:rsid w:val="0A2F38BD"/>
    <w:rsid w:val="0A3665F0"/>
    <w:rsid w:val="0B22091D"/>
    <w:rsid w:val="0CF71776"/>
    <w:rsid w:val="0D242541"/>
    <w:rsid w:val="0FB748D6"/>
    <w:rsid w:val="103E22C5"/>
    <w:rsid w:val="11524677"/>
    <w:rsid w:val="115320F9"/>
    <w:rsid w:val="119E3BCA"/>
    <w:rsid w:val="1350279A"/>
    <w:rsid w:val="14203063"/>
    <w:rsid w:val="143E1E38"/>
    <w:rsid w:val="1490670C"/>
    <w:rsid w:val="152E563E"/>
    <w:rsid w:val="15B93156"/>
    <w:rsid w:val="16D23D7F"/>
    <w:rsid w:val="18325353"/>
    <w:rsid w:val="188449CB"/>
    <w:rsid w:val="18B229B2"/>
    <w:rsid w:val="19FE4517"/>
    <w:rsid w:val="1AE345F4"/>
    <w:rsid w:val="1AE63FC8"/>
    <w:rsid w:val="1B37398D"/>
    <w:rsid w:val="1C7339BB"/>
    <w:rsid w:val="1C7A5BA8"/>
    <w:rsid w:val="1E664711"/>
    <w:rsid w:val="1EC222D9"/>
    <w:rsid w:val="1F2B5D07"/>
    <w:rsid w:val="1FC004DE"/>
    <w:rsid w:val="1FD31F15"/>
    <w:rsid w:val="212E3259"/>
    <w:rsid w:val="22287087"/>
    <w:rsid w:val="237778B4"/>
    <w:rsid w:val="23F5677C"/>
    <w:rsid w:val="24626694"/>
    <w:rsid w:val="258D6CE0"/>
    <w:rsid w:val="27A45517"/>
    <w:rsid w:val="2B1B3EFC"/>
    <w:rsid w:val="2CEA3815"/>
    <w:rsid w:val="2D526BEB"/>
    <w:rsid w:val="2DE10173"/>
    <w:rsid w:val="2F327E79"/>
    <w:rsid w:val="2F7CE1EF"/>
    <w:rsid w:val="2F8A6913"/>
    <w:rsid w:val="30DB5683"/>
    <w:rsid w:val="30FA2F6D"/>
    <w:rsid w:val="31562B39"/>
    <w:rsid w:val="31BE0AF5"/>
    <w:rsid w:val="32CE76E8"/>
    <w:rsid w:val="3334290F"/>
    <w:rsid w:val="33740640"/>
    <w:rsid w:val="3585615B"/>
    <w:rsid w:val="363C12E3"/>
    <w:rsid w:val="368E5656"/>
    <w:rsid w:val="377FBB27"/>
    <w:rsid w:val="37F16547"/>
    <w:rsid w:val="38B63DA7"/>
    <w:rsid w:val="3930619F"/>
    <w:rsid w:val="3A4E178D"/>
    <w:rsid w:val="3BF97ECA"/>
    <w:rsid w:val="3C2965F0"/>
    <w:rsid w:val="3D6B1177"/>
    <w:rsid w:val="3E5F4AE1"/>
    <w:rsid w:val="3E853745"/>
    <w:rsid w:val="3F2604DF"/>
    <w:rsid w:val="3F6783E4"/>
    <w:rsid w:val="3F842066"/>
    <w:rsid w:val="3FFF82D4"/>
    <w:rsid w:val="402E7C06"/>
    <w:rsid w:val="40FE5F8F"/>
    <w:rsid w:val="425049CE"/>
    <w:rsid w:val="442B16EC"/>
    <w:rsid w:val="458F64B9"/>
    <w:rsid w:val="45C51FFB"/>
    <w:rsid w:val="46157ACD"/>
    <w:rsid w:val="47243FC5"/>
    <w:rsid w:val="48C10000"/>
    <w:rsid w:val="4A555101"/>
    <w:rsid w:val="4ADF49AE"/>
    <w:rsid w:val="4B8F0B22"/>
    <w:rsid w:val="4C02380F"/>
    <w:rsid w:val="4C2E0AB6"/>
    <w:rsid w:val="4C7C04B3"/>
    <w:rsid w:val="4CC8271B"/>
    <w:rsid w:val="4D9306AE"/>
    <w:rsid w:val="4E8950D9"/>
    <w:rsid w:val="4F722566"/>
    <w:rsid w:val="4F93378A"/>
    <w:rsid w:val="503F09B5"/>
    <w:rsid w:val="516D5500"/>
    <w:rsid w:val="52802336"/>
    <w:rsid w:val="53A0483E"/>
    <w:rsid w:val="547C0750"/>
    <w:rsid w:val="55FE5622"/>
    <w:rsid w:val="57503162"/>
    <w:rsid w:val="58A4140A"/>
    <w:rsid w:val="591F0542"/>
    <w:rsid w:val="597E7B62"/>
    <w:rsid w:val="59A10938"/>
    <w:rsid w:val="5BA419F7"/>
    <w:rsid w:val="5BEF1DBF"/>
    <w:rsid w:val="5BF91583"/>
    <w:rsid w:val="5BFB2E57"/>
    <w:rsid w:val="5C5D2BD9"/>
    <w:rsid w:val="5DD7483B"/>
    <w:rsid w:val="5E5FAB03"/>
    <w:rsid w:val="5E605C94"/>
    <w:rsid w:val="5EA00CBE"/>
    <w:rsid w:val="5F9FEDD5"/>
    <w:rsid w:val="5FBEF003"/>
    <w:rsid w:val="5FE33914"/>
    <w:rsid w:val="5FFA4D85"/>
    <w:rsid w:val="602422E6"/>
    <w:rsid w:val="603F2E02"/>
    <w:rsid w:val="60B635F2"/>
    <w:rsid w:val="60C16F3B"/>
    <w:rsid w:val="612E7E8C"/>
    <w:rsid w:val="617678F3"/>
    <w:rsid w:val="61DC2B1A"/>
    <w:rsid w:val="636955DE"/>
    <w:rsid w:val="646E5E05"/>
    <w:rsid w:val="64E43803"/>
    <w:rsid w:val="657F58CB"/>
    <w:rsid w:val="66934D57"/>
    <w:rsid w:val="6AD7030F"/>
    <w:rsid w:val="6BA277B7"/>
    <w:rsid w:val="6BCC1BB9"/>
    <w:rsid w:val="6C6723F1"/>
    <w:rsid w:val="6CA517CF"/>
    <w:rsid w:val="6D064CEC"/>
    <w:rsid w:val="6D6C7F13"/>
    <w:rsid w:val="6D923254"/>
    <w:rsid w:val="6DD2313B"/>
    <w:rsid w:val="6E04767D"/>
    <w:rsid w:val="6E355D52"/>
    <w:rsid w:val="6E6950E9"/>
    <w:rsid w:val="6ED952C0"/>
    <w:rsid w:val="6F013B3F"/>
    <w:rsid w:val="6F732ABB"/>
    <w:rsid w:val="6FA46BC3"/>
    <w:rsid w:val="6FF58B64"/>
    <w:rsid w:val="6FF8F863"/>
    <w:rsid w:val="70CF02CA"/>
    <w:rsid w:val="70F532B7"/>
    <w:rsid w:val="71013020"/>
    <w:rsid w:val="710D7C3E"/>
    <w:rsid w:val="71857D38"/>
    <w:rsid w:val="71FC56E7"/>
    <w:rsid w:val="7376089F"/>
    <w:rsid w:val="74E06ABE"/>
    <w:rsid w:val="75B2DA43"/>
    <w:rsid w:val="75BD90DB"/>
    <w:rsid w:val="75CC41D0"/>
    <w:rsid w:val="75F8119D"/>
    <w:rsid w:val="76222141"/>
    <w:rsid w:val="76704CDE"/>
    <w:rsid w:val="76D869B3"/>
    <w:rsid w:val="76FD0A98"/>
    <w:rsid w:val="77DF8BD4"/>
    <w:rsid w:val="77EFD5CC"/>
    <w:rsid w:val="77FFADAC"/>
    <w:rsid w:val="7835649C"/>
    <w:rsid w:val="789620E4"/>
    <w:rsid w:val="78FD530C"/>
    <w:rsid w:val="7AFB4DD2"/>
    <w:rsid w:val="7B0F6E9A"/>
    <w:rsid w:val="7BA46A39"/>
    <w:rsid w:val="7BFD6076"/>
    <w:rsid w:val="7C8E43D6"/>
    <w:rsid w:val="7DA813EB"/>
    <w:rsid w:val="7DFF108F"/>
    <w:rsid w:val="7EED8AE6"/>
    <w:rsid w:val="7F5A6980"/>
    <w:rsid w:val="7FEADF5C"/>
    <w:rsid w:val="91BF8AB9"/>
    <w:rsid w:val="9FF1B21D"/>
    <w:rsid w:val="B7BFD803"/>
    <w:rsid w:val="BD5EB179"/>
    <w:rsid w:val="BD7F788E"/>
    <w:rsid w:val="DEFF1EB3"/>
    <w:rsid w:val="DF3F4C88"/>
    <w:rsid w:val="DF7A9960"/>
    <w:rsid w:val="DFBF15D5"/>
    <w:rsid w:val="DFD70EC8"/>
    <w:rsid w:val="DFFE6C63"/>
    <w:rsid w:val="E53DE605"/>
    <w:rsid w:val="E775D448"/>
    <w:rsid w:val="ECC7B000"/>
    <w:rsid w:val="F0ED2927"/>
    <w:rsid w:val="F3EF5848"/>
    <w:rsid w:val="F5A28C7E"/>
    <w:rsid w:val="F9BF6AE4"/>
    <w:rsid w:val="FB57F652"/>
    <w:rsid w:val="FBBF88F6"/>
    <w:rsid w:val="FBFEBC90"/>
    <w:rsid w:val="FCF69F69"/>
    <w:rsid w:val="FD7BEF22"/>
    <w:rsid w:val="FD8BB826"/>
    <w:rsid w:val="FD9199D6"/>
    <w:rsid w:val="FDAC17BA"/>
    <w:rsid w:val="FDDF4064"/>
    <w:rsid w:val="FDF46C9E"/>
    <w:rsid w:val="FEAFF630"/>
    <w:rsid w:val="FEDEBCAC"/>
    <w:rsid w:val="FF7F62AA"/>
    <w:rsid w:val="FFDBA3A8"/>
    <w:rsid w:val="FFDF073B"/>
    <w:rsid w:val="FFFE0A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numPr>
        <w:ilvl w:val="0"/>
        <w:numId w:val="1"/>
      </w:numPr>
      <w:spacing w:before="240" w:after="120"/>
      <w:jc w:val="left"/>
      <w:outlineLvl w:val="0"/>
    </w:pPr>
    <w:rPr>
      <w:rFonts w:ascii="Times New Roman" w:hAnsi="Times New Roman" w:cs="Mangal"/>
      <w:color w:val="00000A"/>
      <w:sz w:val="24"/>
      <w:lang w:val="zh-CN" w:bidi="hi-I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439</Words>
  <Characters>439</Characters>
  <Lines>0</Lines>
  <Paragraphs>0</Paragraphs>
  <TotalTime>4</TotalTime>
  <ScaleCrop>false</ScaleCrop>
  <LinksUpToDate>false</LinksUpToDate>
  <CharactersWithSpaces>1173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2021-08-02T10:04:00Z</dcterms:created>
  <dc:creator>胖林宝宝噜啦噜～</dc:creator>
  <cp:lastModifiedBy>Administrator</cp:lastModifiedBy>
  <dcterms:modified xsi:type="dcterms:W3CDTF">2026-03-17T01:10:19Z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526F4C53292B48849053E71A59849707</vt:lpwstr>
  </property>
</Properties>
</file>