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5B11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190AB053">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6F29B91F">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融水市监处罚〔2026〕28号</w:t>
      </w:r>
      <w:bookmarkEnd w:id="2"/>
    </w:p>
    <w:p w14:paraId="5A8525F1">
      <w:pPr>
        <w:keepNext w:val="0"/>
        <w:keepLines w:val="0"/>
        <w:pageBreakBefore w:val="0"/>
        <w:widowControl w:val="0"/>
        <w:kinsoku/>
        <w:overflowPunct/>
        <w:bidi w:val="0"/>
        <w:snapToGrid/>
        <w:spacing w:before="315" w:beforeLines="100" w:line="520" w:lineRule="exact"/>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r>
        <w:rPr>
          <w:rFonts w:hint="eastAsia" w:ascii="仿宋_GB2312" w:hAnsi="仿宋_GB2312" w:eastAsia="仿宋_GB2312" w:cs="仿宋_GB2312"/>
          <w:b w:val="0"/>
          <w:bCs w:val="0"/>
          <w:color w:val="000000"/>
          <w:sz w:val="32"/>
          <w:szCs w:val="32"/>
          <w:highlight w:val="none"/>
          <w:u w:val="none"/>
          <w:lang w:val="en-US" w:eastAsia="zh-CN"/>
        </w:rPr>
        <w:t>融水县拱洞乡愿玉便民店</w:t>
      </w:r>
    </w:p>
    <w:p w14:paraId="0C65F4CC">
      <w:pPr>
        <w:keepNext w:val="0"/>
        <w:keepLines w:val="0"/>
        <w:pageBreakBefore w:val="0"/>
        <w:widowControl w:val="0"/>
        <w:kinsoku/>
        <w:overflowPunct/>
        <w:bidi w:val="0"/>
        <w:snapToGrid/>
        <w:spacing w:line="520" w:lineRule="exact"/>
        <w:textAlignment w:val="auto"/>
        <w:rPr>
          <w:rFonts w:hint="eastAsia" w:ascii="仿宋_GB2312" w:hAnsi="仿宋_GB2312" w:eastAsia="仿宋_GB2312" w:cs="仿宋_GB2312"/>
          <w:b w:val="0"/>
          <w:color w:val="auto"/>
          <w:sz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3" w:name="CALCULATE—DSR—tAjDsrs_cZtzgzzmc"/>
      <w:r>
        <w:rPr>
          <w:rFonts w:hint="eastAsia" w:ascii="仿宋_GB2312" w:hAnsi="仿宋_GB2312" w:eastAsia="仿宋_GB2312" w:cs="仿宋_GB2312"/>
          <w:b w:val="0"/>
          <w:color w:val="000000"/>
          <w:sz w:val="32"/>
          <w:u w:val="none" w:color="auto"/>
        </w:rPr>
        <w:t>营业执照</w:t>
      </w:r>
      <w:bookmarkEnd w:id="3"/>
    </w:p>
    <w:p w14:paraId="35EC9DCB">
      <w:pPr>
        <w:keepNext w:val="0"/>
        <w:keepLines w:val="0"/>
        <w:pageBreakBefore w:val="0"/>
        <w:widowControl w:val="0"/>
        <w:kinsoku/>
        <w:overflowPunct/>
        <w:bidi w:val="0"/>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kern w:val="1"/>
          <w:sz w:val="32"/>
          <w:szCs w:val="32"/>
          <w:u w:val="none" w:color="auto"/>
        </w:rPr>
        <w:t>统一社会信用代码：</w:t>
      </w:r>
      <w:r>
        <w:rPr>
          <w:rFonts w:hint="eastAsia" w:ascii="仿宋_GB2312" w:hAnsi="仿宋_GB2312" w:eastAsia="仿宋_GB2312" w:cs="仿宋_GB2312"/>
          <w:color w:val="000000"/>
          <w:sz w:val="32"/>
          <w:szCs w:val="32"/>
          <w:u w:val="none"/>
        </w:rPr>
        <w:t>92450225MA</w:t>
      </w:r>
      <w:r>
        <w:rPr>
          <w:rFonts w:hint="eastAsia" w:ascii="仿宋_GB2312" w:hAnsi="仿宋_GB2312" w:eastAsia="仿宋_GB2312" w:cs="仿宋_GB2312"/>
          <w:color w:val="000000"/>
          <w:sz w:val="32"/>
          <w:szCs w:val="32"/>
          <w:u w:val="none"/>
          <w:lang w:val="en-US" w:eastAsia="zh-CN"/>
        </w:rPr>
        <w:t>DY2WC22Q</w:t>
      </w:r>
    </w:p>
    <w:p w14:paraId="7199B8A0">
      <w:pPr>
        <w:keepNext w:val="0"/>
        <w:keepLines w:val="0"/>
        <w:pageBreakBefore w:val="0"/>
        <w:widowControl w:val="0"/>
        <w:kinsoku/>
        <w:overflowPunct/>
        <w:bidi w:val="0"/>
        <w:snapToGrid/>
        <w:spacing w:line="520" w:lineRule="exact"/>
        <w:textAlignment w:val="auto"/>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color w:val="000000"/>
          <w:kern w:val="1"/>
          <w:sz w:val="32"/>
          <w:szCs w:val="32"/>
          <w:u w:val="none" w:color="auto"/>
        </w:rPr>
        <w:t>住所：</w:t>
      </w:r>
      <w:bookmarkStart w:id="4" w:name="CALCULATE—DSR—tAjDsrs_cLxdzSheng"/>
      <w:r>
        <w:rPr>
          <w:rFonts w:hint="eastAsia" w:ascii="仿宋_GB2312" w:hAnsi="仿宋_GB2312" w:eastAsia="仿宋_GB2312" w:cs="仿宋_GB2312"/>
          <w:b w:val="0"/>
          <w:color w:val="000000"/>
          <w:sz w:val="32"/>
          <w:u w:val="none" w:color="auto"/>
        </w:rPr>
        <w:t>融水苗族自治县广西柳州市融水县拱洞乡</w:t>
      </w:r>
      <w:bookmarkEnd w:id="4"/>
      <w:r>
        <w:rPr>
          <w:rFonts w:hint="eastAsia" w:ascii="仿宋_GB2312" w:hAnsi="仿宋_GB2312" w:eastAsia="仿宋_GB2312" w:cs="仿宋_GB2312"/>
          <w:b w:val="0"/>
          <w:bCs w:val="0"/>
          <w:color w:val="000000"/>
          <w:sz w:val="32"/>
          <w:szCs w:val="32"/>
          <w:highlight w:val="none"/>
          <w:u w:val="none"/>
          <w:lang w:val="en-US" w:eastAsia="zh-CN"/>
        </w:rPr>
        <w:t>龙培村******</w:t>
      </w:r>
    </w:p>
    <w:p w14:paraId="6AD786C7">
      <w:pPr>
        <w:keepNext w:val="0"/>
        <w:keepLines w:val="0"/>
        <w:pageBreakBefore w:val="0"/>
        <w:widowControl w:val="0"/>
        <w:kinsoku/>
        <w:overflowPunct/>
        <w:bidi w:val="0"/>
        <w:snapToGrid/>
        <w:spacing w:line="520" w:lineRule="exact"/>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r>
        <w:rPr>
          <w:rFonts w:hint="eastAsia" w:ascii="仿宋_GB2312" w:hAnsi="仿宋_GB2312" w:eastAsia="仿宋_GB2312" w:cs="仿宋_GB2312"/>
          <w:color w:val="000000"/>
          <w:sz w:val="32"/>
          <w:szCs w:val="32"/>
          <w:u w:val="none"/>
          <w:lang w:eastAsia="zh-CN"/>
        </w:rPr>
        <w:t>杨玉林</w:t>
      </w:r>
    </w:p>
    <w:p w14:paraId="4B9D6FC0">
      <w:pPr>
        <w:keepNext w:val="0"/>
        <w:keepLines w:val="0"/>
        <w:pageBreakBefore w:val="0"/>
        <w:widowControl w:val="0"/>
        <w:kinsoku/>
        <w:overflowPunct/>
        <w:bidi w:val="0"/>
        <w:snapToGrid/>
        <w:spacing w:line="520" w:lineRule="exact"/>
        <w:textAlignment w:val="auto"/>
        <w:rPr>
          <w:rFonts w:hint="default"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身份证件号码：</w:t>
      </w:r>
      <w:r>
        <w:rPr>
          <w:rFonts w:hint="eastAsia" w:ascii="仿宋_GB2312" w:hAnsi="仿宋_GB2312" w:eastAsia="仿宋_GB2312" w:cs="仿宋_GB2312"/>
          <w:color w:val="000000"/>
          <w:sz w:val="32"/>
          <w:szCs w:val="32"/>
          <w:u w:val="none"/>
        </w:rPr>
        <w:t>45222919</w:t>
      </w:r>
      <w:r>
        <w:rPr>
          <w:rFonts w:hint="eastAsia" w:ascii="仿宋_GB2312" w:hAnsi="仿宋_GB2312" w:eastAsia="仿宋_GB2312" w:cs="仿宋_GB2312"/>
          <w:color w:val="000000"/>
          <w:sz w:val="32"/>
          <w:szCs w:val="32"/>
          <w:u w:val="none"/>
          <w:lang w:val="en-US" w:eastAsia="zh-CN"/>
        </w:rPr>
        <w:t>6704******</w:t>
      </w:r>
    </w:p>
    <w:p w14:paraId="79906271">
      <w:pPr>
        <w:pStyle w:val="4"/>
        <w:keepNext w:val="0"/>
        <w:keepLines w:val="0"/>
        <w:pageBreakBefore w:val="0"/>
        <w:widowControl w:val="0"/>
        <w:tabs>
          <w:tab w:val="left" w:pos="9060"/>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color w:val="000000"/>
          <w:sz w:val="32"/>
          <w:szCs w:val="32"/>
          <w:u w:val="none"/>
        </w:rPr>
        <w:t>2026年1月</w:t>
      </w:r>
      <w:r>
        <w:rPr>
          <w:rFonts w:hint="eastAsia" w:ascii="仿宋_GB2312" w:hAnsi="仿宋_GB2312" w:eastAsia="仿宋_GB2312" w:cs="仿宋_GB2312"/>
          <w:color w:val="000000"/>
          <w:sz w:val="32"/>
          <w:szCs w:val="32"/>
          <w:u w:val="none"/>
          <w:lang w:val="en-US" w:eastAsia="zh-CN"/>
        </w:rPr>
        <w:t>27</w:t>
      </w:r>
      <w:r>
        <w:rPr>
          <w:rFonts w:hint="eastAsia" w:ascii="仿宋_GB2312" w:hAnsi="仿宋_GB2312" w:eastAsia="仿宋_GB2312" w:cs="仿宋_GB2312"/>
          <w:color w:val="000000"/>
          <w:sz w:val="32"/>
          <w:szCs w:val="32"/>
          <w:u w:val="none"/>
        </w:rPr>
        <w:t>日，本局执法人员到达</w:t>
      </w:r>
      <w:r>
        <w:rPr>
          <w:rFonts w:hint="eastAsia" w:ascii="仿宋_GB2312" w:hAnsi="仿宋_GB2312" w:eastAsia="仿宋_GB2312" w:cs="仿宋_GB2312"/>
          <w:b w:val="0"/>
          <w:bCs w:val="0"/>
          <w:color w:val="000000"/>
          <w:sz w:val="32"/>
          <w:szCs w:val="32"/>
          <w:highlight w:val="none"/>
          <w:u w:val="none"/>
          <w:lang w:val="en-US" w:eastAsia="zh-CN"/>
        </w:rPr>
        <w:t>广西柳州市融水县拱洞乡龙培村******</w:t>
      </w:r>
      <w:r>
        <w:rPr>
          <w:rFonts w:hint="eastAsia" w:ascii="仿宋_GB2312" w:hAnsi="仿宋_GB2312" w:eastAsia="仿宋_GB2312" w:cs="仿宋_GB2312"/>
          <w:color w:val="000000"/>
          <w:sz w:val="32"/>
          <w:szCs w:val="32"/>
          <w:u w:val="none"/>
        </w:rPr>
        <w:t>的</w:t>
      </w:r>
      <w:r>
        <w:rPr>
          <w:rFonts w:hint="eastAsia" w:ascii="仿宋_GB2312" w:hAnsi="仿宋_GB2312" w:eastAsia="仿宋_GB2312" w:cs="仿宋_GB2312"/>
          <w:b w:val="0"/>
          <w:bCs w:val="0"/>
          <w:color w:val="000000"/>
          <w:sz w:val="32"/>
          <w:szCs w:val="32"/>
          <w:highlight w:val="none"/>
          <w:u w:val="none"/>
          <w:lang w:val="en-US" w:eastAsia="zh-CN"/>
        </w:rPr>
        <w:t>融水县拱洞乡愿玉便民店</w:t>
      </w:r>
      <w:r>
        <w:rPr>
          <w:rFonts w:hint="eastAsia" w:ascii="仿宋_GB2312" w:hAnsi="仿宋_GB2312" w:eastAsia="仿宋_GB2312" w:cs="仿宋_GB2312"/>
          <w:color w:val="000000"/>
          <w:sz w:val="32"/>
          <w:szCs w:val="32"/>
          <w:u w:val="none"/>
        </w:rPr>
        <w:t>开展执法检查，该店正开门对外营业，经营者</w:t>
      </w:r>
      <w:r>
        <w:rPr>
          <w:rFonts w:hint="eastAsia" w:ascii="仿宋_GB2312" w:hAnsi="仿宋_GB2312" w:eastAsia="仿宋_GB2312" w:cs="仿宋_GB2312"/>
          <w:color w:val="000000"/>
          <w:sz w:val="32"/>
          <w:szCs w:val="32"/>
          <w:u w:val="none"/>
          <w:lang w:eastAsia="zh-CN"/>
        </w:rPr>
        <w:t>杨玉林</w:t>
      </w:r>
      <w:r>
        <w:rPr>
          <w:rFonts w:hint="eastAsia" w:ascii="仿宋_GB2312" w:hAnsi="仿宋_GB2312" w:eastAsia="仿宋_GB2312" w:cs="仿宋_GB2312"/>
          <w:color w:val="000000"/>
          <w:sz w:val="32"/>
          <w:szCs w:val="32"/>
          <w:u w:val="none"/>
        </w:rPr>
        <w:t>现场陪同，持有《营业执照》一本，经营范围：许可项目：</w:t>
      </w:r>
      <w:r>
        <w:rPr>
          <w:rFonts w:hint="eastAsia" w:ascii="仿宋_GB2312" w:hAnsi="仿宋_GB2312" w:eastAsia="仿宋_GB2312" w:cs="仿宋_GB2312"/>
          <w:b w:val="0"/>
          <w:bCs w:val="0"/>
          <w:color w:val="000000"/>
          <w:sz w:val="32"/>
          <w:szCs w:val="32"/>
          <w:u w:val="none"/>
          <w:lang w:val="en-US" w:eastAsia="zh-CN"/>
        </w:rPr>
        <w:t>食品销售（仅销售预包装食品）、保健食品（预包装）销售；新鲜水果零售；食用农产品零售；日用百货销售（除依法须经批准的项目外，凭营业执照依法自主开展经营活动）</w:t>
      </w:r>
      <w:r>
        <w:rPr>
          <w:rFonts w:hint="eastAsia" w:ascii="仿宋_GB2312" w:hAnsi="仿宋_GB2312" w:eastAsia="仿宋_GB2312" w:cs="仿宋_GB2312"/>
          <w:color w:val="000000"/>
          <w:sz w:val="32"/>
          <w:szCs w:val="32"/>
          <w:u w:val="none"/>
        </w:rPr>
        <w:t>。执法人员在</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经营场所内检查发现有“真龙（起源）”</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“真龙(致青春)”</w:t>
      </w:r>
      <w:r>
        <w:rPr>
          <w:rFonts w:hint="eastAsia" w:ascii="仿宋_GB2312" w:hAnsi="仿宋_GB2312" w:eastAsia="仿宋_GB2312" w:cs="仿宋_GB2312"/>
          <w:color w:val="000000"/>
          <w:sz w:val="32"/>
          <w:szCs w:val="32"/>
          <w:u w:val="none"/>
        </w:rPr>
        <w:t>等7个品种共</w:t>
      </w: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rPr>
        <w:t>条烟草制品零售，</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现场未能提供《烟草专卖零售许可证》及购进烟草制品的供货者资质材料、购进票据。</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的行为涉嫌违反了《烟草专卖法实施条例》第六条第</w:t>
      </w:r>
      <w:r>
        <w:rPr>
          <w:rFonts w:hint="eastAsia" w:ascii="仿宋_GB2312" w:hAnsi="仿宋_GB2312" w:eastAsia="仿宋_GB2312" w:cs="仿宋_GB2312"/>
          <w:color w:val="000000"/>
          <w:sz w:val="32"/>
          <w:szCs w:val="32"/>
          <w:highlight w:val="none"/>
          <w:u w:val="none"/>
        </w:rPr>
        <w:t>一款的规定，</w:t>
      </w:r>
      <w:r>
        <w:rPr>
          <w:rFonts w:hint="eastAsia" w:ascii="仿宋_GB2312" w:hAnsi="仿宋_GB2312" w:eastAsia="仿宋_GB2312" w:cs="仿宋_GB2312"/>
          <w:color w:val="000000"/>
          <w:sz w:val="32"/>
          <w:szCs w:val="32"/>
          <w:highlight w:val="none"/>
          <w:u w:val="none"/>
          <w:lang w:eastAsia="zh-CN"/>
        </w:rPr>
        <w:t>经本局领导审批同意，</w:t>
      </w:r>
      <w:r>
        <w:rPr>
          <w:rFonts w:hint="eastAsia" w:ascii="仿宋_GB2312" w:hAnsi="仿宋_GB2312" w:eastAsia="仿宋_GB2312" w:cs="仿宋_GB2312"/>
          <w:color w:val="000000"/>
          <w:sz w:val="32"/>
          <w:szCs w:val="32"/>
          <w:highlight w:val="none"/>
          <w:u w:val="none"/>
          <w:lang w:val="en-US" w:eastAsia="zh-CN"/>
        </w:rPr>
        <w:t>2025年1月29日</w:t>
      </w:r>
      <w:r>
        <w:rPr>
          <w:rFonts w:hint="eastAsia" w:ascii="仿宋_GB2312" w:hAnsi="仿宋_GB2312" w:eastAsia="仿宋_GB2312" w:cs="仿宋_GB2312"/>
          <w:color w:val="000000"/>
          <w:sz w:val="32"/>
          <w:szCs w:val="32"/>
          <w:highlight w:val="none"/>
          <w:u w:val="none"/>
          <w:lang w:eastAsia="zh-CN"/>
        </w:rPr>
        <w:t>对</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highlight w:val="none"/>
          <w:u w:val="none"/>
          <w:lang w:eastAsia="zh-CN"/>
        </w:rPr>
        <w:t>的行为立案调查。</w:t>
      </w:r>
      <w:r>
        <w:rPr>
          <w:rFonts w:hint="eastAsia" w:ascii="仿宋_GB2312" w:hAnsi="仿宋_GB2312" w:eastAsia="仿宋_GB2312" w:cs="仿宋_GB2312"/>
          <w:color w:val="000000"/>
          <w:sz w:val="32"/>
          <w:szCs w:val="32"/>
          <w:highlight w:val="none"/>
          <w:u w:val="none"/>
          <w:lang w:val="en-US" w:eastAsia="zh-CN"/>
        </w:rPr>
        <w:t>2026年2月2日，经营者</w:t>
      </w:r>
      <w:r>
        <w:rPr>
          <w:rFonts w:hint="eastAsia" w:ascii="仿宋_GB2312" w:hAnsi="仿宋_GB2312" w:eastAsia="仿宋_GB2312" w:cs="仿宋_GB2312"/>
          <w:color w:val="000000"/>
          <w:sz w:val="32"/>
          <w:szCs w:val="32"/>
          <w:highlight w:val="none"/>
          <w:u w:val="none"/>
          <w:lang w:eastAsia="zh-CN"/>
        </w:rPr>
        <w:t>杨玉林到本局接受询问调查，提供了相</w:t>
      </w:r>
      <w:r>
        <w:rPr>
          <w:rFonts w:hint="eastAsia" w:ascii="仿宋_GB2312" w:hAnsi="仿宋_GB2312" w:eastAsia="仿宋_GB2312" w:cs="仿宋_GB2312"/>
          <w:color w:val="000000"/>
          <w:sz w:val="32"/>
          <w:szCs w:val="32"/>
          <w:u w:val="none"/>
          <w:lang w:eastAsia="zh-CN"/>
        </w:rPr>
        <w:t>关证据材料</w:t>
      </w:r>
      <w:r>
        <w:rPr>
          <w:rFonts w:hint="eastAsia" w:ascii="仿宋_GB2312" w:hAnsi="仿宋_GB2312" w:eastAsia="仿宋_GB2312" w:cs="仿宋_GB2312"/>
          <w:color w:val="000000"/>
          <w:kern w:val="0"/>
          <w:sz w:val="32"/>
          <w:szCs w:val="32"/>
          <w:u w:val="none" w:color="auto"/>
          <w:lang w:val="en-US" w:eastAsia="zh-CN" w:bidi="ar-SA"/>
        </w:rPr>
        <w:t>。</w:t>
      </w:r>
    </w:p>
    <w:p w14:paraId="1E18F298">
      <w:pPr>
        <w:pStyle w:val="4"/>
        <w:keepNext w:val="0"/>
        <w:keepLines w:val="0"/>
        <w:pageBreakBefore w:val="0"/>
        <w:widowControl w:val="0"/>
        <w:tabs>
          <w:tab w:val="left" w:pos="8240"/>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u w:val="none" w:color="auto"/>
          <w:lang w:val="en-US" w:eastAsia="zh-CN"/>
        </w:rPr>
      </w:pPr>
      <w:bookmarkStart w:id="5" w:name="CALCULATE—AJCF—tAjCfes_cAjss"/>
      <w:r>
        <w:rPr>
          <w:rFonts w:hint="eastAsia" w:ascii="仿宋_GB2312" w:hAnsi="仿宋_GB2312" w:eastAsia="仿宋_GB2312" w:cs="仿宋_GB2312"/>
          <w:color w:val="000000"/>
          <w:sz w:val="32"/>
          <w:szCs w:val="32"/>
          <w:u w:val="none"/>
        </w:rPr>
        <w:t>经查，</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于</w:t>
      </w:r>
      <w:r>
        <w:rPr>
          <w:rFonts w:hint="eastAsia" w:ascii="仿宋_GB2312" w:hAnsi="仿宋_GB2312" w:eastAsia="仿宋_GB2312" w:cs="仿宋_GB2312"/>
          <w:b w:val="0"/>
          <w:bCs w:val="0"/>
          <w:color w:val="000000"/>
          <w:sz w:val="32"/>
          <w:szCs w:val="32"/>
          <w:u w:val="none"/>
          <w:lang w:val="en-US" w:eastAsia="zh-CN"/>
        </w:rPr>
        <w:t>2024年9月6日</w:t>
      </w:r>
      <w:r>
        <w:rPr>
          <w:rFonts w:hint="eastAsia" w:ascii="仿宋_GB2312" w:hAnsi="仿宋_GB2312" w:eastAsia="仿宋_GB2312" w:cs="仿宋_GB2312"/>
          <w:color w:val="000000"/>
          <w:sz w:val="32"/>
          <w:szCs w:val="32"/>
          <w:u w:val="none"/>
        </w:rPr>
        <w:t>注册《营业执照》在</w:t>
      </w:r>
      <w:r>
        <w:rPr>
          <w:rFonts w:hint="eastAsia" w:ascii="仿宋_GB2312" w:hAnsi="仿宋_GB2312" w:eastAsia="仿宋_GB2312" w:cs="仿宋_GB2312"/>
          <w:b w:val="0"/>
          <w:bCs w:val="0"/>
          <w:color w:val="000000"/>
          <w:sz w:val="32"/>
          <w:szCs w:val="32"/>
          <w:highlight w:val="none"/>
          <w:u w:val="none"/>
          <w:lang w:val="en-US" w:eastAsia="zh-CN"/>
        </w:rPr>
        <w:t>广西柳州市融水县拱洞乡龙培村******</w:t>
      </w:r>
      <w:bookmarkStart w:id="11" w:name="_GoBack"/>
      <w:bookmarkEnd w:id="11"/>
      <w:r>
        <w:rPr>
          <w:rFonts w:hint="eastAsia" w:ascii="仿宋_GB2312" w:hAnsi="仿宋_GB2312" w:eastAsia="仿宋_GB2312" w:cs="仿宋_GB2312"/>
          <w:color w:val="000000"/>
          <w:sz w:val="32"/>
          <w:szCs w:val="32"/>
          <w:u w:val="none"/>
        </w:rPr>
        <w:t>从事</w:t>
      </w:r>
      <w:r>
        <w:rPr>
          <w:rFonts w:hint="eastAsia" w:ascii="仿宋_GB2312" w:hAnsi="仿宋_GB2312" w:eastAsia="仿宋_GB2312" w:cs="仿宋_GB2312"/>
          <w:b w:val="0"/>
          <w:bCs w:val="0"/>
          <w:color w:val="000000"/>
          <w:sz w:val="32"/>
          <w:szCs w:val="32"/>
          <w:u w:val="none"/>
          <w:lang w:val="en-US" w:eastAsia="zh-CN"/>
        </w:rPr>
        <w:t>食品销售（仅销售预包装食品）、保健食品（预</w:t>
      </w:r>
      <w:r>
        <w:rPr>
          <w:rFonts w:hint="eastAsia" w:ascii="仿宋_GB2312" w:hAnsi="仿宋_GB2312" w:eastAsia="仿宋_GB2312" w:cs="仿宋_GB2312"/>
          <w:b w:val="0"/>
          <w:bCs w:val="0"/>
          <w:color w:val="000000"/>
          <w:sz w:val="32"/>
          <w:szCs w:val="32"/>
          <w:highlight w:val="none"/>
          <w:u w:val="none"/>
          <w:lang w:val="en-US" w:eastAsia="zh-CN"/>
        </w:rPr>
        <w:t>包装）销售；新鲜水果零售；食用农产品零售；日用百货销售</w:t>
      </w:r>
      <w:r>
        <w:rPr>
          <w:rFonts w:hint="eastAsia" w:ascii="仿宋_GB2312" w:hAnsi="仿宋_GB2312" w:eastAsia="仿宋_GB2312" w:cs="仿宋_GB2312"/>
          <w:color w:val="000000"/>
          <w:sz w:val="32"/>
          <w:szCs w:val="32"/>
          <w:highlight w:val="none"/>
          <w:u w:val="none"/>
        </w:rPr>
        <w:t>经营活动。2025年10月开始，</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highlight w:val="none"/>
          <w:u w:val="none"/>
        </w:rPr>
        <w:t>在未取得《烟草专卖零售许可证》的情况下，从</w:t>
      </w:r>
      <w:r>
        <w:rPr>
          <w:rFonts w:hint="eastAsia" w:ascii="仿宋_GB2312" w:hAnsi="仿宋_GB2312" w:eastAsia="仿宋_GB2312" w:cs="仿宋_GB2312"/>
          <w:b w:val="0"/>
          <w:bCs w:val="0"/>
          <w:color w:val="000000"/>
          <w:sz w:val="32"/>
          <w:szCs w:val="32"/>
          <w:highlight w:val="none"/>
          <w:u w:val="none"/>
          <w:lang w:val="en-US" w:eastAsia="zh-CN"/>
        </w:rPr>
        <w:t>融水县拱洞乡龙培村</w:t>
      </w:r>
      <w:r>
        <w:rPr>
          <w:rFonts w:hint="eastAsia" w:ascii="仿宋_GB2312" w:hAnsi="仿宋_GB2312" w:eastAsia="仿宋_GB2312" w:cs="仿宋_GB2312"/>
          <w:color w:val="000000"/>
          <w:sz w:val="32"/>
          <w:szCs w:val="32"/>
          <w:highlight w:val="none"/>
          <w:u w:val="none"/>
        </w:rPr>
        <w:t>取得《烟草专卖零售许可证》</w:t>
      </w:r>
      <w:r>
        <w:rPr>
          <w:rFonts w:hint="eastAsia" w:ascii="仿宋_GB2312" w:hAnsi="仿宋_GB2312" w:eastAsia="仿宋_GB2312" w:cs="仿宋_GB2312"/>
          <w:color w:val="000000"/>
          <w:sz w:val="32"/>
          <w:szCs w:val="32"/>
          <w:highlight w:val="none"/>
          <w:u w:val="none"/>
          <w:lang w:eastAsia="zh-CN"/>
        </w:rPr>
        <w:t>的商店</w:t>
      </w:r>
      <w:r>
        <w:rPr>
          <w:rFonts w:hint="eastAsia" w:ascii="仿宋_GB2312" w:hAnsi="仿宋_GB2312" w:eastAsia="仿宋_GB2312" w:cs="仿宋_GB2312"/>
          <w:color w:val="000000"/>
          <w:sz w:val="32"/>
          <w:szCs w:val="32"/>
          <w:highlight w:val="none"/>
          <w:u w:val="none"/>
        </w:rPr>
        <w:t>购</w:t>
      </w:r>
      <w:r>
        <w:rPr>
          <w:rFonts w:hint="eastAsia" w:ascii="仿宋_GB2312" w:hAnsi="仿宋_GB2312" w:eastAsia="仿宋_GB2312" w:cs="仿宋_GB2312"/>
          <w:color w:val="000000"/>
          <w:sz w:val="32"/>
          <w:szCs w:val="32"/>
          <w:u w:val="none"/>
        </w:rPr>
        <w:t>进烟草制品到其经营场所进行销售。2026年1月</w:t>
      </w:r>
      <w:r>
        <w:rPr>
          <w:rFonts w:hint="eastAsia" w:ascii="仿宋_GB2312" w:hAnsi="仿宋_GB2312" w:eastAsia="仿宋_GB2312" w:cs="仿宋_GB2312"/>
          <w:color w:val="000000"/>
          <w:sz w:val="32"/>
          <w:szCs w:val="32"/>
          <w:u w:val="none"/>
          <w:lang w:val="en-US" w:eastAsia="zh-CN"/>
        </w:rPr>
        <w:t>27</w:t>
      </w:r>
      <w:r>
        <w:rPr>
          <w:rFonts w:hint="eastAsia" w:ascii="仿宋_GB2312" w:hAnsi="仿宋_GB2312" w:eastAsia="仿宋_GB2312" w:cs="仿宋_GB2312"/>
          <w:color w:val="000000"/>
          <w:sz w:val="32"/>
          <w:szCs w:val="32"/>
          <w:u w:val="none"/>
        </w:rPr>
        <w:t>日，本局执法人员依法对</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进行监督检查，在</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经营场所查获“真龙(起源)”</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“真龙(致青春)”</w:t>
      </w:r>
      <w:r>
        <w:rPr>
          <w:rFonts w:hint="eastAsia" w:ascii="仿宋_GB2312" w:hAnsi="仿宋_GB2312" w:eastAsia="仿宋_GB2312" w:cs="仿宋_GB2312"/>
          <w:color w:val="000000"/>
          <w:sz w:val="32"/>
          <w:szCs w:val="32"/>
          <w:u w:val="none"/>
        </w:rPr>
        <w:t>等烟草制品7个品种共计</w:t>
      </w: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rPr>
        <w:t>条。经核实，</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购进烟草制品未建立有台账，无法核实</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至案发共入库和销售烟草制品的具体数量，以现场检查发现的烟草制品的零售单价的总和</w:t>
      </w:r>
      <w:r>
        <w:rPr>
          <w:rFonts w:hint="eastAsia" w:ascii="仿宋_GB2312" w:hAnsi="仿宋_GB2312" w:eastAsia="仿宋_GB2312" w:cs="仿宋_GB2312"/>
          <w:color w:val="000000"/>
          <w:sz w:val="32"/>
          <w:szCs w:val="32"/>
          <w:u w:val="none"/>
          <w:lang w:val="en-US" w:eastAsia="zh-CN"/>
        </w:rPr>
        <w:t>1442</w:t>
      </w:r>
      <w:r>
        <w:rPr>
          <w:rFonts w:hint="eastAsia" w:ascii="仿宋_GB2312" w:hAnsi="仿宋_GB2312" w:eastAsia="仿宋_GB2312" w:cs="仿宋_GB2312"/>
          <w:color w:val="000000"/>
          <w:sz w:val="32"/>
          <w:szCs w:val="32"/>
          <w:u w:val="none"/>
        </w:rPr>
        <w:t>元认定为该案涉案货值金额，同时违法所得无法计算，该案无违法所得</w:t>
      </w:r>
      <w:r>
        <w:rPr>
          <w:rFonts w:hint="eastAsia" w:ascii="仿宋_GB2312" w:hAnsi="仿宋_GB2312" w:eastAsia="仿宋_GB2312" w:cs="仿宋_GB2312"/>
          <w:b w:val="0"/>
          <w:color w:val="000000"/>
          <w:sz w:val="32"/>
          <w:u w:val="none" w:color="auto"/>
        </w:rPr>
        <w:t>。</w:t>
      </w:r>
      <w:bookmarkEnd w:id="5"/>
      <w:r>
        <w:rPr>
          <w:rFonts w:hint="eastAsia" w:ascii="仿宋_GB2312" w:hAnsi="仿宋_GB2312" w:eastAsia="仿宋_GB2312" w:cs="仿宋_GB2312"/>
          <w:b w:val="0"/>
          <w:bCs/>
          <w:color w:val="000000"/>
          <w:kern w:val="1"/>
          <w:sz w:val="32"/>
          <w:szCs w:val="32"/>
          <w:u w:val="none" w:color="auto"/>
          <w:lang w:val="en-US" w:eastAsia="zh-CN"/>
        </w:rPr>
        <w:t xml:space="preserve"> </w:t>
      </w:r>
    </w:p>
    <w:p w14:paraId="2799AD61">
      <w:pPr>
        <w:pStyle w:val="4"/>
        <w:keepNext w:val="0"/>
        <w:keepLines w:val="0"/>
        <w:pageBreakBefore w:val="0"/>
        <w:widowControl w:val="0"/>
        <w:tabs>
          <w:tab w:val="left" w:pos="8285"/>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02C3AA61">
      <w:pPr>
        <w:numPr>
          <w:ilvl w:val="0"/>
          <w:numId w:val="3"/>
        </w:numPr>
        <w:spacing w:line="520" w:lineRule="exact"/>
        <w:ind w:firstLine="640" w:firstLineChars="200"/>
        <w:rPr>
          <w:rFonts w:hint="eastAsia" w:ascii="仿宋_GB2312" w:hAnsi="仿宋_GB2312" w:eastAsia="仿宋_GB2312" w:cs="仿宋_GB2312"/>
          <w:sz w:val="32"/>
          <w:szCs w:val="32"/>
        </w:rPr>
      </w:pPr>
      <w:bookmarkStart w:id="6" w:name="CALCULATE—XZCFJDS—cCfgzwsSdrq"/>
      <w:r>
        <w:rPr>
          <w:rFonts w:hint="eastAsia" w:ascii="仿宋_GB2312" w:hAnsi="仿宋_GB2312" w:eastAsia="仿宋_GB2312" w:cs="仿宋_GB2312"/>
          <w:color w:val="000000"/>
          <w:sz w:val="32"/>
          <w:szCs w:val="32"/>
          <w:u w:val="none"/>
        </w:rPr>
        <w:t>现场笔录，证明执法人员依法开展检查及</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违法情况；</w:t>
      </w:r>
    </w:p>
    <w:p w14:paraId="31CD6188">
      <w:pPr>
        <w:numPr>
          <w:ilvl w:val="0"/>
          <w:numId w:val="0"/>
        </w:num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2.涉案烟草专卖品核价表，证明</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无证经营烟草制品的品种、数量及涉案货值；</w:t>
      </w:r>
    </w:p>
    <w:p w14:paraId="23CB6E1B">
      <w:pPr>
        <w:pStyle w:val="4"/>
        <w:keepNext w:val="0"/>
        <w:keepLines w:val="0"/>
        <w:pageBreakBefore w:val="0"/>
        <w:widowControl w:val="0"/>
        <w:tabs>
          <w:tab w:val="left" w:pos="8240"/>
        </w:tabs>
        <w:kinsoku/>
        <w:overflowPunct/>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3.询问笔录，证明</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的违法事实及涉案货值金额；</w:t>
      </w:r>
    </w:p>
    <w:p w14:paraId="649CB6A2">
      <w:pPr>
        <w:pStyle w:val="4"/>
        <w:keepNext w:val="0"/>
        <w:keepLines w:val="0"/>
        <w:pageBreakBefore w:val="0"/>
        <w:widowControl w:val="0"/>
        <w:tabs>
          <w:tab w:val="left" w:pos="8240"/>
        </w:tabs>
        <w:kinsoku/>
        <w:overflowPunct/>
        <w:bidi w:val="0"/>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rPr>
        <w:t>4.《先行登记保存证据通知书》及《解除先行登记保存证据通知书》，证明本局依法对进行先行登记保存措施及解除先行登记保存措施；</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5.证据提取单</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（现场检查图片），证明执法人员开展检查发现</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无证经营烟草制品情况；</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6.证据提取单</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（当事人营业执照和经营者居民身份证），证明</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的经营主体资质和经营者的合法身份信息；</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行政检查通知书</w:t>
      </w:r>
      <w:r>
        <w:rPr>
          <w:rFonts w:hint="eastAsia" w:ascii="仿宋_GB2312" w:hAnsi="仿宋_GB2312" w:eastAsia="仿宋_GB2312" w:cs="仿宋_GB2312"/>
          <w:color w:val="000000"/>
          <w:sz w:val="32"/>
          <w:szCs w:val="32"/>
          <w:u w:val="none"/>
          <w:lang w:eastAsia="zh-CN"/>
        </w:rPr>
        <w:t>》及《行政检查审批表》</w:t>
      </w:r>
      <w:r>
        <w:rPr>
          <w:rFonts w:hint="eastAsia" w:ascii="仿宋_GB2312" w:hAnsi="仿宋_GB2312" w:eastAsia="仿宋_GB2312" w:cs="仿宋_GB2312"/>
          <w:color w:val="000000"/>
          <w:sz w:val="32"/>
          <w:szCs w:val="32"/>
          <w:u w:val="none"/>
        </w:rPr>
        <w:t>，证明执法人员依法告知</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检查事项</w:t>
      </w:r>
      <w:r>
        <w:rPr>
          <w:rFonts w:hint="eastAsia" w:ascii="仿宋_GB2312" w:hAnsi="仿宋_GB2312" w:eastAsia="仿宋_GB2312" w:cs="仿宋_GB2312"/>
          <w:color w:val="000000"/>
          <w:sz w:val="32"/>
          <w:szCs w:val="32"/>
          <w:u w:val="none"/>
          <w:lang w:eastAsia="zh-CN"/>
        </w:rPr>
        <w:t>。</w:t>
      </w:r>
    </w:p>
    <w:p w14:paraId="1D12EEC2">
      <w:pPr>
        <w:pStyle w:val="4"/>
        <w:keepNext w:val="0"/>
        <w:keepLines w:val="0"/>
        <w:pageBreakBefore w:val="0"/>
        <w:widowControl w:val="0"/>
        <w:tabs>
          <w:tab w:val="left" w:pos="8240"/>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color w:val="000000"/>
          <w:sz w:val="32"/>
          <w:szCs w:val="32"/>
          <w:u w:val="none"/>
        </w:rPr>
        <w:t>2026年2月</w:t>
      </w:r>
      <w:r>
        <w:rPr>
          <w:rFonts w:hint="eastAsia" w:ascii="仿宋_GB2312" w:hAnsi="仿宋_GB2312" w:eastAsia="仿宋_GB2312" w:cs="仿宋_GB2312"/>
          <w:color w:val="000000"/>
          <w:sz w:val="32"/>
          <w:szCs w:val="32"/>
          <w:u w:val="none"/>
          <w:lang w:val="en-US" w:eastAsia="zh-CN"/>
        </w:rPr>
        <w:t>25</w:t>
      </w:r>
      <w:r>
        <w:rPr>
          <w:rFonts w:hint="eastAsia" w:ascii="仿宋_GB2312" w:hAnsi="仿宋_GB2312" w:eastAsia="仿宋_GB2312" w:cs="仿宋_GB2312"/>
          <w:color w:val="000000"/>
          <w:sz w:val="32"/>
          <w:szCs w:val="32"/>
          <w:u w:val="none"/>
        </w:rPr>
        <w:t>日</w:t>
      </w:r>
      <w:bookmarkEnd w:id="6"/>
      <w:r>
        <w:rPr>
          <w:rFonts w:hint="eastAsia" w:ascii="仿宋_GB2312" w:hAnsi="仿宋_GB2312" w:eastAsia="仿宋_GB2312" w:cs="仿宋_GB2312"/>
          <w:color w:val="000000"/>
          <w:sz w:val="32"/>
          <w:szCs w:val="32"/>
          <w:u w:val="none"/>
        </w:rPr>
        <w:t>，本局向</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送达了本案《行政处罚告知书》(</w:t>
      </w:r>
      <w:bookmarkStart w:id="7" w:name="CALCULATE—XZCFJDS—cCfgzSdwswh"/>
      <w:r>
        <w:rPr>
          <w:rFonts w:hint="eastAsia" w:ascii="仿宋_GB2312" w:hAnsi="仿宋_GB2312" w:eastAsia="仿宋_GB2312" w:cs="仿宋_GB2312"/>
          <w:color w:val="000000"/>
          <w:sz w:val="32"/>
          <w:szCs w:val="32"/>
          <w:u w:val="none"/>
        </w:rPr>
        <w:t>融水市监罚告〔2026〕</w:t>
      </w:r>
      <w:r>
        <w:rPr>
          <w:rFonts w:hint="eastAsia" w:ascii="仿宋_GB2312" w:hAnsi="仿宋_GB2312" w:eastAsia="仿宋_GB2312" w:cs="仿宋_GB2312"/>
          <w:color w:val="000000"/>
          <w:sz w:val="32"/>
          <w:szCs w:val="32"/>
          <w:u w:val="none"/>
          <w:lang w:val="en-US" w:eastAsia="zh-CN"/>
        </w:rPr>
        <w:t>18</w:t>
      </w:r>
      <w:r>
        <w:rPr>
          <w:rFonts w:hint="eastAsia" w:ascii="仿宋_GB2312" w:hAnsi="仿宋_GB2312" w:eastAsia="仿宋_GB2312" w:cs="仿宋_GB2312"/>
          <w:color w:val="000000"/>
          <w:sz w:val="32"/>
          <w:szCs w:val="32"/>
          <w:u w:val="none"/>
        </w:rPr>
        <w:t>号</w:t>
      </w:r>
      <w:bookmarkEnd w:id="7"/>
      <w:r>
        <w:rPr>
          <w:rFonts w:hint="eastAsia" w:ascii="仿宋_GB2312" w:hAnsi="仿宋_GB2312" w:eastAsia="仿宋_GB2312" w:cs="仿宋_GB2312"/>
          <w:color w:val="000000"/>
          <w:sz w:val="32"/>
          <w:szCs w:val="32"/>
          <w:u w:val="none"/>
        </w:rPr>
        <w:t>)，</w:t>
      </w:r>
      <w:bookmarkStart w:id="8" w:name="CALCULATE—XZCFJDS—nTccssb"/>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在法定期限内未提出任何陈述或申辩</w:t>
      </w:r>
      <w:bookmarkEnd w:id="8"/>
      <w:r>
        <w:rPr>
          <w:rFonts w:hint="eastAsia" w:ascii="仿宋_GB2312" w:hAnsi="仿宋_GB2312" w:eastAsia="仿宋_GB2312" w:cs="仿宋_GB2312"/>
          <w:color w:val="000000"/>
          <w:sz w:val="32"/>
          <w:szCs w:val="32"/>
          <w:u w:val="none"/>
          <w:lang w:eastAsia="zh-CN"/>
        </w:rPr>
        <w:t>，视为放弃次权利。</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14A0FE86">
      <w:pPr>
        <w:keepNext w:val="0"/>
        <w:keepLines w:val="0"/>
        <w:pageBreakBefore w:val="0"/>
        <w:widowControl w:val="0"/>
        <w:kinsoku/>
        <w:overflowPunct/>
        <w:bidi w:val="0"/>
        <w:snapToGrid/>
        <w:spacing w:line="520" w:lineRule="exact"/>
        <w:ind w:left="0" w:firstLine="640" w:firstLineChars="200"/>
        <w:textAlignment w:val="auto"/>
        <w:rPr>
          <w:rFonts w:hint="eastAsia" w:ascii="仿宋_GB2312" w:hAnsi="仿宋_GB2312" w:eastAsia="仿宋_GB2312" w:cs="仿宋_GB2312"/>
          <w:color w:val="000000"/>
          <w:kern w:val="0"/>
          <w:sz w:val="32"/>
          <w:szCs w:val="32"/>
          <w:u w:val="none" w:color="auto"/>
          <w:lang w:val="en-US" w:eastAsia="zh-CN" w:bidi="ar-SA"/>
        </w:rPr>
      </w:pPr>
      <w:r>
        <w:rPr>
          <w:rFonts w:hint="eastAsia" w:ascii="仿宋_GB2312" w:hAnsi="仿宋_GB2312" w:eastAsia="仿宋_GB2312" w:cs="仿宋_GB2312"/>
          <w:color w:val="000000"/>
          <w:sz w:val="32"/>
          <w:szCs w:val="32"/>
          <w:u w:val="none"/>
          <w:lang w:eastAsia="zh-CN"/>
        </w:rPr>
        <w:t>当事人未取得《烟草专卖零售许可证》从事烟草制品零售业务的行为，涉嫌违反了</w:t>
      </w:r>
      <w:r>
        <w:rPr>
          <w:rFonts w:hint="eastAsia" w:ascii="仿宋_GB2312" w:hAnsi="仿宋_GB2312" w:eastAsia="仿宋_GB2312" w:cs="仿宋_GB2312"/>
          <w:color w:val="000000"/>
          <w:sz w:val="32"/>
          <w:szCs w:val="32"/>
          <w:u w:val="none"/>
        </w:rPr>
        <w:t>《中华人民共和国烟草专卖法实施条例（2023修订）》第六条第一款</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从事烟草专卖品的生产、批发、零售业务，以及经营烟草专卖品进出口业务和经营外国烟草制品购销业务的，必须依照《烟草专卖法》和本条例的规定，申请领取烟草专卖许可证</w:t>
      </w:r>
      <w:r>
        <w:rPr>
          <w:rFonts w:hint="eastAsia" w:ascii="仿宋_GB2312" w:hAnsi="仿宋_GB2312" w:eastAsia="仿宋_GB2312" w:cs="仿宋_GB2312"/>
          <w:color w:val="000000"/>
          <w:sz w:val="32"/>
          <w:szCs w:val="32"/>
          <w:u w:val="none"/>
          <w:lang w:eastAsia="zh-CN"/>
        </w:rPr>
        <w:t>”的规定，构成了无证经营烟草制品的违法行为</w:t>
      </w:r>
      <w:r>
        <w:rPr>
          <w:rFonts w:hint="eastAsia" w:ascii="仿宋_GB2312" w:hAnsi="仿宋_GB2312" w:eastAsia="仿宋_GB2312" w:cs="仿宋_GB2312"/>
          <w:color w:val="000000"/>
          <w:kern w:val="0"/>
          <w:sz w:val="32"/>
          <w:szCs w:val="32"/>
          <w:u w:val="none" w:color="auto"/>
          <w:lang w:val="en-US" w:eastAsia="zh-CN" w:bidi="ar-SA"/>
        </w:rPr>
        <w:t>。</w:t>
      </w:r>
    </w:p>
    <w:p w14:paraId="36F979FE">
      <w:pPr>
        <w:keepNext w:val="0"/>
        <w:keepLines w:val="0"/>
        <w:pageBreakBefore w:val="0"/>
        <w:widowControl w:val="0"/>
        <w:kinsoku/>
        <w:overflowPunct/>
        <w:bidi w:val="0"/>
        <w:snapToGrid/>
        <w:spacing w:line="520" w:lineRule="exact"/>
        <w:ind w:left="0" w:firstLine="640" w:firstLineChars="200"/>
        <w:textAlignment w:val="auto"/>
        <w:rPr>
          <w:rFonts w:hint="eastAsia" w:ascii="仿宋_GB2312" w:hAnsi="仿宋_GB2312" w:eastAsia="仿宋_GB2312" w:cs="仿宋_GB2312"/>
          <w:color w:val="000000"/>
          <w:kern w:val="0"/>
          <w:sz w:val="32"/>
          <w:szCs w:val="32"/>
          <w:u w:val="none" w:color="auto"/>
          <w:lang w:val="en-US" w:eastAsia="zh-CN" w:bidi="ar-SA"/>
        </w:rPr>
      </w:pPr>
      <w:r>
        <w:rPr>
          <w:rFonts w:hint="eastAsia" w:ascii="仿宋_GB2312" w:hAnsi="仿宋_GB2312" w:eastAsia="仿宋_GB2312" w:cs="仿宋_GB2312"/>
          <w:color w:val="000000"/>
          <w:sz w:val="32"/>
          <w:szCs w:val="32"/>
          <w:u w:val="none"/>
        </w:rPr>
        <w:t>鉴于</w:t>
      </w:r>
      <w:r>
        <w:rPr>
          <w:rFonts w:hint="eastAsia" w:ascii="Times New Roman" w:hAnsi="Times New Roman" w:eastAsia="仿宋_GB2312" w:cs="仿宋_GB2312"/>
          <w:color w:val="000000"/>
          <w:sz w:val="32"/>
          <w:highlight w:val="none"/>
          <w:u w:val="none"/>
        </w:rPr>
        <w:t>本案中</w:t>
      </w:r>
      <w:r>
        <w:rPr>
          <w:rFonts w:hint="eastAsia" w:ascii="仿宋_GB2312" w:hAnsi="仿宋_GB2312" w:eastAsia="仿宋_GB2312" w:cs="仿宋_GB2312"/>
          <w:color w:val="000000"/>
          <w:sz w:val="32"/>
          <w:szCs w:val="32"/>
          <w:u w:val="none"/>
          <w:lang w:eastAsia="zh-CN"/>
        </w:rPr>
        <w:t>当事人</w:t>
      </w:r>
      <w:r>
        <w:rPr>
          <w:rFonts w:hint="eastAsia" w:ascii="Times New Roman" w:hAnsi="Times New Roman" w:eastAsia="仿宋_GB2312" w:cs="仿宋_GB2312"/>
          <w:color w:val="000000"/>
          <w:sz w:val="32"/>
          <w:highlight w:val="none"/>
          <w:u w:val="none"/>
        </w:rPr>
        <w:t>未取得《烟草专卖零售许可证》从事烟草制品零售业务的违法经营额</w:t>
      </w:r>
      <w:r>
        <w:rPr>
          <w:rFonts w:hint="eastAsia" w:ascii="Times New Roman" w:hAnsi="仿宋_GB2312" w:eastAsia="仿宋_GB2312" w:cs="仿宋_GB2312"/>
          <w:bCs/>
          <w:color w:val="000000"/>
          <w:sz w:val="32"/>
          <w:szCs w:val="32"/>
          <w:highlight w:val="none"/>
          <w:u w:val="none"/>
        </w:rPr>
        <w:t>为</w:t>
      </w:r>
      <w:r>
        <w:rPr>
          <w:rFonts w:hint="eastAsia" w:ascii="Times New Roman" w:hAnsi="仿宋_GB2312" w:eastAsia="仿宋_GB2312" w:cs="仿宋_GB2312"/>
          <w:bCs/>
          <w:color w:val="000000"/>
          <w:sz w:val="32"/>
          <w:szCs w:val="32"/>
          <w:highlight w:val="none"/>
          <w:u w:val="none"/>
          <w:lang w:val="en-US" w:eastAsia="zh-CN"/>
        </w:rPr>
        <w:t>1442</w:t>
      </w:r>
      <w:r>
        <w:rPr>
          <w:rFonts w:hint="eastAsia" w:ascii="Times New Roman" w:hAnsi="仿宋_GB2312" w:eastAsia="仿宋_GB2312" w:cs="仿宋_GB2312"/>
          <w:bCs/>
          <w:color w:val="000000"/>
          <w:sz w:val="32"/>
          <w:szCs w:val="32"/>
          <w:highlight w:val="none"/>
          <w:u w:val="none"/>
        </w:rPr>
        <w:t>元，符</w:t>
      </w:r>
      <w:r>
        <w:rPr>
          <w:rFonts w:hint="eastAsia" w:ascii="Times New Roman" w:hAnsi="Times New Roman" w:eastAsia="仿宋_GB2312" w:cs="仿宋_GB2312"/>
          <w:color w:val="000000"/>
          <w:sz w:val="32"/>
          <w:highlight w:val="none"/>
          <w:u w:val="none"/>
        </w:rPr>
        <w:t>合《广西壮族自治区市场监督管理行政处罚裁量基准（2023版）》一百二十八、《烟草专卖法实施条例》行政处罚裁量基准“序号1”的“适用情形”中“</w:t>
      </w:r>
      <w:r>
        <w:rPr>
          <w:rFonts w:hint="eastAsia" w:ascii="Times New Roman" w:hAnsi="Times New Roman" w:eastAsia="仿宋_GB2312" w:cs="仿宋_GB2312"/>
          <w:color w:val="000000"/>
          <w:sz w:val="32"/>
          <w:highlight w:val="none"/>
          <w:u w:val="none"/>
          <w:lang w:eastAsia="zh-CN"/>
        </w:rPr>
        <w:t>从轻</w:t>
      </w:r>
      <w:r>
        <w:rPr>
          <w:rFonts w:hint="eastAsia" w:ascii="Times New Roman" w:hAnsi="Times New Roman" w:eastAsia="仿宋_GB2312" w:cs="仿宋_GB2312"/>
          <w:color w:val="000000"/>
          <w:sz w:val="32"/>
          <w:highlight w:val="none"/>
          <w:u w:val="none"/>
        </w:rPr>
        <w:t>（违法经营额1万元以下的）”的处罚情形</w:t>
      </w:r>
      <w:r>
        <w:rPr>
          <w:rFonts w:hint="eastAsia" w:ascii="仿宋_GB2312" w:hAnsi="仿宋_GB2312" w:eastAsia="仿宋_GB2312" w:cs="仿宋_GB2312"/>
          <w:color w:val="000000"/>
          <w:kern w:val="0"/>
          <w:sz w:val="32"/>
          <w:szCs w:val="32"/>
          <w:u w:val="none" w:color="auto"/>
          <w:lang w:val="en-US" w:eastAsia="zh-CN" w:bidi="ar-SA"/>
        </w:rPr>
        <w:t>。</w:t>
      </w:r>
    </w:p>
    <w:p w14:paraId="301C442A">
      <w:pPr>
        <w:keepNext w:val="0"/>
        <w:keepLines w:val="0"/>
        <w:pageBreakBefore w:val="0"/>
        <w:widowControl w:val="0"/>
        <w:kinsoku/>
        <w:overflowPunct/>
        <w:bidi w:val="0"/>
        <w:snapToGrid/>
        <w:spacing w:line="520" w:lineRule="exact"/>
        <w:ind w:left="0" w:firstLine="640" w:firstLineChars="200"/>
        <w:textAlignment w:val="auto"/>
        <w:rPr>
          <w:rFonts w:hint="eastAsia" w:eastAsia="仿宋_GB2312"/>
          <w:lang w:val="en-US" w:eastAsia="zh-CN"/>
        </w:rPr>
      </w:pPr>
      <w:r>
        <w:rPr>
          <w:rFonts w:hint="eastAsia" w:ascii="仿宋_GB2312" w:hAnsi="仿宋_GB2312" w:eastAsia="仿宋_GB2312" w:cs="仿宋_GB2312"/>
          <w:color w:val="000000"/>
          <w:sz w:val="32"/>
          <w:szCs w:val="32"/>
          <w:u w:val="none"/>
          <w:lang w:eastAsia="zh-CN"/>
        </w:rPr>
        <w:t>依据</w:t>
      </w:r>
      <w:r>
        <w:rPr>
          <w:rFonts w:hint="eastAsia" w:ascii="仿宋_GB2312" w:hAnsi="仿宋_GB2312" w:eastAsia="仿宋_GB2312" w:cs="仿宋_GB2312"/>
          <w:color w:val="000000"/>
          <w:sz w:val="32"/>
          <w:szCs w:val="32"/>
          <w:u w:val="none"/>
        </w:rPr>
        <w:t>《中华人民共和国烟草专卖法实施条例（2023修订）》第五十七条</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无烟草专卖零售许可证经营烟草制品零售业务的，由工商行政管理部门或者由工商行政管理部门根据烟草专卖行政主管部门的意见，责令停止经营烟草制品零售业务，没收违法所得，处以违法</w:t>
      </w:r>
      <w:r>
        <w:rPr>
          <w:rFonts w:hint="eastAsia" w:ascii="仿宋_GB2312" w:hAnsi="仿宋_GB2312" w:eastAsia="仿宋_GB2312" w:cs="仿宋_GB2312"/>
          <w:color w:val="000000"/>
          <w:sz w:val="32"/>
          <w:szCs w:val="32"/>
          <w:highlight w:val="none"/>
          <w:u w:val="none"/>
        </w:rPr>
        <w:t>经营总额20％以上50％以下的罚款</w:t>
      </w:r>
      <w:r>
        <w:rPr>
          <w:rFonts w:hint="eastAsia" w:ascii="仿宋_GB2312" w:hAnsi="仿宋_GB2312" w:eastAsia="仿宋_GB2312" w:cs="仿宋_GB2312"/>
          <w:color w:val="000000"/>
          <w:sz w:val="32"/>
          <w:szCs w:val="32"/>
          <w:highlight w:val="none"/>
          <w:u w:val="none"/>
          <w:lang w:eastAsia="zh-CN"/>
        </w:rPr>
        <w:t>”的规定</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结合</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highlight w:val="none"/>
          <w:u w:val="none"/>
          <w:lang w:eastAsia="zh-CN"/>
        </w:rPr>
        <w:t>符合从轻处罚的情形，</w:t>
      </w:r>
      <w:r>
        <w:rPr>
          <w:rFonts w:hint="eastAsia" w:ascii="仿宋_GB2312" w:hAnsi="仿宋_GB2312" w:eastAsia="仿宋_GB2312" w:cs="仿宋_GB2312"/>
          <w:color w:val="000000"/>
          <w:sz w:val="32"/>
          <w:szCs w:val="32"/>
          <w:highlight w:val="none"/>
          <w:u w:val="none"/>
          <w:lang w:val="en-US" w:eastAsia="zh-CN"/>
        </w:rPr>
        <w:t>参照《广西壮族自治区市场监督管理行政处罚裁量基准（2023版）》一百二十八、《烟草专卖法实施条例》行政处罚裁量基准“序号1”的“适用情形”中“从轻”的“裁量标准（责</w:t>
      </w:r>
      <w:r>
        <w:rPr>
          <w:rFonts w:hint="eastAsia" w:ascii="仿宋_GB2312" w:hAnsi="仿宋_GB2312" w:eastAsia="仿宋_GB2312" w:cs="仿宋_GB2312"/>
          <w:color w:val="000000"/>
          <w:sz w:val="32"/>
          <w:szCs w:val="32"/>
          <w:u w:val="none"/>
          <w:lang w:val="en-US" w:eastAsia="zh-CN"/>
        </w:rPr>
        <w:t>令停止经营烟草制品零售业务，没收违法所得，处以违法经营总额 20% 以上 29%以下的罚款），本局决定责令</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lang w:val="en-US" w:eastAsia="zh-CN"/>
        </w:rPr>
        <w:t>立即停止从事烟草制品零售业务活动，并</w:t>
      </w:r>
      <w:r>
        <w:rPr>
          <w:rFonts w:hint="eastAsia" w:ascii="仿宋_GB2312" w:hAnsi="仿宋_GB2312" w:eastAsia="仿宋_GB2312" w:cs="仿宋_GB2312"/>
          <w:color w:val="000000"/>
          <w:sz w:val="32"/>
          <w:szCs w:val="32"/>
          <w:u w:val="none"/>
          <w:lang w:eastAsia="zh-CN"/>
        </w:rPr>
        <w:t>对当事人</w:t>
      </w:r>
      <w:r>
        <w:rPr>
          <w:rFonts w:hint="eastAsia" w:ascii="仿宋_GB2312" w:hAnsi="仿宋_GB2312" w:eastAsia="仿宋_GB2312" w:cs="仿宋_GB2312"/>
          <w:color w:val="000000"/>
          <w:sz w:val="32"/>
          <w:szCs w:val="32"/>
          <w:u w:val="none"/>
        </w:rPr>
        <w:t>处货值</w:t>
      </w:r>
      <w:r>
        <w:rPr>
          <w:rFonts w:hint="eastAsia" w:ascii="仿宋_GB2312" w:hAnsi="仿宋_GB2312" w:eastAsia="仿宋_GB2312" w:cs="仿宋_GB2312"/>
          <w:color w:val="000000"/>
          <w:sz w:val="32"/>
          <w:szCs w:val="32"/>
          <w:highlight w:val="none"/>
          <w:u w:val="none"/>
        </w:rPr>
        <w:t>金额</w:t>
      </w: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rPr>
        <w:t>5%的罚款</w:t>
      </w:r>
      <w:r>
        <w:rPr>
          <w:rFonts w:hint="eastAsia" w:ascii="仿宋_GB2312" w:hAnsi="仿宋_GB2312" w:eastAsia="仿宋_GB2312" w:cs="仿宋_GB2312"/>
          <w:color w:val="000000"/>
          <w:sz w:val="32"/>
          <w:szCs w:val="32"/>
          <w:highlight w:val="none"/>
          <w:u w:val="none"/>
          <w:lang w:val="en-US" w:eastAsia="zh-CN"/>
        </w:rPr>
        <w:t>360.5</w:t>
      </w:r>
      <w:r>
        <w:rPr>
          <w:rFonts w:hint="eastAsia" w:ascii="仿宋_GB2312" w:hAnsi="仿宋_GB2312" w:eastAsia="仿宋_GB2312" w:cs="仿宋_GB2312"/>
          <w:color w:val="000000"/>
          <w:sz w:val="32"/>
          <w:szCs w:val="32"/>
          <w:highlight w:val="none"/>
          <w:u w:val="none"/>
        </w:rPr>
        <w:t>元</w:t>
      </w:r>
      <w:r>
        <w:rPr>
          <w:rFonts w:hint="eastAsia" w:ascii="仿宋_GB2312" w:hAnsi="仿宋_GB2312" w:eastAsia="仿宋_GB2312" w:cs="仿宋_GB2312"/>
          <w:color w:val="000000"/>
          <w:sz w:val="32"/>
          <w:szCs w:val="32"/>
          <w:highlight w:val="none"/>
          <w:u w:val="none"/>
          <w:lang w:eastAsia="zh-CN"/>
        </w:rPr>
        <w:t>。</w:t>
      </w:r>
    </w:p>
    <w:p w14:paraId="6BBF7FA9">
      <w:pPr>
        <w:pStyle w:val="4"/>
        <w:keepNext w:val="0"/>
        <w:keepLines w:val="0"/>
        <w:pageBreakBefore w:val="0"/>
        <w:widowControl w:val="0"/>
        <w:tabs>
          <w:tab w:val="left" w:pos="9060"/>
        </w:tabs>
        <w:kinsoku/>
        <w:wordWrap w:val="0"/>
        <w:overflowPunct/>
        <w:topLinePunct/>
        <w:autoSpaceDE/>
        <w:autoSpaceDN/>
        <w:bidi w:val="0"/>
        <w:adjustRightInd w:val="0"/>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u w:val="none" w:color="auto"/>
          <w:lang w:val="en-US" w:eastAsia="zh-Hans" w:bidi="ar-SA"/>
        </w:rPr>
      </w:pP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kern w:val="0"/>
          <w:sz w:val="32"/>
          <w:szCs w:val="32"/>
          <w:u w:val="none" w:color="auto"/>
          <w:lang w:val="en-US" w:eastAsia="zh-Hans" w:bidi="ar-SA"/>
        </w:rPr>
        <w:t>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3AD127ED">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kern w:val="0"/>
          <w:sz w:val="32"/>
          <w:szCs w:val="32"/>
          <w:u w:val="none" w:color="auto"/>
          <w:lang w:val="en-US" w:eastAsia="zh-Hans" w:bidi="ar-SA"/>
        </w:rPr>
        <w:t>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3CA9B4E9">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49441FD8">
      <w:pPr>
        <w:widowControl/>
        <w:snapToGrid w:val="0"/>
        <w:spacing w:line="520" w:lineRule="exact"/>
        <w:jc w:val="left"/>
        <w:rPr>
          <w:rFonts w:ascii="Times New Roman" w:hAnsi="Times New Roman" w:eastAsia="仿宋_GB2312" w:cs="仿宋_GB2312"/>
          <w:color w:val="auto"/>
          <w:sz w:val="32"/>
          <w:szCs w:val="32"/>
        </w:rPr>
      </w:pPr>
    </w:p>
    <w:p w14:paraId="3848BDA7">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8834FDF">
      <w:pPr>
        <w:pStyle w:val="2"/>
        <w:rPr>
          <w:rFonts w:hint="eastAsia"/>
          <w:lang w:val="en-US" w:eastAsia="zh-Hans"/>
        </w:rPr>
      </w:pPr>
    </w:p>
    <w:p w14:paraId="39A16F25">
      <w:pPr>
        <w:spacing w:line="560" w:lineRule="exact"/>
        <w:ind w:right="640" w:firstLine="601"/>
        <w:jc w:val="right"/>
        <w:rPr>
          <w:rFonts w:ascii="Times New Roman" w:hAnsi="Times New Roman" w:eastAsia="仿宋_GB2312" w:cs="仿宋"/>
          <w:color w:val="auto"/>
          <w:sz w:val="32"/>
          <w:szCs w:val="32"/>
        </w:rPr>
      </w:pPr>
      <w:bookmarkStart w:id="9" w:name="DYNAMIC—DWXX—tAj_dwmc—2"/>
      <w:r>
        <w:rPr>
          <w:rFonts w:hint="eastAsia" w:ascii="Times New Roman" w:hAnsi="Times New Roman" w:eastAsia="仿宋_GB2312" w:cs="仿宋"/>
          <w:color w:val="000000"/>
          <w:sz w:val="32"/>
          <w:u w:val="none"/>
        </w:rPr>
        <w:t>融水苗族自治县市场监督管理局</w:t>
      </w:r>
      <w:bookmarkEnd w:id="9"/>
      <w:r>
        <w:rPr>
          <w:rFonts w:hint="eastAsia" w:ascii="Times New Roman" w:hAnsi="Times New Roman" w:eastAsia="仿宋_GB2312" w:cs="仿宋"/>
          <w:color w:val="000000"/>
          <w:sz w:val="32"/>
          <w:szCs w:val="32"/>
          <w:u w:val="none"/>
        </w:rPr>
        <w:t xml:space="preserve">    </w:t>
      </w:r>
    </w:p>
    <w:p w14:paraId="2154B628">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highlight w:val="none"/>
        </w:rPr>
      </w:pPr>
      <w:bookmarkStart w:id="10" w:name="CALCULATE—TIME—NOW"/>
      <w:r>
        <w:rPr>
          <w:rFonts w:ascii="仿宋_GB2312" w:hAnsi="仿宋_GB2312" w:eastAsia="仿宋_GB2312" w:cs="仿宋_GB2312"/>
          <w:sz w:val="32"/>
        </w:rPr>
        <w:t>2026年03月05日</w:t>
      </w:r>
      <w:bookmarkEnd w:id="10"/>
      <w:r>
        <w:rPr>
          <w:rFonts w:hint="eastAsia" w:ascii="Times New Roman" w:hAnsi="Times New Roman" w:eastAsia="仿宋_GB2312" w:cs="仿宋_GB2312"/>
          <w:color w:val="000000"/>
          <w:sz w:val="32"/>
          <w:szCs w:val="32"/>
          <w:highlight w:val="none"/>
          <w:u w:val="none"/>
        </w:rPr>
        <w:t xml:space="preserve">  </w:t>
      </w:r>
    </w:p>
    <w:p w14:paraId="3753A0E8">
      <w:pPr>
        <w:pStyle w:val="2"/>
        <w:rPr>
          <w:rFonts w:ascii="Times New Roman" w:hAnsi="Times New Roman" w:eastAsia="仿宋_GB2312" w:cs="Mongolian Baiti"/>
          <w:color w:val="auto"/>
          <w:sz w:val="32"/>
          <w:szCs w:val="32"/>
        </w:rPr>
      </w:pPr>
    </w:p>
    <w:p w14:paraId="19DA9C82">
      <w:pPr>
        <w:pStyle w:val="2"/>
        <w:rPr>
          <w:rFonts w:ascii="Times New Roman" w:hAnsi="Times New Roman" w:eastAsia="仿宋_GB2312" w:cs="Mongolian Baiti"/>
          <w:color w:val="auto"/>
          <w:sz w:val="32"/>
          <w:szCs w:val="32"/>
        </w:rPr>
      </w:pPr>
    </w:p>
    <w:p w14:paraId="5425131A">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15987F47">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p>
    <w:p w14:paraId="0ABEE651">
      <w:pPr>
        <w:spacing w:line="500" w:lineRule="exact"/>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FFE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10A01">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B10A01">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68BB85D6"/>
    <w:multiLevelType w:val="singleLevel"/>
    <w:tmpl w:val="68BB85D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jJkNDA0ZjM4ZTVjYTc5ZDAwYzQ0NjY2MjViMDY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DB5041A"/>
    <w:rsid w:val="0FB748D6"/>
    <w:rsid w:val="103E22C5"/>
    <w:rsid w:val="11524677"/>
    <w:rsid w:val="115320F9"/>
    <w:rsid w:val="119E3BCA"/>
    <w:rsid w:val="1350279A"/>
    <w:rsid w:val="14203063"/>
    <w:rsid w:val="143E1E38"/>
    <w:rsid w:val="1490670C"/>
    <w:rsid w:val="152E563E"/>
    <w:rsid w:val="15B93156"/>
    <w:rsid w:val="16D23D7F"/>
    <w:rsid w:val="18325353"/>
    <w:rsid w:val="184616E2"/>
    <w:rsid w:val="188449CB"/>
    <w:rsid w:val="18B229B2"/>
    <w:rsid w:val="19FE4517"/>
    <w:rsid w:val="1AE345F4"/>
    <w:rsid w:val="1B37398D"/>
    <w:rsid w:val="1B775E89"/>
    <w:rsid w:val="1C7339BB"/>
    <w:rsid w:val="1C7A5BA8"/>
    <w:rsid w:val="1E664711"/>
    <w:rsid w:val="1EC222D9"/>
    <w:rsid w:val="1F2B5D07"/>
    <w:rsid w:val="1FC004DE"/>
    <w:rsid w:val="1FD31F15"/>
    <w:rsid w:val="1FDB1F2A"/>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336D0"/>
    <w:rsid w:val="38B63DA7"/>
    <w:rsid w:val="3930619F"/>
    <w:rsid w:val="39E73B05"/>
    <w:rsid w:val="3A4E178D"/>
    <w:rsid w:val="3BF97ECA"/>
    <w:rsid w:val="3C2965F0"/>
    <w:rsid w:val="3D6B1177"/>
    <w:rsid w:val="3E5F4AE1"/>
    <w:rsid w:val="3E853745"/>
    <w:rsid w:val="3F2604DF"/>
    <w:rsid w:val="3F6783E4"/>
    <w:rsid w:val="3F842066"/>
    <w:rsid w:val="3FFF82D4"/>
    <w:rsid w:val="402E7C06"/>
    <w:rsid w:val="40FE4130"/>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C767840"/>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97F240C"/>
    <w:rsid w:val="6AD7030F"/>
    <w:rsid w:val="6B0442B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2097</Words>
  <Characters>2206</Characters>
  <Lines>0</Lines>
  <Paragraphs>0</Paragraphs>
  <TotalTime>1</TotalTime>
  <ScaleCrop>false</ScaleCrop>
  <LinksUpToDate>false</LinksUpToDate>
  <CharactersWithSpaces>2365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2026-03-17T00:51:36Z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