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ADDD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000000"/>
          <w:sz w:val="44"/>
          <w:u w:val="none"/>
        </w:rPr>
        <w:t>融水苗族自治县市场监督管理局</w:t>
      </w:r>
      <w:bookmarkEnd w:id="0"/>
    </w:p>
    <w:p w14:paraId="306D668F"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000000"/>
          <w:sz w:val="44"/>
          <w:szCs w:val="44"/>
          <w:u w:val="none"/>
          <w:lang w:val="en-US"/>
        </w:rPr>
        <w:t>书</w:t>
      </w:r>
      <w:bookmarkEnd w:id="1"/>
    </w:p>
    <w:p w14:paraId="33DCFB80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000000"/>
          <w:sz w:val="32"/>
          <w:u w:val="none"/>
        </w:rPr>
        <w:t>融水市监处罚〔2026〕27号</w:t>
      </w:r>
      <w:bookmarkEnd w:id="2"/>
    </w:p>
    <w:p w14:paraId="5B07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当事人：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融水县拱洞乡愿玉便民店</w:t>
      </w:r>
    </w:p>
    <w:p w14:paraId="2BCED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u w:val="none" w:color="auto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主体资格证照名称：</w:t>
      </w:r>
      <w:bookmarkStart w:id="3" w:name="CALCULATE—DSR—tAjDsrs_cZtzgzzmc"/>
      <w:r>
        <w:rPr>
          <w:rFonts w:hint="eastAsia" w:ascii="仿宋_GB2312" w:hAnsi="仿宋_GB2312" w:eastAsia="仿宋_GB2312" w:cs="仿宋_GB2312"/>
          <w:b w:val="0"/>
          <w:color w:val="000000"/>
          <w:sz w:val="32"/>
          <w:u w:val="none" w:color="auto"/>
        </w:rPr>
        <w:t>营业执照</w:t>
      </w:r>
      <w:bookmarkEnd w:id="3"/>
    </w:p>
    <w:p w14:paraId="6DF3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92450225MA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DY2WC22Q</w:t>
      </w:r>
    </w:p>
    <w:p w14:paraId="5126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住所：</w:t>
      </w:r>
      <w:bookmarkStart w:id="4" w:name="CALCULATE—DSR—tAjDsrs_cLxdzSheng"/>
      <w:r>
        <w:rPr>
          <w:rFonts w:hint="eastAsia" w:ascii="仿宋_GB2312" w:hAnsi="仿宋_GB2312" w:eastAsia="仿宋_GB2312" w:cs="仿宋_GB2312"/>
          <w:b w:val="0"/>
          <w:color w:val="000000"/>
          <w:sz w:val="32"/>
          <w:u w:val="none" w:color="auto"/>
        </w:rPr>
        <w:t>融水苗族自治县广西柳州市融水县拱洞乡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龙培村******</w:t>
      </w:r>
    </w:p>
    <w:p w14:paraId="0C9B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  <w:lang w:eastAsia="zh-CN"/>
        </w:rPr>
        <w:t>经营者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杨玉林</w:t>
      </w:r>
    </w:p>
    <w:p w14:paraId="279A4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 w:color="auto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1"/>
          <w:sz w:val="32"/>
          <w:szCs w:val="32"/>
          <w:u w:val="none" w:color="auto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45222919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6704******</w:t>
      </w:r>
    </w:p>
    <w:p w14:paraId="2A7C5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16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2026年1月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日，本局执法人员到达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广西柳州市融水县拱洞乡龙培村******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融水县拱洞乡愿玉便民店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开展执法检查，该店正开门对外营业，经营者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杨玉林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现场陪同，持有《营业执照》一本，经营范围：许可项目：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食品销售（仅销售预包装食品）、保健食品（预包装）销售；新鲜水果零售；食用农产品零售；日用百货销售等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。执法人员在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经营场所内检查发现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“康芝®瑞芝清尼美舒利颗粒”（国药准字H20020137，50mg×12袋）、“天和®伤湿止痛膏”（国药准字Z45021742，8贴装）、“何济公®阿咖酚散”（国药准字H44024373，100包）”等27种药品。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现场未能提供《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药品经营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许可证》及购进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品的供货者资质材料、购进票据。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的行为涉嫌违反了《中华人民共和国药品管理法》第五十一条第一款的规定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经本局领导审批同意，依据《中华人民共和国药品管理法》第一百条第（二）款对涉案药品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进行了扣押，下达《实施行政强制措施决定书》（融水市监强制〔2026〕10号）文书一份，制作《财物清单》一份，由经营者杨玉林现场签收。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2025年1月29日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对当事人的行为立案调查。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2026年2月2日，经营者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杨玉林到本局接受询问调查，提供了相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关证据材料</w:t>
      </w:r>
    </w:p>
    <w:p w14:paraId="2ED06ABF">
      <w:pPr>
        <w:pStyle w:val="4"/>
        <w:keepNext w:val="0"/>
        <w:keepLines w:val="0"/>
        <w:pageBreakBefore w:val="0"/>
        <w:tabs>
          <w:tab w:val="left" w:pos="9060"/>
        </w:tabs>
        <w:kinsoku/>
        <w:wordWrap/>
        <w:overflowPunct/>
        <w:topLinePunct w:val="0"/>
        <w:bidi w:val="0"/>
        <w:snapToGrid/>
        <w:spacing w:line="51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经查，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2024年9月6日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注册《营业执照》在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广西柳州市融水县拱洞乡龙培村******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从事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食品销售（仅销售预包装食品）、保健食品（预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包装）销售；新鲜水果零售；食用农产品零售；日用百货销售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经营活动。2025年10月开始，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在未取得《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药品经营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许可证》的情况下，从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三江县城的药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店购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品到经营场所进行销售。2026年1月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日，本局执法人员依法对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进行监督检查，在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经营场所内检查发现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“康芝®瑞芝清尼美舒利颗粒”（国药准字H20020137，50mg×12袋）、“天和®伤湿止痛膏”（国药准字Z45021742，8贴装）、“何济公®阿咖酚散”（国药准字H44024373，100包）”等27种药品。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经核实，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购进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品未建立有台账，无法核实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至案发共入库和销售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品的具体数量，以现场检查发现的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品的零售单价总和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3216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元认定为该案涉案货值金额，同时违法所得无法计算，该案无违法所得。</w:t>
      </w:r>
    </w:p>
    <w:p w14:paraId="08F9126B">
      <w:pPr>
        <w:pStyle w:val="4"/>
        <w:keepNext w:val="0"/>
        <w:keepLines w:val="0"/>
        <w:pageBreakBefore w:val="0"/>
        <w:tabs>
          <w:tab w:val="left" w:pos="9060"/>
        </w:tabs>
        <w:kinsoku/>
        <w:wordWrap/>
        <w:overflowPunct/>
        <w:topLinePunct w:val="0"/>
        <w:bidi w:val="0"/>
        <w:snapToGrid/>
        <w:spacing w:line="516" w:lineRule="exact"/>
        <w:ind w:right="0" w:rightChars="0" w:firstLine="640" w:firstLineChars="200"/>
        <w:jc w:val="both"/>
        <w:textAlignment w:val="auto"/>
        <w:rPr>
          <w:rFonts w:ascii="Times New Roman" w:eastAsia="仿宋_GB2312" w:cs="Mongolian Baiti"/>
          <w:b w:val="0"/>
          <w:bCs/>
          <w:color w:val="auto"/>
          <w:kern w:val="1"/>
          <w:sz w:val="32"/>
          <w:szCs w:val="32"/>
        </w:rPr>
      </w:pPr>
      <w:r>
        <w:rPr>
          <w:rFonts w:ascii="Times New Roman" w:eastAsia="仿宋_GB2312" w:cs="Mongolian Baiti"/>
          <w:b w:val="0"/>
          <w:bCs/>
          <w:color w:val="000000"/>
          <w:kern w:val="1"/>
          <w:sz w:val="32"/>
          <w:szCs w:val="32"/>
          <w:u w:val="none"/>
        </w:rPr>
        <w:t>上述事实，主要有以下证据证明：</w:t>
      </w:r>
    </w:p>
    <w:p w14:paraId="4E0929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1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1.《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现场笔录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，证明执法人员依法开展检查及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违法情况；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询问笔录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的违法事实及涉案货值金额；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　　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《实施行政强制措施决定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》、《财物清单》及送达回证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，证明本局依法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对涉案物品实施行政强制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以及涉案物品的相关信息及数量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　　4.证据提取单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（现场检查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片），证明执法人员开展检查发现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无证经营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品情况；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　　5.证据提取单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你店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营业执照和经营者居民身份证），证明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的经营主体资质和经营者的合法身份信息；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　　6.证据提取单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当事人无证经营的药品详细信息图片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），证明执法人员开展检查发现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无证经营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品情况；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　　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行政检查通知书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》及《行政检查审批表》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，证明执法人员依法告知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检查事项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 w14:paraId="49A9ED64">
      <w:pPr>
        <w:pStyle w:val="4"/>
        <w:keepNext w:val="0"/>
        <w:keepLines w:val="0"/>
        <w:pageBreakBefore w:val="0"/>
        <w:widowControl w:val="0"/>
        <w:tabs>
          <w:tab w:val="left" w:pos="9060"/>
        </w:tabs>
        <w:kinsoku/>
        <w:wordWrap/>
        <w:overflowPunct/>
        <w:topLinePunct w:val="0"/>
        <w:bidi w:val="0"/>
        <w:snapToGrid/>
        <w:spacing w:line="516" w:lineRule="exact"/>
        <w:ind w:right="0" w:rightChars="0" w:firstLine="640" w:firstLineChars="200"/>
        <w:jc w:val="both"/>
        <w:textAlignment w:val="auto"/>
        <w:rPr>
          <w:rFonts w:ascii="Times New Roman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2026年2月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日，本局向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送达了本案《行政处罚告知书》(</w:t>
      </w:r>
      <w:bookmarkStart w:id="5" w:name="CALCULATE—XZCFJDS—cCfgzSdwswh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融水市监罚告〔2026〕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号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)，</w:t>
      </w:r>
      <w:bookmarkStart w:id="6" w:name="CALCULATE—XZCFJDS—nTccssb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在法定期限内未提出任何陈述或申辩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，视为放弃次权利。</w:t>
      </w:r>
    </w:p>
    <w:p w14:paraId="66C5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未取得《药品经营许可证》经营药品的行为，涉嫌违反了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药品管理法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》第五十一条第一款“从事药品零售活动，应当经所在地县级以上地方人民政府药品监督管理部门批准，取得药品经营许可证。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”的规定，构成了无证经营药品的违法行为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。</w:t>
      </w:r>
    </w:p>
    <w:p w14:paraId="67981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16" w:lineRule="exact"/>
        <w:ind w:right="0" w:rightChars="0"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鉴于本案中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u w:val="none"/>
          <w:lang w:val="en-US" w:eastAsia="zh-CN" w:bidi="ar-SA"/>
        </w:rPr>
        <w:t>未取得《药品经营许可证》经营药品的违法经营额为3216元且积极配合调查，符合《药品监督管理行政处罚裁量适用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规则》第十一条第（二）项“当事人有下列情形之一的，可以从轻或者减轻行政处罚：……（二）积极配合药品监督管理部门调查并主动提供证据材料的；……”规定的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减轻行政处罚情形。</w:t>
      </w:r>
    </w:p>
    <w:p w14:paraId="145BA7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1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7" w:name="CALCULATE—WFFLFGXX—tAjCfes_cCfyj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《中华人民共和国药品管理法》第一百一十五条“未取得药品生产许可证、药品经营许可证或者医疗机构制剂许可证生产、销售药品的，责令关闭，没收违法生产、销售的药品和违法所得，并处违法生产、销售的药品（包括已售出和未售出的药品，下同）货值金额十五倍以上三十倍以下的罚款；货值金额不足十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的，按十万元计算。”的规定进行处罚。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结合当事人符合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  <w:lang w:eastAsia="zh-CN"/>
        </w:rPr>
        <w:t>减轻行政处罚情形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参照《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</w:rPr>
        <w:t>广西壮族自治区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  <w:lang w:eastAsia="zh-CN"/>
        </w:rPr>
        <w:t>药品监管行政处罚裁量基准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</w:rPr>
        <w:t>》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  <w:lang w:eastAsia="zh-CN"/>
        </w:rPr>
        <w:t>第二条第一款第（一）项“符合下列情形之一的，减轻行政处罚，处低于违法生产、销售的药品货值金额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  <w:lang w:val="en-US" w:eastAsia="zh-CN"/>
        </w:rPr>
        <w:t>15倍的罚款：（一）涉案药品风险性低，质量符合标准，违法持续时间短、销售货值不足五千元，并积极配合调查的；（二）......</w:t>
      </w:r>
      <w:r>
        <w:rPr>
          <w:rFonts w:hint="eastAsia" w:ascii="Times New Roman" w:hAnsi="Times New Roman" w:eastAsia="仿宋_GB2312" w:cs="仿宋_GB2312"/>
          <w:color w:val="000000"/>
          <w:sz w:val="32"/>
          <w:highlight w:val="none"/>
          <w:u w:val="none"/>
          <w:lang w:eastAsia="zh-CN"/>
        </w:rPr>
        <w:t>”的规定，本局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责令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立即停止经营药品活动，并作出如下处罚：</w:t>
      </w:r>
    </w:p>
    <w:p w14:paraId="68D1D4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1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没收融水市监强制〔202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〕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号《财物清单》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无证经营的药品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；</w:t>
      </w:r>
    </w:p>
    <w:p w14:paraId="6E0C2E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1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罚款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贰仟元整。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（￥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val="en-US" w:eastAsia="zh-CN"/>
        </w:rPr>
        <w:t>2000.00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</w:rPr>
        <w:t>元）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none"/>
          <w:lang w:eastAsia="zh-CN"/>
        </w:rPr>
        <w:t>。</w:t>
      </w:r>
    </w:p>
    <w:p w14:paraId="431122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16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 w:bidi="ar"/>
        </w:rPr>
        <w:t>应当自收到本行政处罚决定之日起十五日内到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 w:bidi="ar"/>
        </w:rPr>
        <w:t>融水苗族自治县市场监督管理局财务股开具《广西壮族自治区非税收入电子缴款通知书》，持此缴款通知书到相应银行缴纳罚没款。到期不缴纳罚款的，依据《中华人民共和国行政处罚法》第七十二条的规定，本局将每日按罚款数额的百分之三加处罚款，并依法申请人民法院强制执行。</w:t>
      </w:r>
    </w:p>
    <w:p w14:paraId="4AD807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16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当事人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 w:bidi="ar"/>
        </w:rPr>
        <w:t>如不服本行政处罚决定，可以在收到本行政处罚 决定书之日起六十日内向融水苗族自治县人民政府申请行政复议；也可以在六个月内依法向柳州市柳北区人民法院提起行政诉讼。申请行政复议或者提起行政诉讼期间，行政处罚不停止执行。</w:t>
      </w:r>
    </w:p>
    <w:p w14:paraId="69D6EE74">
      <w:pPr>
        <w:pStyle w:val="2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none"/>
          <w:lang w:val="en-US" w:eastAsia="zh-CN" w:bidi="ar"/>
        </w:rPr>
      </w:pPr>
    </w:p>
    <w:p w14:paraId="7F20B0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16" w:lineRule="exact"/>
        <w:ind w:right="0" w:rightChars="0" w:firstLine="640" w:firstLineChars="200"/>
        <w:jc w:val="right"/>
        <w:textAlignment w:val="auto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8" w:name="DYNAMIC—DWXX—tAj_dwmc—2"/>
      <w:r>
        <w:rPr>
          <w:rFonts w:hint="eastAsia" w:ascii="Times New Roman" w:hAnsi="Times New Roman" w:eastAsia="仿宋_GB2312" w:cs="仿宋"/>
          <w:color w:val="000000"/>
          <w:sz w:val="32"/>
          <w:u w:val="none"/>
        </w:rPr>
        <w:t>融水苗族自治县市场监督管理局</w:t>
      </w:r>
      <w:bookmarkEnd w:id="8"/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 xml:space="preserve">    </w:t>
      </w:r>
    </w:p>
    <w:p w14:paraId="2DE9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bookmarkStart w:id="9" w:name="CALCULATE—TIME—NOW"/>
      <w:r>
        <w:rPr>
          <w:rFonts w:ascii="仿宋_GB2312" w:hAnsi="仿宋_GB2312" w:eastAsia="仿宋_GB2312" w:cs="仿宋_GB2312"/>
          <w:sz w:val="32"/>
        </w:rPr>
        <w:t>2026年03月04日</w:t>
      </w:r>
      <w:bookmarkEnd w:id="9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</w:rPr>
        <w:t xml:space="preserve">  </w:t>
      </w:r>
    </w:p>
    <w:p w14:paraId="3389CF02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line="516" w:lineRule="exact"/>
        <w:ind w:left="163"/>
        <w:jc w:val="center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000000"/>
          <w:spacing w:val="-16"/>
          <w:u w:val="none"/>
        </w:rPr>
        <w:t>（市场监督管理部门将依法向社会公开行政处罚决定信息）</w:t>
      </w:r>
    </w:p>
    <w:p w14:paraId="0EC451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16" w:lineRule="exact"/>
        <w:ind w:firstLine="320" w:firstLineChars="100"/>
        <w:jc w:val="center"/>
        <w:rPr>
          <w:color w:val="auto"/>
        </w:rPr>
      </w:pP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BFDF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BA23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BA23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jJkNDA0ZjM4ZTVjYTc5ZDAwYzQ0NjY2MjViMDYifQ=="/>
    <w:docVar w:name="KSO_WPS_MARK_KEY" w:val="3a570657-d4b9-4633-8bde-b1be1a221b99"/>
  </w:docVars>
  <w:rsids>
    <w:rsidRoot w:val="5BA419F7"/>
    <w:rsid w:val="00193C35"/>
    <w:rsid w:val="0032134F"/>
    <w:rsid w:val="010A478A"/>
    <w:rsid w:val="02B83402"/>
    <w:rsid w:val="037D097D"/>
    <w:rsid w:val="042774DD"/>
    <w:rsid w:val="048D2705"/>
    <w:rsid w:val="04CD463F"/>
    <w:rsid w:val="04FA4431"/>
    <w:rsid w:val="05C51508"/>
    <w:rsid w:val="06476E0A"/>
    <w:rsid w:val="06BAE61F"/>
    <w:rsid w:val="071C7669"/>
    <w:rsid w:val="07580619"/>
    <w:rsid w:val="0776795A"/>
    <w:rsid w:val="07DA78EE"/>
    <w:rsid w:val="08365B64"/>
    <w:rsid w:val="087864F3"/>
    <w:rsid w:val="090B4D3A"/>
    <w:rsid w:val="09290BEC"/>
    <w:rsid w:val="09AA7B69"/>
    <w:rsid w:val="0A2F38BD"/>
    <w:rsid w:val="0A3665F0"/>
    <w:rsid w:val="0B22091D"/>
    <w:rsid w:val="0CF71776"/>
    <w:rsid w:val="0D242541"/>
    <w:rsid w:val="0FB748D6"/>
    <w:rsid w:val="103E22C5"/>
    <w:rsid w:val="11524677"/>
    <w:rsid w:val="115320F9"/>
    <w:rsid w:val="119E3BCA"/>
    <w:rsid w:val="1350279A"/>
    <w:rsid w:val="14203063"/>
    <w:rsid w:val="143E1E38"/>
    <w:rsid w:val="1490670C"/>
    <w:rsid w:val="152E563E"/>
    <w:rsid w:val="15B93156"/>
    <w:rsid w:val="16D23D7F"/>
    <w:rsid w:val="18325353"/>
    <w:rsid w:val="188449CB"/>
    <w:rsid w:val="18B229B2"/>
    <w:rsid w:val="19FE4517"/>
    <w:rsid w:val="1AE345F4"/>
    <w:rsid w:val="1B37398D"/>
    <w:rsid w:val="1C7339BB"/>
    <w:rsid w:val="1C7A5BA8"/>
    <w:rsid w:val="1E664711"/>
    <w:rsid w:val="1EC222D9"/>
    <w:rsid w:val="1F2B5D07"/>
    <w:rsid w:val="1FC004DE"/>
    <w:rsid w:val="1FD31F15"/>
    <w:rsid w:val="212E3259"/>
    <w:rsid w:val="22287087"/>
    <w:rsid w:val="237778B4"/>
    <w:rsid w:val="23F5677C"/>
    <w:rsid w:val="24626694"/>
    <w:rsid w:val="258D6CE0"/>
    <w:rsid w:val="27A45517"/>
    <w:rsid w:val="29496D4C"/>
    <w:rsid w:val="2B1B3EFC"/>
    <w:rsid w:val="2CEA3815"/>
    <w:rsid w:val="2DE10173"/>
    <w:rsid w:val="2F327E79"/>
    <w:rsid w:val="2F7CE1EF"/>
    <w:rsid w:val="2F8A6913"/>
    <w:rsid w:val="30DB5683"/>
    <w:rsid w:val="30FA2F6D"/>
    <w:rsid w:val="31562B39"/>
    <w:rsid w:val="31BE0AF5"/>
    <w:rsid w:val="32CE76E8"/>
    <w:rsid w:val="3334290F"/>
    <w:rsid w:val="33740640"/>
    <w:rsid w:val="3585615B"/>
    <w:rsid w:val="363C12E3"/>
    <w:rsid w:val="368E5656"/>
    <w:rsid w:val="377FBB27"/>
    <w:rsid w:val="37F16547"/>
    <w:rsid w:val="38B63DA7"/>
    <w:rsid w:val="3930619F"/>
    <w:rsid w:val="3A4E178D"/>
    <w:rsid w:val="3BF97ECA"/>
    <w:rsid w:val="3C2965F0"/>
    <w:rsid w:val="3D6B1177"/>
    <w:rsid w:val="3E5F4AE1"/>
    <w:rsid w:val="3E853745"/>
    <w:rsid w:val="3F2604DF"/>
    <w:rsid w:val="3F6783E4"/>
    <w:rsid w:val="3F842066"/>
    <w:rsid w:val="3FFF82D4"/>
    <w:rsid w:val="402E7C06"/>
    <w:rsid w:val="4075077F"/>
    <w:rsid w:val="40FE5F8F"/>
    <w:rsid w:val="425049CE"/>
    <w:rsid w:val="437300FE"/>
    <w:rsid w:val="442B16EC"/>
    <w:rsid w:val="458F64B9"/>
    <w:rsid w:val="45C51FFB"/>
    <w:rsid w:val="46157ACD"/>
    <w:rsid w:val="47243FC5"/>
    <w:rsid w:val="47775577"/>
    <w:rsid w:val="48C10000"/>
    <w:rsid w:val="4A555101"/>
    <w:rsid w:val="4ADF49AE"/>
    <w:rsid w:val="4B8F0B22"/>
    <w:rsid w:val="4C02380F"/>
    <w:rsid w:val="4C51463C"/>
    <w:rsid w:val="4C7C04B3"/>
    <w:rsid w:val="4CC8271B"/>
    <w:rsid w:val="4D076A36"/>
    <w:rsid w:val="4D9306AE"/>
    <w:rsid w:val="4E8950D9"/>
    <w:rsid w:val="4F722566"/>
    <w:rsid w:val="4F93378A"/>
    <w:rsid w:val="503F09B5"/>
    <w:rsid w:val="516D5500"/>
    <w:rsid w:val="52802336"/>
    <w:rsid w:val="53A0483E"/>
    <w:rsid w:val="547C0750"/>
    <w:rsid w:val="55FE5622"/>
    <w:rsid w:val="57503162"/>
    <w:rsid w:val="58A4140A"/>
    <w:rsid w:val="591F0542"/>
    <w:rsid w:val="59A10938"/>
    <w:rsid w:val="5BA419F7"/>
    <w:rsid w:val="5BEF1DBF"/>
    <w:rsid w:val="5BF91583"/>
    <w:rsid w:val="5BFB2E57"/>
    <w:rsid w:val="5C5D2BD9"/>
    <w:rsid w:val="5DD7483B"/>
    <w:rsid w:val="5E5FAB03"/>
    <w:rsid w:val="5E605C94"/>
    <w:rsid w:val="5EA00CBE"/>
    <w:rsid w:val="5F9FEDD5"/>
    <w:rsid w:val="5FBEF003"/>
    <w:rsid w:val="5FE33914"/>
    <w:rsid w:val="5FFA4D85"/>
    <w:rsid w:val="602422E6"/>
    <w:rsid w:val="60B635F2"/>
    <w:rsid w:val="60C16F3B"/>
    <w:rsid w:val="612E7E8C"/>
    <w:rsid w:val="617678F3"/>
    <w:rsid w:val="61DC2B1A"/>
    <w:rsid w:val="636955DE"/>
    <w:rsid w:val="646E5E05"/>
    <w:rsid w:val="64E43803"/>
    <w:rsid w:val="657F58CB"/>
    <w:rsid w:val="66934D57"/>
    <w:rsid w:val="6929351C"/>
    <w:rsid w:val="6AD7030F"/>
    <w:rsid w:val="6BA277B7"/>
    <w:rsid w:val="6BCC1BB9"/>
    <w:rsid w:val="6C6723F1"/>
    <w:rsid w:val="6CA517CF"/>
    <w:rsid w:val="6D064CEC"/>
    <w:rsid w:val="6D6C7F13"/>
    <w:rsid w:val="6D923254"/>
    <w:rsid w:val="6DD2313B"/>
    <w:rsid w:val="6E04767D"/>
    <w:rsid w:val="6E355D52"/>
    <w:rsid w:val="6E6950E9"/>
    <w:rsid w:val="6ED952C0"/>
    <w:rsid w:val="6F013B3F"/>
    <w:rsid w:val="6F732ABB"/>
    <w:rsid w:val="6FF58B64"/>
    <w:rsid w:val="6FF8F863"/>
    <w:rsid w:val="70CF02CA"/>
    <w:rsid w:val="70F532B7"/>
    <w:rsid w:val="71013020"/>
    <w:rsid w:val="710D7C3E"/>
    <w:rsid w:val="71FC56E7"/>
    <w:rsid w:val="734755EE"/>
    <w:rsid w:val="7376089F"/>
    <w:rsid w:val="74E06ABE"/>
    <w:rsid w:val="75B2DA43"/>
    <w:rsid w:val="75BD90DB"/>
    <w:rsid w:val="75CC41D0"/>
    <w:rsid w:val="75F8119D"/>
    <w:rsid w:val="76137D09"/>
    <w:rsid w:val="76222141"/>
    <w:rsid w:val="76704CDE"/>
    <w:rsid w:val="76D869B3"/>
    <w:rsid w:val="76FD0A98"/>
    <w:rsid w:val="77DF8BD4"/>
    <w:rsid w:val="77EFD5CC"/>
    <w:rsid w:val="77FFADAC"/>
    <w:rsid w:val="7835649C"/>
    <w:rsid w:val="789620E4"/>
    <w:rsid w:val="78FD530C"/>
    <w:rsid w:val="7AFB4DD2"/>
    <w:rsid w:val="7B0F6E9A"/>
    <w:rsid w:val="7BA46A39"/>
    <w:rsid w:val="7BFD6076"/>
    <w:rsid w:val="7C8E43D6"/>
    <w:rsid w:val="7DA813EB"/>
    <w:rsid w:val="7DFF108F"/>
    <w:rsid w:val="7EC20774"/>
    <w:rsid w:val="7EED8AE6"/>
    <w:rsid w:val="7F5A6980"/>
    <w:rsid w:val="7FEADF5C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775D448"/>
    <w:rsid w:val="ECC7B000"/>
    <w:rsid w:val="F0ED2927"/>
    <w:rsid w:val="F3EF5848"/>
    <w:rsid w:val="F5A28C7E"/>
    <w:rsid w:val="F9BF6AE4"/>
    <w:rsid w:val="FB57F652"/>
    <w:rsid w:val="FBBF88F6"/>
    <w:rsid w:val="FBFEBC90"/>
    <w:rsid w:val="FCF69F69"/>
    <w:rsid w:val="FD7BEF22"/>
    <w:rsid w:val="FD8BB826"/>
    <w:rsid w:val="FD9199D6"/>
    <w:rsid w:val="FDAC17BA"/>
    <w:rsid w:val="FDDF4064"/>
    <w:rsid w:val="FDF46C9E"/>
    <w:rsid w:val="FEAFF630"/>
    <w:rsid w:val="FEDEBCAC"/>
    <w:rsid w:val="FF7F62AA"/>
    <w:rsid w:val="FFDBA3A8"/>
    <w:rsid w:val="FFDF073B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2257</Words>
  <Characters>2427</Characters>
  <Lines>0</Lines>
  <Paragraphs>0</Paragraphs>
  <TotalTime>5</TotalTime>
  <ScaleCrop>false</ScaleCrop>
  <LinksUpToDate>false</LinksUpToDate>
  <CharactersWithSpaces>2468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2021-08-02T10:04:00Z</dcterms:created>
  <dc:creator>胖林宝宝噜啦噜～</dc:creator>
  <cp:lastModifiedBy>Administrator</cp:lastModifiedBy>
  <dcterms:modified xsi:type="dcterms:W3CDTF">2026-03-17T00:49:00Z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526F4C53292B48849053E71A59849707</vt:lpwstr>
  </property>
</Properties>
</file>