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6FACB">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01685096">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0EE9F912">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融水市监处罚〔2026〕26号</w:t>
      </w:r>
      <w:bookmarkEnd w:id="2"/>
    </w:p>
    <w:p w14:paraId="1179241E">
      <w:pPr>
        <w:keepNext w:val="0"/>
        <w:keepLines w:val="0"/>
        <w:pageBreakBefore w:val="0"/>
        <w:widowControl w:val="0"/>
        <w:kinsoku/>
        <w:overflowPunct/>
        <w:bidi w:val="0"/>
        <w:snapToGrid/>
        <w:spacing w:line="520" w:lineRule="exact"/>
        <w:ind w:left="0" w:hanging="142"/>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融水县卜洗周食品店</w:t>
      </w:r>
      <w:bookmarkEnd w:id="3"/>
      <w:r>
        <w:rPr>
          <w:rFonts w:hint="eastAsia" w:ascii="仿宋_GB2312" w:hAnsi="仿宋_GB2312" w:eastAsia="仿宋_GB2312" w:cs="仿宋_GB2312"/>
          <w:b w:val="0"/>
          <w:bCs/>
          <w:color w:val="000000"/>
          <w:kern w:val="1"/>
          <w:sz w:val="32"/>
          <w:szCs w:val="32"/>
          <w:u w:val="none" w:color="auto"/>
        </w:rPr>
        <w:t xml:space="preserve"> </w:t>
      </w:r>
    </w:p>
    <w:p w14:paraId="5ECF84A3">
      <w:pPr>
        <w:keepNext w:val="0"/>
        <w:keepLines w:val="0"/>
        <w:pageBreakBefore w:val="0"/>
        <w:widowControl w:val="0"/>
        <w:kinsoku/>
        <w:overflowPunct/>
        <w:bidi w:val="0"/>
        <w:snapToGrid/>
        <w:spacing w:line="520" w:lineRule="exact"/>
        <w:ind w:left="0" w:hanging="140"/>
        <w:textAlignment w:val="auto"/>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26E8D6EE">
      <w:pPr>
        <w:keepNext w:val="0"/>
        <w:keepLines w:val="0"/>
        <w:pageBreakBefore w:val="0"/>
        <w:widowControl w:val="0"/>
        <w:kinsoku/>
        <w:overflowPunct/>
        <w:bidi w:val="0"/>
        <w:snapToGrid/>
        <w:spacing w:line="520" w:lineRule="exact"/>
        <w:ind w:left="0" w:hanging="140"/>
        <w:textAlignment w:val="auto"/>
        <w:rPr>
          <w:rFonts w:hint="eastAsia" w:ascii="仿宋_GB2312" w:hAnsi="仿宋_GB2312" w:eastAsia="仿宋_GB2312" w:cs="仿宋_GB2312"/>
          <w:b w:val="0"/>
          <w:color w:val="auto"/>
          <w:sz w:val="32"/>
          <w:u w:val="none" w:color="auto"/>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92450225MA5NFYGH2U</w:t>
      </w:r>
      <w:bookmarkEnd w:id="5"/>
    </w:p>
    <w:p w14:paraId="08039EBA">
      <w:pPr>
        <w:keepNext w:val="0"/>
        <w:keepLines w:val="0"/>
        <w:pageBreakBefore w:val="0"/>
        <w:widowControl w:val="0"/>
        <w:kinsoku/>
        <w:overflowPunct/>
        <w:bidi w:val="0"/>
        <w:snapToGrid/>
        <w:spacing w:line="520" w:lineRule="exact"/>
        <w:ind w:left="0"/>
        <w:textAlignment w:val="auto"/>
        <w:rPr>
          <w:rFonts w:hint="default"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w:t>
      </w:r>
      <w:bookmarkStart w:id="6" w:name="CALCULATE—DSR—tAjDsrs_cLxdzSheng"/>
      <w:r>
        <w:rPr>
          <w:rFonts w:hint="eastAsia" w:ascii="仿宋_GB2312" w:hAnsi="仿宋_GB2312" w:eastAsia="仿宋_GB2312" w:cs="仿宋_GB2312"/>
          <w:b w:val="0"/>
          <w:color w:val="000000"/>
          <w:sz w:val="32"/>
          <w:u w:val="none" w:color="auto"/>
        </w:rPr>
        <w:t>广西柳州市融水县安陲乡大伞村</w:t>
      </w:r>
      <w:bookmarkEnd w:id="6"/>
      <w:r>
        <w:rPr>
          <w:rFonts w:hint="eastAsia" w:ascii="仿宋_GB2312" w:hAnsi="仿宋_GB2312" w:eastAsia="仿宋_GB2312" w:cs="仿宋_GB2312"/>
          <w:b w:val="0"/>
          <w:color w:val="000000"/>
          <w:sz w:val="32"/>
          <w:u w:val="none" w:color="auto"/>
          <w:lang w:val="en-US" w:eastAsia="zh-CN"/>
        </w:rPr>
        <w:t>******</w:t>
      </w:r>
    </w:p>
    <w:p w14:paraId="2171BA30">
      <w:pPr>
        <w:keepNext w:val="0"/>
        <w:keepLines w:val="0"/>
        <w:pageBreakBefore w:val="0"/>
        <w:widowControl w:val="0"/>
        <w:kinsoku/>
        <w:overflowPunct/>
        <w:bidi w:val="0"/>
        <w:snapToGrid/>
        <w:spacing w:line="520" w:lineRule="exact"/>
        <w:ind w:left="0"/>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卜洗周</w:t>
      </w:r>
      <w:bookmarkEnd w:id="7"/>
    </w:p>
    <w:p w14:paraId="6135466C">
      <w:pPr>
        <w:keepNext w:val="0"/>
        <w:keepLines w:val="0"/>
        <w:pageBreakBefore w:val="0"/>
        <w:widowControl w:val="0"/>
        <w:kinsoku/>
        <w:overflowPunct/>
        <w:bidi w:val="0"/>
        <w:snapToGrid/>
        <w:spacing w:line="520" w:lineRule="exact"/>
        <w:ind w:left="0" w:hanging="140"/>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452229196810</w:t>
      </w:r>
      <w:bookmarkEnd w:id="8"/>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52D7B3AA">
      <w:pPr>
        <w:pStyle w:val="4"/>
        <w:keepNext w:val="0"/>
        <w:keepLines w:val="0"/>
        <w:pageBreakBefore w:val="0"/>
        <w:widowControl w:val="0"/>
        <w:tabs>
          <w:tab w:val="left" w:pos="9060"/>
        </w:tabs>
        <w:kinsoku/>
        <w:overflowPunct/>
        <w:bidi w:val="0"/>
        <w:snapToGrid/>
        <w:spacing w:line="520" w:lineRule="exact"/>
        <w:ind w:left="0"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bookmarkStart w:id="9" w:name="CALCULATE—AYHC—tAjHc_cHcqkjlaay"/>
      <w:r>
        <w:rPr>
          <w:rFonts w:hint="eastAsia" w:ascii="仿宋_GB2312" w:hAnsi="仿宋_GB2312" w:eastAsia="仿宋_GB2312" w:cs="仿宋_GB2312"/>
          <w:b w:val="0"/>
          <w:color w:val="000000"/>
          <w:sz w:val="32"/>
          <w:u w:val="none" w:color="auto"/>
        </w:rPr>
        <w:t>2026年2月10日，本局执法人员到位于融水县安陲乡大伞村</w:t>
      </w:r>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color w:val="000000"/>
          <w:sz w:val="32"/>
          <w:u w:val="none" w:color="auto"/>
        </w:rPr>
        <w:t>的融水县卜洗周食品店开展执法检查，当事人持有《营业执照》一本，经营范围：食品、果品、禽畜肉类、其他日用品零售。执法人员在当事人经营场所内检查发现有“真龙（起源）”、“真龙（软祥云）”等6个品种共7.8条烟草制品销售，当事人现场未能提供《烟草专卖零售许可证》及供货者的资质材料、购销票据台账。当事人的行为涉嫌违反了《烟草专卖法实施条例》第六条第一款的规定，</w:t>
      </w:r>
      <w:bookmarkEnd w:id="9"/>
      <w:r>
        <w:rPr>
          <w:rFonts w:hint="eastAsia" w:ascii="仿宋_GB2312" w:hAnsi="仿宋_GB2312" w:eastAsia="仿宋_GB2312" w:cs="仿宋_GB2312"/>
          <w:color w:val="000000"/>
          <w:sz w:val="32"/>
          <w:szCs w:val="32"/>
          <w:u w:val="none" w:color="auto"/>
          <w:lang w:eastAsia="zh-CN"/>
        </w:rPr>
        <w:t>经本局领导审批同意于次日对当事人涉嫌无证经营烟草制品的行为</w:t>
      </w:r>
      <w:r>
        <w:rPr>
          <w:rFonts w:hint="eastAsia" w:ascii="仿宋_GB2312" w:hAnsi="仿宋_GB2312" w:eastAsia="仿宋_GB2312" w:cs="仿宋_GB2312"/>
          <w:color w:val="000000"/>
          <w:sz w:val="32"/>
          <w:szCs w:val="32"/>
          <w:u w:val="none" w:color="auto"/>
        </w:rPr>
        <w:t>立案调查。</w:t>
      </w:r>
      <w:r>
        <w:rPr>
          <w:rFonts w:hint="eastAsia" w:ascii="仿宋_GB2312" w:hAnsi="仿宋_GB2312" w:eastAsia="仿宋_GB2312" w:cs="仿宋_GB2312"/>
          <w:color w:val="000000"/>
          <w:sz w:val="32"/>
          <w:szCs w:val="32"/>
          <w:u w:val="none" w:color="auto"/>
          <w:lang w:val="en-US" w:eastAsia="zh-CN"/>
        </w:rPr>
        <w:t>2月13日，当事人经营者卜洗周到本局接受询问调查，提供了相关证据材料。</w:t>
      </w:r>
    </w:p>
    <w:p w14:paraId="2A6BF43C">
      <w:pPr>
        <w:pStyle w:val="4"/>
        <w:keepNext w:val="0"/>
        <w:keepLines w:val="0"/>
        <w:pageBreakBefore w:val="0"/>
        <w:widowControl w:val="0"/>
        <w:tabs>
          <w:tab w:val="left" w:pos="8240"/>
        </w:tabs>
        <w:kinsoku/>
        <w:overflowPunct/>
        <w:bidi w:val="0"/>
        <w:snapToGrid/>
        <w:spacing w:line="520" w:lineRule="exact"/>
        <w:ind w:left="0" w:firstLine="640" w:firstLineChars="200"/>
        <w:textAlignment w:val="auto"/>
        <w:rPr>
          <w:rFonts w:hint="eastAsia" w:ascii="仿宋_GB2312" w:hAnsi="仿宋_GB2312" w:eastAsia="仿宋_GB2312" w:cs="仿宋_GB2312"/>
          <w:b w:val="0"/>
          <w:bCs/>
          <w:color w:val="auto"/>
          <w:kern w:val="1"/>
          <w:sz w:val="32"/>
          <w:szCs w:val="32"/>
          <w:u w:val="none" w:color="auto"/>
          <w:lang w:val="en-US" w:eastAsia="zh-CN"/>
        </w:rPr>
      </w:pPr>
      <w:bookmarkStart w:id="10" w:name="CALCULATE—AJCF—tAjCfes_cAjss"/>
      <w:r>
        <w:rPr>
          <w:rFonts w:hint="eastAsia" w:ascii="仿宋_GB2312" w:hAnsi="仿宋_GB2312" w:eastAsia="仿宋_GB2312" w:cs="仿宋_GB2312"/>
          <w:b w:val="0"/>
          <w:color w:val="000000"/>
          <w:sz w:val="32"/>
          <w:u w:val="none" w:color="auto"/>
        </w:rPr>
        <w:t>经查，当事人于2018年10月30日注册营业执照后开始从事经营活动。2025年10月开始，当事人在未取得《烟草专卖零售许可证》的情况下，从融水县安陲乡街上的烟草零售店购进烟草制品到其经营场所进行销售。2026年2月10日，本局执法人员在当事人经营场所查获“真龙(起源)”、“真龙（软祥云）”等烟草制品6个品种共计7.8条。经核实，当事人购销烟草制品未建立有台账，无法核实当事人至案发共入库和销售烟草制品的具体数量，以现场检查发现的烟草制品的零售单价的总和1212元认定为该案涉案货值金额，同时违法所得无法计算，该案无违法所得。</w:t>
      </w:r>
      <w:bookmarkEnd w:id="10"/>
      <w:r>
        <w:rPr>
          <w:rFonts w:hint="eastAsia" w:ascii="仿宋_GB2312" w:hAnsi="仿宋_GB2312" w:eastAsia="仿宋_GB2312" w:cs="仿宋_GB2312"/>
          <w:b w:val="0"/>
          <w:bCs/>
          <w:color w:val="000000"/>
          <w:kern w:val="1"/>
          <w:sz w:val="32"/>
          <w:szCs w:val="32"/>
          <w:u w:val="none" w:color="auto"/>
          <w:lang w:val="en-US" w:eastAsia="zh-CN"/>
        </w:rPr>
        <w:t xml:space="preserve"> </w:t>
      </w:r>
    </w:p>
    <w:p w14:paraId="29DE832E">
      <w:pPr>
        <w:pStyle w:val="4"/>
        <w:keepNext w:val="0"/>
        <w:keepLines w:val="0"/>
        <w:pageBreakBefore w:val="0"/>
        <w:widowControl w:val="0"/>
        <w:tabs>
          <w:tab w:val="left" w:pos="8285"/>
        </w:tabs>
        <w:kinsoku/>
        <w:overflowPunct/>
        <w:bidi w:val="0"/>
        <w:snapToGrid/>
        <w:spacing w:line="520" w:lineRule="exact"/>
        <w:ind w:left="0" w:firstLine="640" w:firstLineChars="200"/>
        <w:textAlignment w:val="auto"/>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015CD974">
      <w:pPr>
        <w:pStyle w:val="4"/>
        <w:keepNext w:val="0"/>
        <w:keepLines w:val="0"/>
        <w:pageBreakBefore w:val="0"/>
        <w:widowControl w:val="0"/>
        <w:tabs>
          <w:tab w:val="left" w:pos="9060"/>
        </w:tabs>
        <w:kinsoku/>
        <w:overflowPunct/>
        <w:bidi w:val="0"/>
        <w:snapToGrid/>
        <w:spacing w:line="520" w:lineRule="exact"/>
        <w:ind w:left="0"/>
        <w:textAlignment w:val="auto"/>
        <w:rPr>
          <w:rFonts w:hint="eastAsia" w:ascii="仿宋_GB2312" w:hAnsi="仿宋_GB2312" w:eastAsia="仿宋_GB2312" w:cs="仿宋_GB2312"/>
          <w:b w:val="0"/>
          <w:bCs/>
          <w:color w:val="auto"/>
          <w:sz w:val="32"/>
          <w:szCs w:val="32"/>
          <w:u w:val="none" w:color="auto"/>
          <w:lang w:val="en-US" w:eastAsia="zh-CN"/>
        </w:rPr>
      </w:pPr>
      <w:bookmarkStart w:id="11" w:name="CALCULATE—ZJCL—tajCltjes_zjclxx"/>
      <w:r>
        <w:rPr>
          <w:rFonts w:hint="eastAsia" w:ascii="仿宋_GB2312" w:hAnsi="仿宋_GB2312" w:eastAsia="仿宋_GB2312" w:cs="仿宋_GB2312"/>
          <w:b w:val="0"/>
          <w:color w:val="000000"/>
          <w:sz w:val="32"/>
          <w:u w:val="none" w:color="auto"/>
        </w:rPr>
        <w:t>　　1.现场笔录；</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2.行政检查审批表及通知书；</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3.涉案烟草专卖品核价表</w:t>
      </w:r>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4.询问笔录；</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5.当事人营业执照及经营者居民身份证；</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6.现场检查图片</w:t>
      </w:r>
      <w:bookmarkEnd w:id="11"/>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b w:val="0"/>
          <w:bCs/>
          <w:color w:val="000000"/>
          <w:sz w:val="32"/>
          <w:szCs w:val="32"/>
          <w:u w:val="none" w:color="auto"/>
          <w:lang w:val="en-US" w:eastAsia="zh-CN"/>
        </w:rPr>
        <w:t xml:space="preserve"> </w:t>
      </w:r>
    </w:p>
    <w:p w14:paraId="72994844">
      <w:pPr>
        <w:pStyle w:val="4"/>
        <w:keepNext w:val="0"/>
        <w:keepLines w:val="0"/>
        <w:pageBreakBefore w:val="0"/>
        <w:widowControl w:val="0"/>
        <w:tabs>
          <w:tab w:val="left" w:pos="9060"/>
        </w:tabs>
        <w:kinsoku/>
        <w:overflowPunct/>
        <w:bidi w:val="0"/>
        <w:snapToGrid/>
        <w:spacing w:line="520" w:lineRule="exact"/>
        <w:ind w:left="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 xml:space="preserve">    </w:t>
      </w:r>
      <w:bookmarkStart w:id="12" w:name="CALCULATE—XZCFJDS—cCfgzwsSdrq"/>
      <w:r>
        <w:rPr>
          <w:rFonts w:hint="eastAsia" w:ascii="仿宋_GB2312" w:hAnsi="仿宋_GB2312" w:eastAsia="仿宋_GB2312" w:cs="仿宋_GB2312"/>
          <w:b w:val="0"/>
          <w:color w:val="000000"/>
          <w:sz w:val="32"/>
          <w:u w:val="none" w:color="auto"/>
        </w:rPr>
        <w:t>2026年2月25日</w:t>
      </w:r>
      <w:bookmarkEnd w:id="12"/>
      <w:r>
        <w:rPr>
          <w:rFonts w:hint="eastAsia" w:ascii="仿宋_GB2312" w:hAnsi="仿宋_GB2312" w:eastAsia="仿宋_GB2312" w:cs="仿宋_GB2312"/>
          <w:b w:val="0"/>
          <w:bCs/>
          <w:color w:val="000000"/>
          <w:sz w:val="32"/>
          <w:szCs w:val="32"/>
          <w:u w:val="none" w:color="auto"/>
        </w:rPr>
        <w:t>，本局向当事人送达了本案《行政处罚告知书》(</w:t>
      </w:r>
      <w:bookmarkStart w:id="13" w:name="CALCULATE—XZCFJDS—cCfgzSdwswh"/>
      <w:r>
        <w:rPr>
          <w:rFonts w:hint="eastAsia" w:ascii="仿宋_GB2312" w:hAnsi="仿宋_GB2312" w:eastAsia="仿宋_GB2312" w:cs="仿宋_GB2312"/>
          <w:b w:val="0"/>
          <w:color w:val="000000"/>
          <w:sz w:val="32"/>
          <w:u w:val="none" w:color="auto"/>
        </w:rPr>
        <w:t>融水市监罚告〔2026〕25号</w:t>
      </w:r>
      <w:bookmarkEnd w:id="13"/>
      <w:r>
        <w:rPr>
          <w:rFonts w:hint="eastAsia" w:ascii="仿宋_GB2312" w:hAnsi="仿宋_GB2312" w:eastAsia="仿宋_GB2312" w:cs="仿宋_GB2312"/>
          <w:b w:val="0"/>
          <w:bCs/>
          <w:color w:val="000000"/>
          <w:sz w:val="32"/>
          <w:szCs w:val="32"/>
          <w:u w:val="none" w:color="auto"/>
        </w:rPr>
        <w:t>)，</w:t>
      </w:r>
      <w:bookmarkStart w:id="14"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4"/>
      <w:r>
        <w:rPr>
          <w:rFonts w:hint="eastAsia" w:ascii="仿宋_GB2312" w:hAnsi="仿宋_GB2312" w:eastAsia="仿宋_GB2312" w:cs="仿宋_GB2312"/>
          <w:b w:val="0"/>
          <w:color w:val="000000"/>
          <w:sz w:val="32"/>
          <w:u w:val="none" w:color="auto"/>
          <w:lang w:eastAsia="zh-CN"/>
        </w:rPr>
        <w:t>，视为放弃此权利。</w:t>
      </w:r>
    </w:p>
    <w:p w14:paraId="5A005D8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kern w:val="1"/>
          <w:sz w:val="32"/>
          <w:szCs w:val="32"/>
          <w:u w:val="none" w:color="auto"/>
        </w:rPr>
        <w:t>本局认为，</w:t>
      </w:r>
      <w:bookmarkStart w:id="15" w:name="CALCULATE—XZCFJDS—xzcfjdswfxx"/>
      <w:r>
        <w:rPr>
          <w:rFonts w:hint="eastAsia" w:ascii="仿宋_GB2312" w:hAnsi="仿宋_GB2312" w:eastAsia="仿宋_GB2312" w:cs="仿宋_GB2312"/>
          <w:color w:val="000000"/>
          <w:sz w:val="32"/>
          <w:szCs w:val="32"/>
          <w:u w:val="none" w:color="auto"/>
          <w:lang w:eastAsia="zh-CN"/>
        </w:rPr>
        <w:t>当事人未取得《烟草专卖零售许可证》从事烟草制品零售业务的行为，违反了</w:t>
      </w:r>
      <w:r>
        <w:rPr>
          <w:rFonts w:hint="eastAsia" w:ascii="仿宋_GB2312" w:hAnsi="仿宋_GB2312" w:eastAsia="仿宋_GB2312" w:cs="仿宋_GB2312"/>
          <w:color w:val="000000"/>
          <w:sz w:val="32"/>
          <w:szCs w:val="32"/>
          <w:u w:val="none" w:color="auto"/>
        </w:rPr>
        <w:t>《中华人民共和国烟草专卖法实施条例》第六条第一款</w:t>
      </w:r>
      <w:r>
        <w:rPr>
          <w:rFonts w:hint="eastAsia" w:ascii="仿宋_GB2312" w:hAnsi="仿宋_GB2312" w:eastAsia="仿宋_GB2312" w:cs="仿宋_GB2312"/>
          <w:color w:val="000000"/>
          <w:sz w:val="32"/>
          <w:szCs w:val="32"/>
          <w:u w:val="none" w:color="auto"/>
          <w:lang w:eastAsia="zh-CN"/>
        </w:rPr>
        <w:t>的规定，构成了无证经营烟草制品的违法行为</w:t>
      </w:r>
      <w:r>
        <w:rPr>
          <w:rFonts w:hint="eastAsia" w:ascii="仿宋_GB2312" w:hAnsi="仿宋_GB2312" w:eastAsia="仿宋_GB2312" w:cs="仿宋_GB2312"/>
          <w:color w:val="000000"/>
          <w:sz w:val="32"/>
          <w:szCs w:val="32"/>
          <w:u w:val="none" w:color="auto"/>
        </w:rPr>
        <w:t>。</w:t>
      </w:r>
    </w:p>
    <w:bookmarkEnd w:id="15"/>
    <w:p w14:paraId="69AAF11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鉴于本案中当事人未取得《烟草专卖零售许可证》从事烟草制品零售业务的违法经营额为1212元，符合《广西壮族自治区市场监督管理行政处罚裁量基准（2023版）》一百二十八、《烟草专卖法实施条例》行政处罚裁量基准“序号1”的“适用情形”中“从轻（违法经营额1万元以下的）” 的处罚情形。</w:t>
      </w:r>
      <w:bookmarkStart w:id="16" w:name="CALCULATE—AJCF—tAjCfes_cXzcfnr"/>
    </w:p>
    <w:p w14:paraId="773BFFC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eastAsia="zh-CN"/>
        </w:rPr>
        <w:t>依据</w:t>
      </w:r>
      <w:r>
        <w:rPr>
          <w:rFonts w:hint="eastAsia" w:ascii="仿宋_GB2312" w:hAnsi="仿宋_GB2312" w:eastAsia="仿宋_GB2312" w:cs="仿宋_GB2312"/>
          <w:color w:val="000000"/>
          <w:sz w:val="32"/>
          <w:szCs w:val="32"/>
          <w:u w:val="none" w:color="auto"/>
        </w:rPr>
        <w:t>《中华人民共和国烟草专卖法实施条例》第五十七条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仿宋_GB2312" w:eastAsia="仿宋_GB2312" w:cs="仿宋_GB2312"/>
          <w:color w:val="000000"/>
          <w:sz w:val="32"/>
          <w:szCs w:val="32"/>
          <w:u w:val="none" w:color="auto"/>
          <w:lang w:eastAsia="zh-CN"/>
        </w:rPr>
        <w:t>”的规定，</w:t>
      </w:r>
      <w:r>
        <w:rPr>
          <w:rFonts w:hint="eastAsia" w:ascii="仿宋_GB2312" w:hAnsi="仿宋_GB2312" w:eastAsia="仿宋_GB2312" w:cs="仿宋_GB2312"/>
          <w:color w:val="000000"/>
          <w:sz w:val="32"/>
          <w:szCs w:val="32"/>
          <w:u w:val="none" w:color="auto"/>
          <w:lang w:val="en-US" w:eastAsia="zh-CN"/>
        </w:rPr>
        <w:t>参照《广西壮族自治区市场监督管理行政处罚裁量基准》一百二十八、《烟草专卖法实施条例》行政处罚裁量基准“序号1”的“适用情形”中“从轻”的“裁量标准（责令停止经营烟草制品零售业务，没收违法所得，处以违法经营总额20%以上29%以下的罚款）”，本局决定责令当事人立即停止从事烟草制品零售业务活动，并</w:t>
      </w:r>
      <w:r>
        <w:rPr>
          <w:rFonts w:hint="eastAsia" w:ascii="仿宋_GB2312" w:hAnsi="仿宋_GB2312" w:eastAsia="仿宋_GB2312" w:cs="仿宋_GB2312"/>
          <w:color w:val="000000"/>
          <w:sz w:val="32"/>
          <w:szCs w:val="32"/>
          <w:u w:val="none" w:color="auto"/>
          <w:lang w:eastAsia="zh-CN"/>
        </w:rPr>
        <w:t>对当事人</w:t>
      </w:r>
      <w:r>
        <w:rPr>
          <w:rFonts w:hint="eastAsia" w:ascii="仿宋_GB2312" w:hAnsi="仿宋_GB2312" w:eastAsia="仿宋_GB2312" w:cs="仿宋_GB2312"/>
          <w:color w:val="000000"/>
          <w:sz w:val="32"/>
          <w:szCs w:val="32"/>
          <w:u w:val="none" w:color="auto"/>
        </w:rPr>
        <w:t>处违法经营总额25％的罚款303元。</w:t>
      </w:r>
      <w:bookmarkEnd w:id="16"/>
    </w:p>
    <w:p w14:paraId="41A80AE5">
      <w:pPr>
        <w:pStyle w:val="4"/>
        <w:keepNext w:val="0"/>
        <w:keepLines w:val="0"/>
        <w:pageBreakBefore w:val="0"/>
        <w:widowControl w:val="0"/>
        <w:tabs>
          <w:tab w:val="left" w:pos="9060"/>
        </w:tabs>
        <w:kinsoku/>
        <w:wordWrap w:val="0"/>
        <w:overflowPunct/>
        <w:topLinePunct/>
        <w:autoSpaceDE/>
        <w:autoSpaceDN/>
        <w:bidi w:val="0"/>
        <w:adjustRightInd w:val="0"/>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u w:val="none" w:color="auto"/>
          <w:lang w:val="en-US" w:eastAsia="zh-Hans" w:bidi="ar-SA"/>
        </w:rPr>
      </w:pPr>
      <w:r>
        <w:rPr>
          <w:rFonts w:hint="eastAsia" w:ascii="仿宋_GB2312" w:hAnsi="仿宋_GB2312" w:eastAsia="仿宋_GB2312" w:cs="仿宋_GB2312"/>
          <w:color w:val="000000"/>
          <w:kern w:val="0"/>
          <w:sz w:val="32"/>
          <w:szCs w:val="32"/>
          <w:u w:val="none" w:color="auto"/>
          <w:lang w:val="en-US" w:eastAsia="zh-Hans"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2541076">
      <w:pPr>
        <w:pStyle w:val="4"/>
        <w:keepNext w:val="0"/>
        <w:keepLines w:val="0"/>
        <w:pageBreakBefore w:val="0"/>
        <w:widowControl w:val="0"/>
        <w:tabs>
          <w:tab w:val="left" w:pos="9060"/>
        </w:tabs>
        <w:kinsoku/>
        <w:wordWrap w:val="0"/>
        <w:overflowPunct/>
        <w:topLinePunct/>
        <w:autoSpaceDE/>
        <w:autoSpaceDN/>
        <w:bidi w:val="0"/>
        <w:adjustRightInd w:val="0"/>
        <w:snapToGrid/>
        <w:spacing w:line="520" w:lineRule="exact"/>
        <w:ind w:left="0" w:leftChars="0" w:firstLine="640" w:firstLineChars="200"/>
        <w:textAlignment w:val="auto"/>
        <w:rPr>
          <w:rFonts w:ascii="Times New Roman" w:hAnsi="Times New Roman" w:eastAsia="仿宋_GB2312" w:cs="仿宋_GB2312"/>
          <w:color w:val="auto"/>
          <w:sz w:val="32"/>
          <w:szCs w:val="32"/>
        </w:rPr>
      </w:pPr>
      <w:r>
        <w:rPr>
          <w:rFonts w:hint="eastAsia" w:ascii="仿宋_GB2312" w:hAnsi="仿宋_GB2312" w:eastAsia="仿宋_GB2312" w:cs="仿宋_GB2312"/>
          <w:color w:val="000000"/>
          <w:kern w:val="0"/>
          <w:sz w:val="32"/>
          <w:szCs w:val="32"/>
          <w:u w:val="none" w:color="auto"/>
          <w:lang w:val="en-US" w:eastAsia="zh-Hans"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62CC37C0">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9386F3D">
      <w:pPr>
        <w:spacing w:line="560" w:lineRule="exact"/>
        <w:ind w:right="640" w:firstLine="601"/>
        <w:jc w:val="right"/>
        <w:rPr>
          <w:rFonts w:ascii="Times New Roman" w:hAnsi="Times New Roman" w:eastAsia="仿宋_GB2312" w:cs="仿宋"/>
          <w:color w:val="auto"/>
          <w:sz w:val="32"/>
          <w:szCs w:val="32"/>
        </w:rPr>
      </w:pPr>
      <w:bookmarkStart w:id="17" w:name="DYNAMIC—DWXX—tAj_dwmc—2"/>
      <w:r>
        <w:rPr>
          <w:rFonts w:hint="eastAsia" w:ascii="Times New Roman" w:hAnsi="Times New Roman" w:eastAsia="仿宋_GB2312" w:cs="仿宋"/>
          <w:color w:val="000000"/>
          <w:sz w:val="32"/>
          <w:u w:val="none"/>
        </w:rPr>
        <w:t>融水苗族自治县市场监督管理局</w:t>
      </w:r>
      <w:bookmarkEnd w:id="17"/>
      <w:r>
        <w:rPr>
          <w:rFonts w:hint="eastAsia" w:ascii="Times New Roman" w:hAnsi="Times New Roman" w:eastAsia="仿宋_GB2312" w:cs="仿宋"/>
          <w:color w:val="000000"/>
          <w:sz w:val="32"/>
          <w:szCs w:val="32"/>
          <w:u w:val="none"/>
        </w:rPr>
        <w:t xml:space="preserve">    </w:t>
      </w:r>
    </w:p>
    <w:p w14:paraId="36BCBBFE">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Mongolian Baiti"/>
          <w:color w:val="auto"/>
          <w:sz w:val="32"/>
          <w:szCs w:val="32"/>
        </w:rPr>
      </w:pPr>
      <w:bookmarkStart w:id="18" w:name="CALCULATE—TIME—NOW"/>
      <w:r>
        <w:rPr>
          <w:rFonts w:hint="eastAsia" w:ascii="仿宋_GB2312" w:hAnsi="仿宋_GB2312" w:eastAsia="仿宋_GB2312" w:cs="仿宋_GB2312"/>
          <w:sz w:val="32"/>
          <w:lang w:val="en-US" w:eastAsia="zh-CN"/>
        </w:rPr>
        <w:t xml:space="preserve">            </w:t>
      </w:r>
      <w:bookmarkStart w:id="19" w:name="_GoBack"/>
      <w:bookmarkEnd w:id="19"/>
      <w:r>
        <w:rPr>
          <w:rFonts w:ascii="仿宋_GB2312" w:hAnsi="仿宋_GB2312" w:eastAsia="仿宋_GB2312" w:cs="仿宋_GB2312"/>
          <w:sz w:val="32"/>
        </w:rPr>
        <w:t>2026年03月04日</w:t>
      </w:r>
      <w:bookmarkEnd w:id="18"/>
      <w:r>
        <w:rPr>
          <w:rFonts w:hint="eastAsia" w:ascii="Times New Roman" w:hAnsi="Times New Roman" w:eastAsia="仿宋_GB2312" w:cs="仿宋_GB2312"/>
          <w:color w:val="000000"/>
          <w:sz w:val="32"/>
          <w:szCs w:val="32"/>
          <w:u w:val="none"/>
        </w:rPr>
        <w:t xml:space="preserve">  </w:t>
      </w:r>
    </w:p>
    <w:p w14:paraId="63C2AAE0">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403C17C">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9CC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F582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4F582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0C3E7B"/>
    <w:rsid w:val="06476E0A"/>
    <w:rsid w:val="064C104A"/>
    <w:rsid w:val="06BAE61F"/>
    <w:rsid w:val="071C7669"/>
    <w:rsid w:val="0747271C"/>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2714ACF"/>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EC62F0A"/>
    <w:rsid w:val="1F2B5D07"/>
    <w:rsid w:val="1FC004DE"/>
    <w:rsid w:val="1FD31F15"/>
    <w:rsid w:val="212E3259"/>
    <w:rsid w:val="22287087"/>
    <w:rsid w:val="237778B4"/>
    <w:rsid w:val="23F5677C"/>
    <w:rsid w:val="24626694"/>
    <w:rsid w:val="258D6CE0"/>
    <w:rsid w:val="27A45517"/>
    <w:rsid w:val="290114EB"/>
    <w:rsid w:val="298A1EB4"/>
    <w:rsid w:val="2AA5195D"/>
    <w:rsid w:val="2B1B3EFC"/>
    <w:rsid w:val="2C567AB4"/>
    <w:rsid w:val="2CEA3815"/>
    <w:rsid w:val="2DE10173"/>
    <w:rsid w:val="2F327E79"/>
    <w:rsid w:val="2F7CE1EF"/>
    <w:rsid w:val="2F8A6913"/>
    <w:rsid w:val="2FE62223"/>
    <w:rsid w:val="306627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712EA8"/>
    <w:rsid w:val="589752E6"/>
    <w:rsid w:val="58A4140A"/>
    <w:rsid w:val="591F0542"/>
    <w:rsid w:val="59A10938"/>
    <w:rsid w:val="5BA419F7"/>
    <w:rsid w:val="5BEF1DBF"/>
    <w:rsid w:val="5BF91583"/>
    <w:rsid w:val="5BFB2E57"/>
    <w:rsid w:val="5C5D2BD9"/>
    <w:rsid w:val="5D3F4F5B"/>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7B4B09"/>
    <w:rsid w:val="64E43803"/>
    <w:rsid w:val="657F58CB"/>
    <w:rsid w:val="66934D57"/>
    <w:rsid w:val="66F25116"/>
    <w:rsid w:val="6AD7030F"/>
    <w:rsid w:val="6BA277B7"/>
    <w:rsid w:val="6BCC1BB9"/>
    <w:rsid w:val="6C6723F1"/>
    <w:rsid w:val="6CA517CF"/>
    <w:rsid w:val="6D064CEC"/>
    <w:rsid w:val="6D6C7F13"/>
    <w:rsid w:val="6D923254"/>
    <w:rsid w:val="6DD2313B"/>
    <w:rsid w:val="6E0248CE"/>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4D458F"/>
    <w:rsid w:val="77DF8BD4"/>
    <w:rsid w:val="77EFD5CC"/>
    <w:rsid w:val="77FFADAC"/>
    <w:rsid w:val="7835649C"/>
    <w:rsid w:val="789620E4"/>
    <w:rsid w:val="78FD530C"/>
    <w:rsid w:val="7AFB4DD2"/>
    <w:rsid w:val="7B0F6E9A"/>
    <w:rsid w:val="7BA46A39"/>
    <w:rsid w:val="7BAE00F8"/>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439</Words>
  <Characters>439</Characters>
  <Lines>0</Lines>
  <Paragraphs>0</Paragraphs>
  <TotalTime>4</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2026-03-17T00:45:06Z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2C02DB6044564CC2953967716C5FC083_13</vt:lpwstr>
  </property>
</Properties>
</file>