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5CAF">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17164DE1">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E8B6692">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融水市监处罚〔2026〕24号</w:t>
      </w:r>
      <w:bookmarkEnd w:id="2"/>
    </w:p>
    <w:p w14:paraId="6A0C1315">
      <w:pPr>
        <w:spacing w:before="315" w:beforeLines="100" w:line="540" w:lineRule="exact"/>
        <w:ind w:left="142" w:hanging="142"/>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Hans" w:bidi="ar-SA"/>
        </w:rPr>
        <w:t>当事人：</w:t>
      </w:r>
      <w:bookmarkStart w:id="3" w:name="CALCULATE—DSR—tAjDsrs_cMc"/>
      <w:r>
        <w:rPr>
          <w:rFonts w:hint="eastAsia" w:ascii="仿宋_GB2312" w:hAnsi="仿宋_GB2312" w:eastAsia="仿宋_GB2312" w:cs="仿宋_GB2312"/>
          <w:color w:val="000000"/>
          <w:kern w:val="0"/>
          <w:sz w:val="32"/>
          <w:szCs w:val="32"/>
          <w:u w:val="none"/>
          <w:lang w:val="en-US" w:eastAsia="zh-Hans" w:bidi="ar-SA"/>
        </w:rPr>
        <w:t>融水县亮辰百货店（个体工商户）</w:t>
      </w:r>
      <w:bookmarkEnd w:id="3"/>
    </w:p>
    <w:p w14:paraId="5043C478">
      <w:pPr>
        <w:spacing w:line="540" w:lineRule="exact"/>
        <w:ind w:left="140" w:hanging="140"/>
        <w:rPr>
          <w:rFonts w:hint="eastAsia" w:ascii="仿宋_GB2312" w:hAnsi="仿宋_GB2312" w:eastAsia="仿宋_GB2312" w:cs="仿宋_GB2312"/>
          <w:color w:val="000000"/>
          <w:kern w:val="0"/>
          <w:sz w:val="32"/>
          <w:szCs w:val="32"/>
          <w:u w:val="none"/>
          <w:lang w:val="en-US" w:eastAsia="zh-Hans" w:bidi="ar-SA"/>
        </w:rPr>
      </w:pPr>
      <w:r>
        <w:rPr>
          <w:rFonts w:hint="eastAsia" w:ascii="仿宋_GB2312" w:hAnsi="仿宋_GB2312" w:eastAsia="仿宋_GB2312" w:cs="仿宋_GB2312"/>
          <w:color w:val="000000"/>
          <w:kern w:val="0"/>
          <w:sz w:val="32"/>
          <w:szCs w:val="32"/>
          <w:u w:val="none"/>
          <w:lang w:val="en-US" w:eastAsia="zh-Hans" w:bidi="ar-SA"/>
        </w:rPr>
        <w:t>主体资格证照名称：</w:t>
      </w:r>
      <w:bookmarkStart w:id="4" w:name="CALCULATE—DSR—tAjDsrs_cZtzgzzmc"/>
      <w:r>
        <w:rPr>
          <w:rFonts w:hint="eastAsia" w:ascii="仿宋_GB2312" w:hAnsi="仿宋_GB2312" w:eastAsia="仿宋_GB2312" w:cs="仿宋_GB2312"/>
          <w:color w:val="000000"/>
          <w:kern w:val="0"/>
          <w:sz w:val="32"/>
          <w:szCs w:val="32"/>
          <w:u w:val="none"/>
          <w:lang w:val="en-US" w:eastAsia="zh-Hans" w:bidi="ar-SA"/>
        </w:rPr>
        <w:t>营业执照</w:t>
      </w:r>
      <w:bookmarkEnd w:id="4"/>
    </w:p>
    <w:p w14:paraId="7655DCFB">
      <w:pPr>
        <w:spacing w:line="540" w:lineRule="exact"/>
        <w:ind w:left="140" w:hanging="140"/>
        <w:rPr>
          <w:rFonts w:hint="eastAsia" w:ascii="仿宋_GB2312" w:hAnsi="仿宋_GB2312" w:eastAsia="仿宋_GB2312" w:cs="仿宋_GB2312"/>
          <w:color w:val="000000"/>
          <w:kern w:val="0"/>
          <w:sz w:val="32"/>
          <w:szCs w:val="32"/>
          <w:u w:val="none"/>
          <w:lang w:val="en-US" w:eastAsia="zh-Hans" w:bidi="ar-SA"/>
        </w:rPr>
      </w:pPr>
      <w:r>
        <w:rPr>
          <w:rFonts w:hint="eastAsia" w:ascii="仿宋_GB2312" w:hAnsi="仿宋_GB2312" w:eastAsia="仿宋_GB2312" w:cs="仿宋_GB2312"/>
          <w:color w:val="000000"/>
          <w:kern w:val="0"/>
          <w:sz w:val="32"/>
          <w:szCs w:val="32"/>
          <w:u w:val="none"/>
          <w:lang w:val="en-US" w:eastAsia="zh-Hans" w:bidi="ar-SA"/>
        </w:rPr>
        <w:t>统一社会信用代码：</w:t>
      </w:r>
      <w:bookmarkStart w:id="5" w:name="CALCULATE—DSR—tAjDsrs_cTzshxydm"/>
      <w:r>
        <w:rPr>
          <w:rFonts w:hint="eastAsia" w:ascii="仿宋_GB2312" w:hAnsi="仿宋_GB2312" w:eastAsia="仿宋_GB2312" w:cs="仿宋_GB2312"/>
          <w:color w:val="000000"/>
          <w:kern w:val="0"/>
          <w:sz w:val="32"/>
          <w:szCs w:val="32"/>
          <w:u w:val="none"/>
          <w:lang w:val="en-US" w:eastAsia="zh-Hans" w:bidi="ar-SA"/>
        </w:rPr>
        <w:t>92450225MAEGY9963G</w:t>
      </w:r>
      <w:bookmarkEnd w:id="5"/>
      <w:r>
        <w:rPr>
          <w:rFonts w:hint="eastAsia" w:ascii="仿宋_GB2312" w:hAnsi="仿宋_GB2312" w:eastAsia="仿宋_GB2312" w:cs="仿宋_GB2312"/>
          <w:color w:val="000000"/>
          <w:kern w:val="0"/>
          <w:sz w:val="32"/>
          <w:szCs w:val="32"/>
          <w:u w:val="none"/>
          <w:lang w:val="en-US" w:eastAsia="zh-Hans" w:bidi="ar-SA"/>
        </w:rPr>
        <w:t xml:space="preserve"> </w:t>
      </w:r>
    </w:p>
    <w:p w14:paraId="0FF4BB77">
      <w:pPr>
        <w:spacing w:line="540" w:lineRule="exact"/>
        <w:ind w:left="140" w:hanging="140"/>
        <w:rPr>
          <w:rFonts w:hint="default"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Hans" w:bidi="ar-SA"/>
        </w:rPr>
        <w:t>住所：</w:t>
      </w:r>
      <w:bookmarkStart w:id="6" w:name="CALCULATE—DSR—tAjDsrs_cLxdzSheng"/>
      <w:r>
        <w:rPr>
          <w:rFonts w:hint="eastAsia" w:ascii="仿宋_GB2312" w:hAnsi="仿宋_GB2312" w:eastAsia="仿宋_GB2312" w:cs="仿宋_GB2312"/>
          <w:color w:val="000000"/>
          <w:kern w:val="0"/>
          <w:sz w:val="32"/>
          <w:szCs w:val="32"/>
          <w:u w:val="none"/>
          <w:lang w:val="en-US" w:eastAsia="zh-Hans" w:bidi="ar-SA"/>
        </w:rPr>
        <w:t>广西壮族自治区柳州市融水苗族自治县广西柳州市融水县红水乡黄奈村</w:t>
      </w:r>
      <w:bookmarkEnd w:id="6"/>
      <w:r>
        <w:rPr>
          <w:rFonts w:hint="eastAsia" w:ascii="仿宋_GB2312" w:hAnsi="仿宋_GB2312" w:eastAsia="仿宋_GB2312" w:cs="仿宋_GB2312"/>
          <w:color w:val="000000"/>
          <w:kern w:val="0"/>
          <w:sz w:val="32"/>
          <w:szCs w:val="32"/>
          <w:u w:val="none"/>
          <w:lang w:val="en-US" w:eastAsia="zh-CN" w:bidi="ar-SA"/>
        </w:rPr>
        <w:t>******</w:t>
      </w:r>
    </w:p>
    <w:p w14:paraId="48438E00">
      <w:pPr>
        <w:spacing w:line="540" w:lineRule="exact"/>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经营者</w:t>
      </w:r>
      <w:r>
        <w:rPr>
          <w:rFonts w:hint="eastAsia" w:ascii="仿宋_GB2312" w:hAnsi="仿宋_GB2312" w:eastAsia="仿宋_GB2312" w:cs="仿宋_GB2312"/>
          <w:color w:val="000000"/>
          <w:kern w:val="0"/>
          <w:sz w:val="32"/>
          <w:szCs w:val="32"/>
          <w:u w:val="none"/>
          <w:lang w:val="en-US" w:eastAsia="zh-Hans" w:bidi="ar-SA"/>
        </w:rPr>
        <w:t>：</w:t>
      </w:r>
      <w:bookmarkStart w:id="7" w:name="CALCULATE—DSR—tAjDsrs_cFddbr"/>
      <w:r>
        <w:rPr>
          <w:rFonts w:hint="eastAsia" w:ascii="仿宋_GB2312" w:hAnsi="仿宋_GB2312" w:eastAsia="仿宋_GB2312" w:cs="仿宋_GB2312"/>
          <w:color w:val="000000"/>
          <w:kern w:val="0"/>
          <w:sz w:val="32"/>
          <w:szCs w:val="32"/>
          <w:u w:val="none"/>
          <w:lang w:val="en-US" w:eastAsia="zh-Hans" w:bidi="ar-SA"/>
        </w:rPr>
        <w:t>贾政唯</w:t>
      </w:r>
      <w:bookmarkEnd w:id="7"/>
    </w:p>
    <w:p w14:paraId="72F46FD5">
      <w:pPr>
        <w:spacing w:line="540" w:lineRule="exact"/>
        <w:ind w:left="140" w:hanging="140"/>
        <w:rPr>
          <w:rFonts w:hint="default"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Hans" w:bidi="ar-SA"/>
        </w:rPr>
        <w:t>身份证件号码：</w:t>
      </w:r>
      <w:bookmarkStart w:id="8" w:name="CALCULATE—DSR—tAjDsrs_cZjhm"/>
      <w:r>
        <w:rPr>
          <w:rFonts w:hint="eastAsia" w:ascii="仿宋_GB2312" w:hAnsi="仿宋_GB2312" w:eastAsia="仿宋_GB2312" w:cs="仿宋_GB2312"/>
          <w:color w:val="000000"/>
          <w:kern w:val="0"/>
          <w:sz w:val="32"/>
          <w:szCs w:val="32"/>
          <w:u w:val="none"/>
          <w:lang w:val="en-US" w:eastAsia="zh-Hans" w:bidi="ar-SA"/>
        </w:rPr>
        <w:t>452229198312</w:t>
      </w:r>
      <w:bookmarkEnd w:id="8"/>
      <w:r>
        <w:rPr>
          <w:rFonts w:hint="eastAsia" w:ascii="仿宋_GB2312" w:hAnsi="仿宋_GB2312" w:eastAsia="仿宋_GB2312" w:cs="仿宋_GB2312"/>
          <w:color w:val="000000"/>
          <w:kern w:val="0"/>
          <w:sz w:val="32"/>
          <w:szCs w:val="32"/>
          <w:u w:val="none"/>
          <w:lang w:val="en-US" w:eastAsia="zh-CN" w:bidi="ar-SA"/>
        </w:rPr>
        <w:t>******</w:t>
      </w:r>
    </w:p>
    <w:p w14:paraId="3A66C4FB">
      <w:pPr>
        <w:pStyle w:val="4"/>
        <w:tabs>
          <w:tab w:val="left" w:pos="9060"/>
        </w:tabs>
        <w:spacing w:line="240" w:lineRule="auto"/>
        <w:ind w:firstLine="640" w:firstLineChars="200"/>
        <w:rPr>
          <w:rFonts w:hint="eastAsia" w:ascii="仿宋_GB2312" w:hAnsi="仿宋_GB2312" w:eastAsia="仿宋_GB2312" w:cs="仿宋_GB2312"/>
          <w:color w:val="000000"/>
          <w:kern w:val="0"/>
          <w:sz w:val="32"/>
          <w:szCs w:val="32"/>
          <w:u w:val="none"/>
          <w:lang w:val="en-US" w:eastAsia="zh-CN" w:bidi="ar-SA"/>
        </w:rPr>
      </w:pPr>
      <w:bookmarkStart w:id="9" w:name="CALCULATE—AYHC—tAjHc_cHcqkjlaay"/>
      <w:r>
        <w:rPr>
          <w:rFonts w:hint="eastAsia" w:ascii="仿宋_GB2312" w:hAnsi="仿宋_GB2312" w:eastAsia="仿宋_GB2312" w:cs="仿宋_GB2312"/>
          <w:color w:val="000000"/>
          <w:kern w:val="0"/>
          <w:sz w:val="32"/>
          <w:szCs w:val="32"/>
          <w:u w:val="none"/>
          <w:lang w:val="en-US" w:eastAsia="zh-Hans" w:bidi="ar-SA"/>
        </w:rPr>
        <w:t>2026年1月26日，本局执法人员到位于融水县红水乡黄奈村</w:t>
      </w:r>
      <w:r>
        <w:rPr>
          <w:rFonts w:hint="eastAsia" w:ascii="仿宋_GB2312" w:hAnsi="仿宋_GB2312" w:eastAsia="仿宋_GB2312" w:cs="仿宋_GB2312"/>
          <w:color w:val="000000"/>
          <w:kern w:val="0"/>
          <w:sz w:val="32"/>
          <w:szCs w:val="32"/>
          <w:u w:val="none"/>
          <w:lang w:val="en-US" w:eastAsia="zh-CN" w:bidi="ar-SA"/>
        </w:rPr>
        <w:t>******</w:t>
      </w:r>
      <w:r>
        <w:rPr>
          <w:rFonts w:hint="eastAsia" w:ascii="仿宋_GB2312" w:hAnsi="仿宋_GB2312" w:eastAsia="仿宋_GB2312" w:cs="仿宋_GB2312"/>
          <w:color w:val="000000"/>
          <w:kern w:val="0"/>
          <w:sz w:val="32"/>
          <w:szCs w:val="32"/>
          <w:u w:val="none"/>
          <w:lang w:val="en-US" w:eastAsia="zh-Hans" w:bidi="ar-SA"/>
        </w:rPr>
        <w:t>的融水县亮辰百货店开展执法检查，当事人持有《营业执照》一本，经营范围：一般项目：食品销售（仅销售预包装食品）；保健食品（预包装）销售；日用百货销售；日用品销售；五金产品零售；新鲜水果零售；新鲜蔬菜零售；食用农产品零售；农副产品销售；鲜肉零售；化妆品零售；日用杂品销售；劳动保护用品销售（除依法须经批准的项目外，凭营业执照依法自主开展经营活动）。执法人员在当事人经营场所的销售货架上检查发现有“84软盒玉溪”、“白沙（硬精品三代）”等6个品种共4.5条烟草制品销售，当事人现场未能提供《烟草专卖零售许可证》及供货者的资质材料、购销票据台账。当事人的行为涉嫌违反了《烟草专卖法实施条例》第六条第一款的规定，</w:t>
      </w:r>
      <w:bookmarkEnd w:id="9"/>
      <w:r>
        <w:rPr>
          <w:rFonts w:hint="eastAsia" w:ascii="仿宋_GB2312" w:hAnsi="仿宋_GB2312" w:eastAsia="仿宋_GB2312" w:cs="仿宋_GB2312"/>
          <w:color w:val="000000"/>
          <w:kern w:val="0"/>
          <w:sz w:val="32"/>
          <w:szCs w:val="32"/>
          <w:u w:val="none"/>
          <w:lang w:val="en-US" w:eastAsia="zh-CN" w:bidi="ar-SA"/>
        </w:rPr>
        <w:t>经本局领导审批同意，2026年1月29日对当事人的行为立案调查。2026年2月2日，经营者</w:t>
      </w:r>
      <w:r>
        <w:rPr>
          <w:rFonts w:hint="eastAsia" w:ascii="仿宋_GB2312" w:hAnsi="仿宋_GB2312" w:eastAsia="仿宋_GB2312" w:cs="仿宋_GB2312"/>
          <w:color w:val="000000"/>
          <w:kern w:val="0"/>
          <w:sz w:val="32"/>
          <w:szCs w:val="32"/>
          <w:u w:val="none"/>
          <w:lang w:val="en-US" w:eastAsia="zh-Hans" w:bidi="ar-SA"/>
        </w:rPr>
        <w:t>贾政唯</w:t>
      </w:r>
      <w:r>
        <w:rPr>
          <w:rFonts w:hint="eastAsia" w:ascii="仿宋_GB2312" w:hAnsi="仿宋_GB2312" w:eastAsia="仿宋_GB2312" w:cs="仿宋_GB2312"/>
          <w:color w:val="000000"/>
          <w:kern w:val="0"/>
          <w:sz w:val="32"/>
          <w:szCs w:val="32"/>
          <w:u w:val="none"/>
          <w:lang w:val="en-US" w:eastAsia="zh-CN" w:bidi="ar-SA"/>
        </w:rPr>
        <w:t>到本局接受询问调查，提供了相关证据材料。</w:t>
      </w:r>
    </w:p>
    <w:p w14:paraId="53BB4E15">
      <w:pPr>
        <w:pStyle w:val="4"/>
        <w:tabs>
          <w:tab w:val="left" w:pos="8240"/>
        </w:tabs>
        <w:spacing w:line="240" w:lineRule="auto"/>
        <w:ind w:firstLine="640" w:firstLineChars="200"/>
        <w:rPr>
          <w:rFonts w:hint="eastAsia" w:ascii="仿宋_GB2312" w:hAnsi="仿宋_GB2312" w:eastAsia="仿宋_GB2312" w:cs="仿宋_GB2312"/>
          <w:color w:val="000000"/>
          <w:kern w:val="0"/>
          <w:sz w:val="32"/>
          <w:szCs w:val="32"/>
          <w:u w:val="none"/>
          <w:lang w:val="en-US" w:eastAsia="zh-CN" w:bidi="ar-SA"/>
        </w:rPr>
      </w:pPr>
      <w:bookmarkStart w:id="10" w:name="CALCULATE—AJCF—tAjCfes_cAjss"/>
      <w:r>
        <w:rPr>
          <w:rFonts w:hint="eastAsia" w:ascii="仿宋_GB2312" w:hAnsi="仿宋_GB2312" w:eastAsia="仿宋_GB2312" w:cs="仿宋_GB2312"/>
          <w:color w:val="000000"/>
          <w:kern w:val="0"/>
          <w:sz w:val="32"/>
          <w:szCs w:val="32"/>
          <w:u w:val="none"/>
          <w:lang w:val="en-US" w:eastAsia="zh-Hans" w:bidi="ar-SA"/>
        </w:rPr>
        <w:t>经查，当事人于2025年4月16日注册《营业执照》在融水县红水乡黄奈村</w:t>
      </w:r>
      <w:r>
        <w:rPr>
          <w:rFonts w:hint="eastAsia" w:ascii="仿宋_GB2312" w:hAnsi="仿宋_GB2312" w:eastAsia="仿宋_GB2312" w:cs="仿宋_GB2312"/>
          <w:color w:val="000000"/>
          <w:kern w:val="0"/>
          <w:sz w:val="32"/>
          <w:szCs w:val="32"/>
          <w:u w:val="none"/>
          <w:lang w:val="en-US" w:eastAsia="zh-CN" w:bidi="ar-SA"/>
        </w:rPr>
        <w:t>******</w:t>
      </w:r>
      <w:bookmarkStart w:id="19" w:name="_GoBack"/>
      <w:bookmarkEnd w:id="19"/>
      <w:r>
        <w:rPr>
          <w:rFonts w:hint="eastAsia" w:ascii="仿宋_GB2312" w:hAnsi="仿宋_GB2312" w:eastAsia="仿宋_GB2312" w:cs="仿宋_GB2312"/>
          <w:color w:val="000000"/>
          <w:kern w:val="0"/>
          <w:sz w:val="32"/>
          <w:szCs w:val="32"/>
          <w:u w:val="none"/>
          <w:lang w:val="en-US" w:eastAsia="zh-Hans" w:bidi="ar-SA"/>
        </w:rPr>
        <w:t>从事食品、保健食品、日用百货、日用品销售，五金产品、新鲜水果、新鲜蔬菜、食用农产品等零售经营活动。2025年12月底开始，当事人在未取得《烟草专卖零售许可证》的情况下，从融水县红水乡街上的烟草零售店购进烟草制品到其经营场所进行销售。2026年1月26日，本局执法人员依法对当事人进行监督检查，在当事人经营场所</w:t>
      </w:r>
      <w:r>
        <w:rPr>
          <w:rFonts w:hint="eastAsia" w:ascii="仿宋_GB2312" w:hAnsi="仿宋_GB2312" w:eastAsia="仿宋_GB2312" w:cs="仿宋_GB2312"/>
          <w:color w:val="000000"/>
          <w:kern w:val="0"/>
          <w:sz w:val="32"/>
          <w:szCs w:val="32"/>
          <w:u w:val="none"/>
          <w:lang w:val="en-US" w:eastAsia="zh-CN" w:bidi="ar-SA"/>
        </w:rPr>
        <w:t>查获</w:t>
      </w:r>
      <w:r>
        <w:rPr>
          <w:rFonts w:hint="eastAsia" w:ascii="仿宋_GB2312" w:hAnsi="仿宋_GB2312" w:eastAsia="仿宋_GB2312" w:cs="仿宋_GB2312"/>
          <w:color w:val="000000"/>
          <w:kern w:val="0"/>
          <w:sz w:val="32"/>
          <w:szCs w:val="32"/>
          <w:u w:val="none"/>
          <w:lang w:val="en-US" w:eastAsia="zh-Hans" w:bidi="ar-SA"/>
        </w:rPr>
        <w:t>“84软盒玉溪”“白沙（硬精品三代）”等烟草制品6个品种共计4.5条。经核实，当事人购进烟草制品未建立有台账，无法核实当事人至案发共入库和销售烟草制品的具体数量，以现场检查发现的烟草制品的零售单价的总和725元认定为该案涉案货值金额，同时违法所得无法计算，该案无违法所得。</w:t>
      </w:r>
      <w:bookmarkEnd w:id="10"/>
      <w:r>
        <w:rPr>
          <w:rFonts w:hint="eastAsia" w:ascii="仿宋_GB2312" w:hAnsi="仿宋_GB2312" w:eastAsia="仿宋_GB2312" w:cs="仿宋_GB2312"/>
          <w:color w:val="000000"/>
          <w:kern w:val="0"/>
          <w:sz w:val="32"/>
          <w:szCs w:val="32"/>
          <w:u w:val="none"/>
          <w:lang w:val="en-US" w:eastAsia="zh-CN" w:bidi="ar-SA"/>
        </w:rPr>
        <w:t xml:space="preserve"> </w:t>
      </w:r>
    </w:p>
    <w:p w14:paraId="0DF55155">
      <w:pPr>
        <w:pStyle w:val="4"/>
        <w:tabs>
          <w:tab w:val="left" w:pos="8285"/>
        </w:tabs>
        <w:spacing w:line="520" w:lineRule="exact"/>
        <w:ind w:firstLine="640" w:firstLineChars="200"/>
        <w:rPr>
          <w:rFonts w:hint="eastAsia" w:ascii="仿宋_GB2312" w:hAnsi="仿宋_GB2312" w:eastAsia="仿宋_GB2312" w:cs="仿宋_GB2312"/>
          <w:color w:val="000000"/>
          <w:kern w:val="0"/>
          <w:sz w:val="32"/>
          <w:szCs w:val="32"/>
          <w:u w:val="none"/>
          <w:lang w:val="en-US" w:eastAsia="zh-Hans" w:bidi="ar-SA"/>
        </w:rPr>
      </w:pPr>
      <w:r>
        <w:rPr>
          <w:rFonts w:hint="eastAsia" w:ascii="仿宋_GB2312" w:hAnsi="仿宋_GB2312" w:eastAsia="仿宋_GB2312" w:cs="仿宋_GB2312"/>
          <w:color w:val="000000"/>
          <w:kern w:val="0"/>
          <w:sz w:val="32"/>
          <w:szCs w:val="32"/>
          <w:u w:val="none"/>
          <w:lang w:val="en-US" w:eastAsia="zh-Hans" w:bidi="ar-SA"/>
        </w:rPr>
        <w:t>上述事实，主要有以下证据证明：</w:t>
      </w:r>
    </w:p>
    <w:p w14:paraId="295B6E3F">
      <w:pPr>
        <w:pStyle w:val="4"/>
        <w:tabs>
          <w:tab w:val="left" w:pos="9060"/>
        </w:tabs>
        <w:spacing w:line="240" w:lineRule="auto"/>
        <w:rPr>
          <w:rFonts w:hint="eastAsia" w:ascii="仿宋_GB2312" w:hAnsi="仿宋_GB2312" w:eastAsia="仿宋_GB2312" w:cs="仿宋_GB2312"/>
          <w:color w:val="000000"/>
          <w:kern w:val="0"/>
          <w:sz w:val="32"/>
          <w:szCs w:val="32"/>
          <w:u w:val="none"/>
          <w:lang w:val="en-US" w:eastAsia="zh-CN" w:bidi="ar-SA"/>
        </w:rPr>
      </w:pPr>
      <w:bookmarkStart w:id="11" w:name="CALCULATE—ZJCL—tajCltjes_zjclxx"/>
      <w:r>
        <w:rPr>
          <w:rFonts w:hint="eastAsia" w:ascii="仿宋_GB2312" w:hAnsi="仿宋_GB2312" w:eastAsia="仿宋_GB2312" w:cs="仿宋_GB2312"/>
          <w:color w:val="000000"/>
          <w:kern w:val="0"/>
          <w:sz w:val="32"/>
          <w:szCs w:val="32"/>
          <w:u w:val="none"/>
          <w:lang w:val="en-US" w:eastAsia="zh-Hans" w:bidi="ar-SA"/>
        </w:rPr>
        <w:t>　　1.现场笔录；</w:t>
      </w:r>
      <w:r>
        <w:rPr>
          <w:rFonts w:hint="eastAsia" w:ascii="仿宋_GB2312" w:hAnsi="仿宋_GB2312" w:eastAsia="仿宋_GB2312" w:cs="仿宋_GB2312"/>
          <w:color w:val="000000"/>
          <w:kern w:val="0"/>
          <w:sz w:val="32"/>
          <w:szCs w:val="32"/>
          <w:u w:val="none"/>
          <w:lang w:val="en-US" w:eastAsia="zh-Hans" w:bidi="ar-SA"/>
        </w:rPr>
        <w:br w:type="textWrapping"/>
      </w:r>
      <w:r>
        <w:rPr>
          <w:rFonts w:hint="eastAsia" w:ascii="仿宋_GB2312" w:hAnsi="仿宋_GB2312" w:eastAsia="仿宋_GB2312" w:cs="仿宋_GB2312"/>
          <w:color w:val="000000"/>
          <w:kern w:val="0"/>
          <w:sz w:val="32"/>
          <w:szCs w:val="32"/>
          <w:u w:val="none"/>
          <w:lang w:val="en-US" w:eastAsia="zh-Hans" w:bidi="ar-SA"/>
        </w:rPr>
        <w:t>　　2.询问笔录；</w:t>
      </w:r>
      <w:r>
        <w:rPr>
          <w:rFonts w:hint="eastAsia" w:ascii="仿宋_GB2312" w:hAnsi="仿宋_GB2312" w:eastAsia="仿宋_GB2312" w:cs="仿宋_GB2312"/>
          <w:color w:val="000000"/>
          <w:kern w:val="0"/>
          <w:sz w:val="32"/>
          <w:szCs w:val="32"/>
          <w:u w:val="none"/>
          <w:lang w:val="en-US" w:eastAsia="zh-Hans" w:bidi="ar-SA"/>
        </w:rPr>
        <w:br w:type="textWrapping"/>
      </w:r>
      <w:r>
        <w:rPr>
          <w:rFonts w:hint="eastAsia" w:ascii="仿宋_GB2312" w:hAnsi="仿宋_GB2312" w:eastAsia="仿宋_GB2312" w:cs="仿宋_GB2312"/>
          <w:color w:val="000000"/>
          <w:kern w:val="0"/>
          <w:sz w:val="32"/>
          <w:szCs w:val="32"/>
          <w:u w:val="none"/>
          <w:lang w:val="en-US" w:eastAsia="zh-Hans" w:bidi="ar-SA"/>
        </w:rPr>
        <w:t>　　3.证据提取单（当事人营业执照、经营者居民身份证图片）；</w:t>
      </w:r>
      <w:r>
        <w:rPr>
          <w:rFonts w:hint="eastAsia" w:ascii="仿宋_GB2312" w:hAnsi="仿宋_GB2312" w:eastAsia="仿宋_GB2312" w:cs="仿宋_GB2312"/>
          <w:color w:val="000000"/>
          <w:kern w:val="0"/>
          <w:sz w:val="32"/>
          <w:szCs w:val="32"/>
          <w:u w:val="none"/>
          <w:lang w:val="en-US" w:eastAsia="zh-Hans" w:bidi="ar-SA"/>
        </w:rPr>
        <w:br w:type="textWrapping"/>
      </w:r>
      <w:r>
        <w:rPr>
          <w:rFonts w:hint="eastAsia" w:ascii="仿宋_GB2312" w:hAnsi="仿宋_GB2312" w:eastAsia="仿宋_GB2312" w:cs="仿宋_GB2312"/>
          <w:color w:val="000000"/>
          <w:kern w:val="0"/>
          <w:sz w:val="32"/>
          <w:szCs w:val="32"/>
          <w:u w:val="none"/>
          <w:lang w:val="en-US" w:eastAsia="zh-Hans" w:bidi="ar-SA"/>
        </w:rPr>
        <w:t>　　4.证据提取单（现场检查图片）；</w:t>
      </w:r>
      <w:r>
        <w:rPr>
          <w:rFonts w:hint="eastAsia" w:ascii="仿宋_GB2312" w:hAnsi="仿宋_GB2312" w:eastAsia="仿宋_GB2312" w:cs="仿宋_GB2312"/>
          <w:color w:val="000000"/>
          <w:kern w:val="0"/>
          <w:sz w:val="32"/>
          <w:szCs w:val="32"/>
          <w:u w:val="none"/>
          <w:lang w:val="en-US" w:eastAsia="zh-Hans" w:bidi="ar-SA"/>
        </w:rPr>
        <w:br w:type="textWrapping"/>
      </w:r>
      <w:r>
        <w:rPr>
          <w:rFonts w:hint="eastAsia" w:ascii="仿宋_GB2312" w:hAnsi="仿宋_GB2312" w:eastAsia="仿宋_GB2312" w:cs="仿宋_GB2312"/>
          <w:color w:val="000000"/>
          <w:kern w:val="0"/>
          <w:sz w:val="32"/>
          <w:szCs w:val="32"/>
          <w:u w:val="none"/>
          <w:lang w:val="en-US" w:eastAsia="zh-Hans" w:bidi="ar-SA"/>
        </w:rPr>
        <w:t>　　5.行政检查审批表及通知书；</w:t>
      </w:r>
      <w:r>
        <w:rPr>
          <w:rFonts w:hint="eastAsia" w:ascii="仿宋_GB2312" w:hAnsi="仿宋_GB2312" w:eastAsia="仿宋_GB2312" w:cs="仿宋_GB2312"/>
          <w:color w:val="000000"/>
          <w:kern w:val="0"/>
          <w:sz w:val="32"/>
          <w:szCs w:val="32"/>
          <w:u w:val="none"/>
          <w:lang w:val="en-US" w:eastAsia="zh-Hans" w:bidi="ar-SA"/>
        </w:rPr>
        <w:br w:type="textWrapping"/>
      </w:r>
      <w:r>
        <w:rPr>
          <w:rFonts w:hint="eastAsia" w:ascii="仿宋_GB2312" w:hAnsi="仿宋_GB2312" w:eastAsia="仿宋_GB2312" w:cs="仿宋_GB2312"/>
          <w:color w:val="000000"/>
          <w:kern w:val="0"/>
          <w:sz w:val="32"/>
          <w:szCs w:val="32"/>
          <w:u w:val="none"/>
          <w:lang w:val="en-US" w:eastAsia="zh-Hans" w:bidi="ar-SA"/>
        </w:rPr>
        <w:t>　　6.涉案烟草专卖品核价表。</w:t>
      </w:r>
      <w:bookmarkEnd w:id="11"/>
      <w:r>
        <w:rPr>
          <w:rFonts w:hint="eastAsia" w:ascii="仿宋_GB2312" w:hAnsi="仿宋_GB2312" w:eastAsia="仿宋_GB2312" w:cs="仿宋_GB2312"/>
          <w:color w:val="000000"/>
          <w:kern w:val="0"/>
          <w:sz w:val="32"/>
          <w:szCs w:val="32"/>
          <w:u w:val="none"/>
          <w:lang w:val="en-US" w:eastAsia="zh-CN" w:bidi="ar-SA"/>
        </w:rPr>
        <w:t xml:space="preserve"> </w:t>
      </w:r>
    </w:p>
    <w:p w14:paraId="115D0250">
      <w:pPr>
        <w:pStyle w:val="4"/>
        <w:tabs>
          <w:tab w:val="left" w:pos="9060"/>
        </w:tabs>
        <w:spacing w:line="240" w:lineRule="auto"/>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 xml:space="preserve">    </w:t>
      </w:r>
      <w:bookmarkStart w:id="12" w:name="CALCULATE—XZCFJDS—cCfgzwsSdrq"/>
      <w:r>
        <w:rPr>
          <w:rFonts w:hint="eastAsia" w:ascii="仿宋_GB2312" w:hAnsi="仿宋_GB2312" w:eastAsia="仿宋_GB2312" w:cs="仿宋_GB2312"/>
          <w:color w:val="000000"/>
          <w:kern w:val="0"/>
          <w:sz w:val="32"/>
          <w:szCs w:val="32"/>
          <w:u w:val="none"/>
          <w:lang w:val="en-US" w:eastAsia="zh-Hans" w:bidi="ar-SA"/>
        </w:rPr>
        <w:t>2026年2月11日</w:t>
      </w:r>
      <w:bookmarkEnd w:id="12"/>
      <w:r>
        <w:rPr>
          <w:rFonts w:hint="eastAsia" w:ascii="仿宋_GB2312" w:hAnsi="仿宋_GB2312" w:eastAsia="仿宋_GB2312" w:cs="仿宋_GB2312"/>
          <w:color w:val="000000"/>
          <w:kern w:val="0"/>
          <w:sz w:val="32"/>
          <w:szCs w:val="32"/>
          <w:u w:val="none"/>
          <w:lang w:val="en-US" w:eastAsia="zh-Hans" w:bidi="ar-SA"/>
        </w:rPr>
        <w:t>，本局向当事人送达了本案《行政处罚告知书》(</w:t>
      </w:r>
      <w:bookmarkStart w:id="13" w:name="CALCULATE—XZCFJDS—cCfgzSdwswh"/>
      <w:r>
        <w:rPr>
          <w:rFonts w:hint="eastAsia" w:ascii="仿宋_GB2312" w:hAnsi="仿宋_GB2312" w:eastAsia="仿宋_GB2312" w:cs="仿宋_GB2312"/>
          <w:color w:val="000000"/>
          <w:kern w:val="0"/>
          <w:sz w:val="32"/>
          <w:szCs w:val="32"/>
          <w:u w:val="none"/>
          <w:lang w:val="en-US" w:eastAsia="zh-Hans" w:bidi="ar-SA"/>
        </w:rPr>
        <w:t>融水市监罚告〔2026〕22号</w:t>
      </w:r>
      <w:bookmarkEnd w:id="13"/>
      <w:r>
        <w:rPr>
          <w:rFonts w:hint="eastAsia" w:ascii="仿宋_GB2312" w:hAnsi="仿宋_GB2312" w:eastAsia="仿宋_GB2312" w:cs="仿宋_GB2312"/>
          <w:color w:val="000000"/>
          <w:kern w:val="0"/>
          <w:sz w:val="32"/>
          <w:szCs w:val="32"/>
          <w:u w:val="none"/>
          <w:lang w:val="en-US" w:eastAsia="zh-Hans" w:bidi="ar-SA"/>
        </w:rPr>
        <w:t>)，</w:t>
      </w:r>
      <w:bookmarkStart w:id="14" w:name="CALCULATE—XZCFJDS—nTccssb"/>
      <w:r>
        <w:rPr>
          <w:rFonts w:hint="eastAsia" w:ascii="仿宋_GB2312" w:hAnsi="仿宋_GB2312" w:eastAsia="仿宋_GB2312" w:cs="仿宋_GB2312"/>
          <w:color w:val="000000"/>
          <w:kern w:val="0"/>
          <w:sz w:val="32"/>
          <w:szCs w:val="32"/>
          <w:u w:val="none"/>
          <w:lang w:val="en-US" w:eastAsia="zh-Hans" w:bidi="ar-SA"/>
        </w:rPr>
        <w:t>当事人在法定期限内未提出任何陈述或申辩</w:t>
      </w:r>
      <w:bookmarkEnd w:id="14"/>
      <w:r>
        <w:rPr>
          <w:rFonts w:hint="eastAsia" w:ascii="仿宋_GB2312" w:hAnsi="仿宋_GB2312" w:eastAsia="仿宋_GB2312" w:cs="仿宋_GB2312"/>
          <w:color w:val="000000"/>
          <w:kern w:val="0"/>
          <w:sz w:val="32"/>
          <w:szCs w:val="32"/>
          <w:u w:val="none"/>
          <w:lang w:val="en-US" w:eastAsia="zh-CN" w:bidi="ar-SA"/>
        </w:rPr>
        <w:t>，视为放弃此权利。</w:t>
      </w:r>
    </w:p>
    <w:p w14:paraId="4542005D">
      <w:pPr>
        <w:keepNext w:val="0"/>
        <w:keepLines w:val="0"/>
        <w:pageBreakBefore w:val="0"/>
        <w:widowControl w:val="0"/>
        <w:kinsoku/>
        <w:overflowPunct/>
        <w:bidi w:val="0"/>
        <w:snapToGrid/>
        <w:spacing w:line="520" w:lineRule="exact"/>
        <w:ind w:left="0" w:firstLine="640" w:firstLineChars="200"/>
        <w:textAlignment w:val="auto"/>
        <w:rPr>
          <w:rFonts w:hint="eastAsia" w:ascii="仿宋_GB2312" w:hAnsi="仿宋_GB2312" w:eastAsia="仿宋_GB2312" w:cs="仿宋_GB2312"/>
          <w:color w:val="000000"/>
          <w:kern w:val="0"/>
          <w:sz w:val="32"/>
          <w:szCs w:val="32"/>
          <w:u w:val="none"/>
          <w:lang w:val="en-US" w:eastAsia="zh-CN" w:bidi="ar-SA"/>
        </w:rPr>
      </w:pPr>
      <w:bookmarkStart w:id="15" w:name="CALCULATE—XZCFJDS—xzcfjdswfxx"/>
      <w:r>
        <w:rPr>
          <w:rFonts w:hint="eastAsia" w:ascii="仿宋_GB2312" w:hAnsi="仿宋_GB2312" w:eastAsia="仿宋_GB2312" w:cs="仿宋_GB2312"/>
          <w:color w:val="000000"/>
          <w:kern w:val="0"/>
          <w:sz w:val="32"/>
          <w:szCs w:val="32"/>
          <w:u w:val="none"/>
          <w:lang w:val="en-US" w:eastAsia="zh-CN" w:bidi="ar-SA"/>
        </w:rPr>
        <w:t>本局认为，当事人未取得《烟草专卖零售许可证》从事烟草制品零售业务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的规定，构成了无证经营烟草制品的违法行为。</w:t>
      </w:r>
    </w:p>
    <w:p w14:paraId="1A168D77">
      <w:pPr>
        <w:keepNext w:val="0"/>
        <w:keepLines w:val="0"/>
        <w:pageBreakBefore w:val="0"/>
        <w:widowControl w:val="0"/>
        <w:kinsoku/>
        <w:overflowPunct/>
        <w:bidi w:val="0"/>
        <w:snapToGrid/>
        <w:spacing w:line="520" w:lineRule="exact"/>
        <w:ind w:left="0" w:firstLine="640" w:firstLineChars="200"/>
        <w:textAlignment w:val="auto"/>
        <w:rPr>
          <w:rFonts w:hint="eastAsia"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鉴于本案中当事人未取得《烟草专卖零售许可证》从事烟草制品零售业务的违法经营额为725元，符合《广西壮族自治区市场监督管理行政处罚裁量基准》一百二十八、《烟草专卖法实施条例》行政处罚裁量基准“序号1”的“适用情形”中“从轻（违法经营额1万元以下的）”的处罚情形。</w:t>
      </w:r>
    </w:p>
    <w:p w14:paraId="452B3FB5">
      <w:pPr>
        <w:pStyle w:val="4"/>
        <w:spacing w:line="520" w:lineRule="exact"/>
        <w:ind w:firstLine="627" w:firstLineChars="196"/>
        <w:rPr>
          <w:rFonts w:hint="eastAsia" w:ascii="仿宋_GB2312" w:hAnsi="仿宋_GB2312" w:eastAsia="仿宋_GB2312" w:cs="仿宋_GB2312"/>
          <w:color w:val="000000"/>
          <w:kern w:val="0"/>
          <w:sz w:val="32"/>
          <w:szCs w:val="32"/>
          <w:u w:val="none"/>
          <w:lang w:val="en-US" w:eastAsia="zh-CN" w:bidi="ar-SA"/>
        </w:rPr>
      </w:pPr>
      <w:bookmarkStart w:id="16" w:name="CALCULATE—WFFLFGXX—tAjCfes_cCfyj"/>
      <w:r>
        <w:rPr>
          <w:rFonts w:hint="eastAsia" w:ascii="仿宋_GB2312" w:hAnsi="仿宋_GB2312" w:eastAsia="仿宋_GB2312" w:cs="仿宋_GB2312"/>
          <w:color w:val="000000"/>
          <w:kern w:val="0"/>
          <w:sz w:val="32"/>
          <w:szCs w:val="32"/>
          <w:u w:val="none"/>
          <w:lang w:val="en-US" w:eastAsia="zh-CN" w:bidi="ar-SA"/>
        </w:rPr>
        <w:t>依据《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bookmarkEnd w:id="16"/>
      <w:r>
        <w:rPr>
          <w:rFonts w:hint="eastAsia" w:ascii="仿宋_GB2312" w:hAnsi="仿宋_GB2312" w:eastAsia="仿宋_GB2312" w:cs="仿宋_GB2312"/>
          <w:color w:val="000000"/>
          <w:kern w:val="0"/>
          <w:sz w:val="32"/>
          <w:szCs w:val="32"/>
          <w:u w:val="none"/>
          <w:lang w:val="en-US" w:eastAsia="zh-CN" w:bidi="ar-SA"/>
        </w:rPr>
        <w:t>结合当事人符合从轻处罚的情形，参照《广西壮族自治区市场监督管理行政处罚裁量基准》一百二十八、《烟草专卖法实施条例》行政处罚裁量基准“序号1”的“适用情形”中“从轻”的“裁量标准（责令停止经营烟草制品零售业务，没收违法所得，处以违法经营总额 20%以上29%以下的罚款）”，本局决定责令当事人立即停止从事烟草制品零售业务活动，并对当事人处违法经营总额25％的罚款</w:t>
      </w:r>
      <w:r>
        <w:rPr>
          <w:rFonts w:hint="eastAsia" w:ascii="仿宋_GB2312" w:hAnsi="仿宋_GB2312" w:eastAsia="仿宋_GB2312" w:cs="仿宋_GB2312"/>
          <w:color w:val="000000"/>
          <w:kern w:val="0"/>
          <w:sz w:val="32"/>
          <w:szCs w:val="32"/>
          <w:u w:val="none"/>
          <w:lang w:val="en-US" w:eastAsia="zh-Hans" w:bidi="ar-SA"/>
        </w:rPr>
        <w:t>181.25元。</w:t>
      </w:r>
      <w:bookmarkEnd w:id="15"/>
    </w:p>
    <w:p w14:paraId="41A80AE5">
      <w:pPr>
        <w:pStyle w:val="4"/>
        <w:keepNext w:val="0"/>
        <w:keepLines w:val="0"/>
        <w:pageBreakBefore w:val="0"/>
        <w:widowControl w:val="0"/>
        <w:tabs>
          <w:tab w:val="left" w:pos="9060"/>
        </w:tabs>
        <w:kinsoku/>
        <w:wordWrap w:val="0"/>
        <w:overflowPunct/>
        <w:topLinePunct/>
        <w:autoSpaceDE/>
        <w:autoSpaceDN/>
        <w:bidi w:val="0"/>
        <w:adjustRightInd w:val="0"/>
        <w:snapToGrid/>
        <w:spacing w:line="520" w:lineRule="exact"/>
        <w:ind w:left="0" w:leftChars="0" w:firstLine="640" w:firstLineChars="200"/>
        <w:textAlignment w:val="auto"/>
        <w:rPr>
          <w:rFonts w:hint="eastAsia" w:ascii="仿宋_GB2312" w:hAnsi="仿宋_GB2312" w:eastAsia="仿宋_GB2312" w:cs="仿宋_GB2312"/>
          <w:color w:val="000000"/>
          <w:kern w:val="0"/>
          <w:sz w:val="32"/>
          <w:szCs w:val="32"/>
          <w:u w:val="none"/>
          <w:lang w:val="en-US" w:eastAsia="zh-Hans" w:bidi="ar-SA"/>
        </w:rPr>
      </w:pPr>
      <w:r>
        <w:rPr>
          <w:rFonts w:hint="eastAsia" w:ascii="仿宋_GB2312" w:hAnsi="仿宋_GB2312" w:eastAsia="仿宋_GB2312" w:cs="仿宋_GB2312"/>
          <w:color w:val="000000"/>
          <w:kern w:val="0"/>
          <w:sz w:val="32"/>
          <w:szCs w:val="32"/>
          <w:u w:val="none"/>
          <w:lang w:val="en-US" w:eastAsia="zh-Hans"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4886C84F">
      <w:pPr>
        <w:pStyle w:val="4"/>
        <w:keepNext w:val="0"/>
        <w:keepLines w:val="0"/>
        <w:pageBreakBefore w:val="0"/>
        <w:widowControl w:val="0"/>
        <w:tabs>
          <w:tab w:val="left" w:pos="9060"/>
        </w:tabs>
        <w:kinsoku/>
        <w:wordWrap w:val="0"/>
        <w:overflowPunct/>
        <w:topLinePunct/>
        <w:autoSpaceDE/>
        <w:autoSpaceDN/>
        <w:bidi w:val="0"/>
        <w:adjustRightInd w:val="0"/>
        <w:snapToGrid/>
        <w:spacing w:line="520" w:lineRule="exact"/>
        <w:ind w:left="0" w:leftChars="0" w:firstLine="640" w:firstLineChars="200"/>
        <w:textAlignment w:val="auto"/>
        <w:rPr>
          <w:rFonts w:hint="default" w:ascii="仿宋_GB2312" w:hAnsi="仿宋_GB2312" w:eastAsia="仿宋_GB2312" w:cs="仿宋_GB2312"/>
          <w:color w:val="000000"/>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Hans"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266C3807">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295CA447">
      <w:pPr>
        <w:widowControl/>
        <w:snapToGrid w:val="0"/>
        <w:spacing w:line="520" w:lineRule="exact"/>
        <w:jc w:val="left"/>
        <w:rPr>
          <w:rFonts w:ascii="Times New Roman" w:hAnsi="Times New Roman" w:eastAsia="仿宋_GB2312" w:cs="仿宋_GB2312"/>
          <w:color w:val="auto"/>
          <w:sz w:val="32"/>
          <w:szCs w:val="32"/>
        </w:rPr>
      </w:pPr>
    </w:p>
    <w:p w14:paraId="6E5B4BCC">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52209E97">
      <w:pPr>
        <w:spacing w:line="560" w:lineRule="exact"/>
        <w:ind w:right="640" w:firstLine="601"/>
        <w:jc w:val="right"/>
        <w:rPr>
          <w:rFonts w:ascii="Times New Roman" w:hAnsi="Times New Roman" w:eastAsia="仿宋_GB2312" w:cs="仿宋"/>
          <w:color w:val="auto"/>
          <w:sz w:val="32"/>
          <w:szCs w:val="32"/>
        </w:rPr>
      </w:pPr>
      <w:bookmarkStart w:id="17" w:name="DYNAMIC—DWXX—tAj_dwmc—2"/>
      <w:r>
        <w:rPr>
          <w:rFonts w:hint="eastAsia" w:ascii="Times New Roman" w:hAnsi="Times New Roman" w:eastAsia="仿宋_GB2312" w:cs="仿宋"/>
          <w:color w:val="000000"/>
          <w:sz w:val="32"/>
          <w:u w:val="none"/>
        </w:rPr>
        <w:t>融水苗族自治县市场监督管理局</w:t>
      </w:r>
      <w:bookmarkEnd w:id="17"/>
      <w:r>
        <w:rPr>
          <w:rFonts w:hint="eastAsia" w:ascii="Times New Roman" w:hAnsi="Times New Roman" w:eastAsia="仿宋_GB2312" w:cs="仿宋"/>
          <w:color w:val="000000"/>
          <w:sz w:val="32"/>
          <w:szCs w:val="32"/>
          <w:u w:val="none"/>
        </w:rPr>
        <w:t xml:space="preserve">    </w:t>
      </w:r>
    </w:p>
    <w:p w14:paraId="1EAD56EC">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8" w:name="CALCULATE—TIME—NOW"/>
      <w:r>
        <w:rPr>
          <w:rFonts w:hint="eastAsia" w:ascii="仿宋_GB2312" w:hAnsi="仿宋_GB2312" w:eastAsia="仿宋_GB2312" w:cs="仿宋_GB2312"/>
          <w:sz w:val="32"/>
          <w:lang w:val="en-US" w:eastAsia="zh-CN"/>
        </w:rPr>
        <w:t xml:space="preserve">             </w:t>
      </w:r>
      <w:r>
        <w:rPr>
          <w:rFonts w:ascii="仿宋_GB2312" w:hAnsi="仿宋_GB2312" w:eastAsia="仿宋_GB2312" w:cs="仿宋_GB2312"/>
          <w:sz w:val="32"/>
        </w:rPr>
        <w:t>2026年02月27日</w:t>
      </w:r>
      <w:bookmarkEnd w:id="18"/>
      <w:r>
        <w:rPr>
          <w:rFonts w:hint="eastAsia" w:ascii="Times New Roman" w:hAnsi="Times New Roman" w:eastAsia="仿宋_GB2312" w:cs="仿宋_GB2312"/>
          <w:color w:val="000000"/>
          <w:sz w:val="32"/>
          <w:szCs w:val="32"/>
          <w:u w:val="none"/>
        </w:rPr>
        <w:t xml:space="preserve">  </w:t>
      </w:r>
    </w:p>
    <w:p w14:paraId="00E8D0E3">
      <w:pPr>
        <w:widowControl/>
        <w:snapToGrid w:val="0"/>
        <w:spacing w:line="520" w:lineRule="exact"/>
        <w:jc w:val="right"/>
        <w:rPr>
          <w:rFonts w:ascii="Times New Roman" w:hAnsi="Times New Roman" w:eastAsia="仿宋_GB2312" w:cs="Mongolian Baiti"/>
          <w:color w:val="auto"/>
          <w:sz w:val="32"/>
          <w:szCs w:val="32"/>
        </w:rPr>
      </w:pPr>
    </w:p>
    <w:p w14:paraId="52DCD7EC">
      <w:pPr>
        <w:pStyle w:val="2"/>
        <w:rPr>
          <w:rFonts w:ascii="Times New Roman" w:hAnsi="Times New Roman" w:eastAsia="仿宋_GB2312" w:cs="Mongolian Baiti"/>
          <w:color w:val="auto"/>
          <w:sz w:val="32"/>
          <w:szCs w:val="32"/>
        </w:rPr>
      </w:pPr>
    </w:p>
    <w:p w14:paraId="0C4A6E17">
      <w:pPr>
        <w:pStyle w:val="2"/>
        <w:rPr>
          <w:rFonts w:ascii="Times New Roman" w:hAnsi="Times New Roman" w:eastAsia="仿宋_GB2312" w:cs="Mongolian Baiti"/>
          <w:color w:val="auto"/>
          <w:sz w:val="32"/>
          <w:szCs w:val="32"/>
        </w:rPr>
      </w:pPr>
    </w:p>
    <w:p w14:paraId="7C788DC3">
      <w:pPr>
        <w:pStyle w:val="2"/>
        <w:rPr>
          <w:rFonts w:ascii="Times New Roman" w:hAnsi="Times New Roman" w:eastAsia="仿宋_GB2312" w:cs="Mongolian Baiti"/>
          <w:color w:val="auto"/>
          <w:sz w:val="32"/>
          <w:szCs w:val="32"/>
        </w:rPr>
      </w:pPr>
    </w:p>
    <w:p w14:paraId="425A5FBA">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35FA31B">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783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5A99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F5A990">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2688C"/>
    <w:rsid w:val="07DA78EE"/>
    <w:rsid w:val="08365B64"/>
    <w:rsid w:val="087864F3"/>
    <w:rsid w:val="090B4D3A"/>
    <w:rsid w:val="09290BEC"/>
    <w:rsid w:val="09AA7B69"/>
    <w:rsid w:val="0A2F38BD"/>
    <w:rsid w:val="0A3665F0"/>
    <w:rsid w:val="0B22091D"/>
    <w:rsid w:val="0CF71776"/>
    <w:rsid w:val="0D242541"/>
    <w:rsid w:val="0EA66002"/>
    <w:rsid w:val="0FB748D6"/>
    <w:rsid w:val="103E22C5"/>
    <w:rsid w:val="11524677"/>
    <w:rsid w:val="115320F9"/>
    <w:rsid w:val="119E3BCA"/>
    <w:rsid w:val="1350279A"/>
    <w:rsid w:val="13D77FDE"/>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356BF4"/>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4817280"/>
    <w:rsid w:val="55FE5622"/>
    <w:rsid w:val="57503162"/>
    <w:rsid w:val="58A4140A"/>
    <w:rsid w:val="591F0542"/>
    <w:rsid w:val="59A10938"/>
    <w:rsid w:val="5ABF4DA6"/>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7BB550A"/>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439</Characters>
  <Lines>0</Lines>
  <Paragraphs>0</Paragraphs>
  <TotalTime>1</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2026-03-16T09:58:07Z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