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E8" w:rsidRDefault="004E539E">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8E29E8" w:rsidRDefault="004E539E">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000000"/>
          <w:sz w:val="44"/>
          <w:szCs w:val="44"/>
          <w:lang w:val="en-US"/>
        </w:rPr>
        <w:t>行政处罚</w:t>
      </w:r>
      <w:r>
        <w:rPr>
          <w:rFonts w:eastAsia="方正小标宋简体" w:hAnsi="方正小标宋简体" w:cs="方正小标宋简体" w:hint="eastAsia"/>
          <w:color w:val="000000"/>
          <w:sz w:val="44"/>
          <w:szCs w:val="44"/>
          <w:lang w:val="en-US" w:eastAsia="zh-Hans"/>
        </w:rPr>
        <w:t>决定</w:t>
      </w:r>
      <w:r>
        <w:rPr>
          <w:rFonts w:eastAsia="方正小标宋简体" w:hAnsi="方正小标宋简体" w:cs="方正小标宋简体" w:hint="eastAsia"/>
          <w:color w:val="000000"/>
          <w:sz w:val="44"/>
          <w:szCs w:val="44"/>
          <w:lang w:val="en-US"/>
        </w:rPr>
        <w:t>书</w:t>
      </w:r>
      <w:bookmarkEnd w:id="1"/>
    </w:p>
    <w:p w:rsidR="008E29E8" w:rsidRDefault="004E539E">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353</w:t>
      </w:r>
      <w:r>
        <w:rPr>
          <w:rFonts w:ascii="Times New Roman" w:eastAsia="仿宋_GB2312" w:hAnsi="Times New Roman" w:cs="Mongolian Baiti" w:hint="eastAsia"/>
          <w:color w:val="000000"/>
          <w:sz w:val="32"/>
        </w:rPr>
        <w:t>号</w:t>
      </w:r>
      <w:bookmarkEnd w:id="2"/>
    </w:p>
    <w:p w:rsidR="008E29E8" w:rsidRDefault="004E539E">
      <w:pPr>
        <w:spacing w:beforeLines="100" w:before="312" w:line="560" w:lineRule="exact"/>
        <w:ind w:left="142" w:hanging="142"/>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当事人：</w:t>
      </w:r>
      <w:bookmarkStart w:id="3" w:name="CALCULATE—DSR—tAjDsrs_cMc"/>
      <w:r>
        <w:rPr>
          <w:rFonts w:ascii="仿宋_GB2312" w:eastAsia="仿宋_GB2312" w:hAnsi="仿宋_GB2312" w:cs="仿宋_GB2312" w:hint="eastAsia"/>
          <w:color w:val="000000"/>
          <w:sz w:val="32"/>
        </w:rPr>
        <w:t>融水县怀宝镇河村村韦桂佳商店</w:t>
      </w:r>
      <w:bookmarkEnd w:id="3"/>
    </w:p>
    <w:p w:rsidR="008E29E8" w:rsidRDefault="004E539E">
      <w:pPr>
        <w:spacing w:line="56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主体资格证照名称：</w:t>
      </w:r>
      <w:bookmarkStart w:id="4" w:name="CALCULATE—DSR—tAjDsrs_cZtzgzzmc"/>
      <w:r>
        <w:rPr>
          <w:rFonts w:ascii="仿宋_GB2312" w:eastAsia="仿宋_GB2312" w:hAnsi="仿宋_GB2312" w:cs="仿宋_GB2312" w:hint="eastAsia"/>
          <w:color w:val="000000"/>
          <w:sz w:val="32"/>
        </w:rPr>
        <w:t>营业执照</w:t>
      </w:r>
      <w:bookmarkEnd w:id="4"/>
    </w:p>
    <w:p w:rsidR="008E29E8" w:rsidRDefault="004E539E">
      <w:pPr>
        <w:spacing w:line="56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统一社会信用代码：</w:t>
      </w:r>
      <w:bookmarkStart w:id="5" w:name="CALCULATE—DSR—tAjDsrs_cTzshxydm"/>
      <w:r>
        <w:rPr>
          <w:rFonts w:ascii="仿宋_GB2312" w:eastAsia="仿宋_GB2312" w:hAnsi="仿宋_GB2312" w:cs="仿宋_GB2312" w:hint="eastAsia"/>
          <w:color w:val="000000"/>
          <w:sz w:val="32"/>
        </w:rPr>
        <w:t>92450225MA5LDFHH4N</w:t>
      </w:r>
      <w:bookmarkEnd w:id="5"/>
      <w:r>
        <w:rPr>
          <w:rFonts w:ascii="仿宋_GB2312" w:eastAsia="仿宋_GB2312" w:hAnsi="仿宋_GB2312" w:cs="仿宋_GB2312" w:hint="eastAsia"/>
          <w:bCs/>
          <w:color w:val="000000"/>
          <w:kern w:val="1"/>
          <w:sz w:val="32"/>
          <w:szCs w:val="32"/>
        </w:rPr>
        <w:t xml:space="preserve"> </w:t>
      </w:r>
    </w:p>
    <w:p w:rsidR="008E29E8" w:rsidRDefault="004E539E">
      <w:pPr>
        <w:spacing w:line="56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住所（住址）：</w:t>
      </w:r>
      <w:bookmarkStart w:id="6" w:name="CALCULATE—DSR—tAjDsrs_cLxdzSheng"/>
      <w:r>
        <w:rPr>
          <w:rFonts w:ascii="仿宋_GB2312" w:eastAsia="仿宋_GB2312" w:hAnsi="仿宋_GB2312" w:cs="仿宋_GB2312" w:hint="eastAsia"/>
          <w:color w:val="000000"/>
          <w:sz w:val="32"/>
        </w:rPr>
        <w:t>广西壮族自治区柳州市融水苗族自治县广西柳州市融水县怀宝镇</w:t>
      </w:r>
      <w:bookmarkEnd w:id="6"/>
      <w:r w:rsidR="00CA6C82">
        <w:rPr>
          <w:rFonts w:ascii="仿宋_GB2312" w:eastAsia="仿宋_GB2312" w:hAnsi="仿宋_GB2312" w:cs="仿宋_GB2312" w:hint="eastAsia"/>
          <w:color w:val="000000"/>
          <w:sz w:val="32"/>
        </w:rPr>
        <w:t>******</w:t>
      </w:r>
    </w:p>
    <w:p w:rsidR="008E29E8" w:rsidRDefault="004E539E">
      <w:pPr>
        <w:spacing w:line="560" w:lineRule="exact"/>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经营者</w:t>
      </w:r>
      <w:r>
        <w:rPr>
          <w:rFonts w:ascii="仿宋_GB2312" w:eastAsia="仿宋_GB2312" w:hAnsi="仿宋_GB2312" w:cs="仿宋_GB2312" w:hint="eastAsia"/>
          <w:bCs/>
          <w:color w:val="000000"/>
          <w:kern w:val="1"/>
          <w:sz w:val="32"/>
          <w:szCs w:val="32"/>
        </w:rPr>
        <w:t>：</w:t>
      </w:r>
      <w:bookmarkStart w:id="7" w:name="CALCULATE—DSR—tAjDsrs_cFddbr"/>
      <w:r>
        <w:rPr>
          <w:rFonts w:ascii="仿宋_GB2312" w:eastAsia="仿宋_GB2312" w:hAnsi="仿宋_GB2312" w:cs="仿宋_GB2312" w:hint="eastAsia"/>
          <w:color w:val="000000"/>
          <w:sz w:val="32"/>
        </w:rPr>
        <w:t>韦桂佳</w:t>
      </w:r>
      <w:bookmarkEnd w:id="7"/>
    </w:p>
    <w:p w:rsidR="008E29E8" w:rsidRDefault="004E539E">
      <w:pPr>
        <w:spacing w:line="560" w:lineRule="exact"/>
        <w:ind w:left="140" w:hanging="140"/>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身份证件号码：</w:t>
      </w:r>
      <w:bookmarkStart w:id="8" w:name="CALCULATE—DSR—tAjDsrs_cZjhm"/>
      <w:r>
        <w:rPr>
          <w:rFonts w:ascii="仿宋_GB2312" w:eastAsia="仿宋_GB2312" w:hAnsi="仿宋_GB2312" w:cs="仿宋_GB2312" w:hint="eastAsia"/>
          <w:color w:val="000000"/>
          <w:sz w:val="32"/>
        </w:rPr>
        <w:t>452229196508</w:t>
      </w:r>
      <w:bookmarkEnd w:id="8"/>
      <w:r w:rsidR="00CA6C82">
        <w:rPr>
          <w:rFonts w:ascii="仿宋_GB2312" w:eastAsia="仿宋_GB2312" w:hAnsi="仿宋_GB2312" w:cs="仿宋_GB2312" w:hint="eastAsia"/>
          <w:color w:val="000000"/>
          <w:sz w:val="32"/>
        </w:rPr>
        <w:t>******</w:t>
      </w:r>
      <w:r>
        <w:rPr>
          <w:rFonts w:ascii="仿宋_GB2312" w:eastAsia="仿宋_GB2312" w:hAnsi="仿宋_GB2312" w:cs="仿宋_GB2312" w:hint="eastAsia"/>
          <w:bCs/>
          <w:color w:val="000000"/>
          <w:kern w:val="1"/>
          <w:sz w:val="32"/>
          <w:szCs w:val="32"/>
        </w:rPr>
        <w:t xml:space="preserve"> </w:t>
      </w:r>
    </w:p>
    <w:p w:rsidR="008E29E8" w:rsidRDefault="004E539E">
      <w:pPr>
        <w:pStyle w:val="a4"/>
        <w:tabs>
          <w:tab w:val="left" w:pos="9060"/>
        </w:tabs>
        <w:spacing w:line="560" w:lineRule="exact"/>
        <w:ind w:firstLineChars="200" w:firstLine="640"/>
        <w:rPr>
          <w:rFonts w:ascii="仿宋_GB2312" w:eastAsia="仿宋_GB2312" w:hAnsi="仿宋_GB2312" w:cs="仿宋_GB2312"/>
          <w:bCs/>
        </w:rPr>
      </w:pPr>
      <w:bookmarkStart w:id="9" w:name="CALCULATE—AYHC—tAjHc_cHcqkjlaay"/>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日，本局执法人员到位于融水县怀宝镇</w:t>
      </w:r>
      <w:r w:rsidR="00CA6C82">
        <w:rPr>
          <w:rFonts w:ascii="仿宋_GB2312" w:eastAsia="仿宋_GB2312" w:hAnsi="仿宋_GB2312" w:cs="仿宋_GB2312" w:hint="eastAsia"/>
          <w:color w:val="000000"/>
        </w:rPr>
        <w:t>******</w:t>
      </w:r>
      <w:r>
        <w:rPr>
          <w:rFonts w:ascii="仿宋_GB2312" w:eastAsia="仿宋_GB2312" w:hAnsi="仿宋_GB2312" w:cs="仿宋_GB2312" w:hint="eastAsia"/>
          <w:color w:val="000000"/>
        </w:rPr>
        <w:t>的融水县怀宝镇河村村韦桂佳商店开展执法检查，该店正开门对外营业，持有有效营业执照，经营者韦桂佳现场陪同执法人员开展检查。执法人员在该店经营场所销售货架上检查发现有“小叮当</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儿童草莓牙膏”、“海飞丝</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去屑洗发露”等共</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品种的化妆品超过限期使用期限，当事人现场未能提供检查发现上述超过限期使用日期化妆品的购进票据和供货者经营资质材料、检验合格报告等材料。经报请本局领导审批同意，执法人员现场对检查发现的超过使用期限化妆品采取扣押的行政强制措施，向当事人下</w:t>
      </w:r>
      <w:r>
        <w:rPr>
          <w:rFonts w:ascii="仿宋_GB2312" w:eastAsia="仿宋_GB2312" w:hAnsi="仿宋_GB2312" w:cs="仿宋_GB2312" w:hint="eastAsia"/>
          <w:color w:val="000000"/>
        </w:rPr>
        <w:t>达《实施行政强制措施决定书》（融水市监强制〔</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354</w:t>
      </w:r>
      <w:r>
        <w:rPr>
          <w:rFonts w:ascii="仿宋_GB2312" w:eastAsia="仿宋_GB2312" w:hAnsi="仿宋_GB2312" w:cs="仿宋_GB2312" w:hint="eastAsia"/>
          <w:color w:val="000000"/>
        </w:rPr>
        <w:t>号）和《财物清单》各一份，检查情况制作有《现场笔录》，韦桂佳在相关文书上签字确认检查情况。</w:t>
      </w:r>
      <w:bookmarkEnd w:id="9"/>
      <w:r>
        <w:rPr>
          <w:rFonts w:ascii="仿宋_GB2312" w:eastAsia="仿宋_GB2312" w:hAnsi="仿宋_GB2312" w:cs="仿宋_GB2312" w:hint="eastAsia"/>
          <w:color w:val="000000"/>
        </w:rPr>
        <w:t>经本局领导审批同意对当事人立案调查。</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日，当事人到本局怀宝市场</w:t>
      </w:r>
      <w:r>
        <w:rPr>
          <w:rFonts w:ascii="仿宋_GB2312" w:eastAsia="仿宋_GB2312" w:hAnsi="仿宋_GB2312" w:cs="仿宋_GB2312" w:hint="eastAsia"/>
          <w:color w:val="000000"/>
        </w:rPr>
        <w:lastRenderedPageBreak/>
        <w:t>监管所接受询问调查，提供了相关证据材料。</w:t>
      </w:r>
    </w:p>
    <w:p w:rsidR="008E29E8" w:rsidRDefault="004E539E">
      <w:pPr>
        <w:pStyle w:val="a4"/>
        <w:tabs>
          <w:tab w:val="left" w:pos="8240"/>
        </w:tabs>
        <w:spacing w:line="560" w:lineRule="exact"/>
        <w:ind w:firstLineChars="200" w:firstLine="640"/>
        <w:rPr>
          <w:rFonts w:ascii="仿宋_GB2312" w:eastAsia="仿宋_GB2312" w:hAnsi="仿宋_GB2312" w:cs="仿宋_GB2312"/>
          <w:bCs/>
          <w:kern w:val="1"/>
        </w:rPr>
      </w:pPr>
      <w:bookmarkStart w:id="10" w:name="CALCULATE—AJCF—tAjCfes_cAjss"/>
      <w:r>
        <w:rPr>
          <w:rFonts w:ascii="仿宋_GB2312" w:eastAsia="仿宋_GB2312" w:hAnsi="仿宋_GB2312" w:cs="仿宋_GB2312" w:hint="eastAsia"/>
          <w:color w:val="000000"/>
        </w:rPr>
        <w:t>经查，当事人于</w:t>
      </w:r>
      <w:r>
        <w:rPr>
          <w:rFonts w:ascii="仿宋_GB2312" w:eastAsia="仿宋_GB2312" w:hAnsi="仿宋_GB2312" w:cs="仿宋_GB2312" w:hint="eastAsia"/>
          <w:color w:val="000000"/>
        </w:rPr>
        <w:t>2010</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日取得《营业执照》在融水县怀宝镇</w:t>
      </w:r>
      <w:r w:rsidR="00CA6C82">
        <w:rPr>
          <w:rFonts w:ascii="仿宋_GB2312" w:eastAsia="仿宋_GB2312" w:hAnsi="仿宋_GB2312" w:cs="仿宋_GB2312" w:hint="eastAsia"/>
          <w:color w:val="000000"/>
        </w:rPr>
        <w:t>******</w:t>
      </w:r>
      <w:r>
        <w:rPr>
          <w:rFonts w:ascii="仿宋_GB2312" w:eastAsia="仿宋_GB2312" w:hAnsi="仿宋_GB2312" w:cs="仿宋_GB2312" w:hint="eastAsia"/>
          <w:color w:val="000000"/>
        </w:rPr>
        <w:t>从事经营活动。</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日，本局执法人员到当事人经营场所开展监督检查，在当事人化妆品销售货架上</w:t>
      </w:r>
      <w:r>
        <w:rPr>
          <w:rFonts w:ascii="仿宋_GB2312" w:eastAsia="仿宋_GB2312" w:hAnsi="仿宋_GB2312" w:cs="仿宋_GB2312" w:hint="eastAsia"/>
          <w:color w:val="000000"/>
        </w:rPr>
        <w:t>查获</w:t>
      </w:r>
      <w:r>
        <w:rPr>
          <w:rFonts w:ascii="仿宋_GB2312" w:eastAsia="仿宋_GB2312" w:hAnsi="仿宋_GB2312" w:cs="仿宋_GB2312" w:hint="eastAsia"/>
          <w:color w:val="000000"/>
        </w:rPr>
        <w:t>“小叮当</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儿童草莓牙膏”、“海飞丝</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去屑洗发露”等共</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个品种的化妆</w:t>
      </w:r>
      <w:r>
        <w:rPr>
          <w:rFonts w:ascii="仿宋_GB2312" w:eastAsia="仿宋_GB2312" w:hAnsi="仿宋_GB2312" w:cs="仿宋_GB2312" w:hint="eastAsia"/>
          <w:color w:val="000000"/>
        </w:rPr>
        <w:t>品超过限期使用期限。经核实，当事人所经营的超过使用期限化妆品是从融水县融水镇的批发部购进，未索要和保留供货者的资质材料、购进票据及化妆品的检验合格报告，没有对销售的化妆品进行销售登记，无法核实当事人在上述化妆品超过使用期限后的销售情况，以本局现场查获化妆品的销售货值</w:t>
      </w:r>
      <w:r>
        <w:rPr>
          <w:rFonts w:ascii="仿宋_GB2312" w:eastAsia="仿宋_GB2312" w:hAnsi="仿宋_GB2312" w:cs="仿宋_GB2312" w:hint="eastAsia"/>
          <w:color w:val="000000"/>
        </w:rPr>
        <w:t>172.4</w:t>
      </w:r>
      <w:r>
        <w:rPr>
          <w:rFonts w:ascii="仿宋_GB2312" w:eastAsia="仿宋_GB2312" w:hAnsi="仿宋_GB2312" w:cs="仿宋_GB2312" w:hint="eastAsia"/>
          <w:color w:val="000000"/>
        </w:rPr>
        <w:t>元计算为该案涉案货值金额，违法所得无法计算，该案无违法所得。</w:t>
      </w:r>
      <w:bookmarkEnd w:id="10"/>
      <w:r>
        <w:rPr>
          <w:rFonts w:ascii="仿宋_GB2312" w:eastAsia="仿宋_GB2312" w:hAnsi="仿宋_GB2312" w:cs="仿宋_GB2312" w:hint="eastAsia"/>
          <w:bCs/>
          <w:color w:val="000000"/>
          <w:kern w:val="1"/>
        </w:rPr>
        <w:t xml:space="preserve"> </w:t>
      </w:r>
    </w:p>
    <w:p w:rsidR="008E29E8" w:rsidRDefault="004E539E">
      <w:pPr>
        <w:pStyle w:val="a4"/>
        <w:tabs>
          <w:tab w:val="left" w:pos="8285"/>
        </w:tabs>
        <w:spacing w:line="560" w:lineRule="exact"/>
        <w:ind w:firstLineChars="200" w:firstLine="640"/>
        <w:rPr>
          <w:rFonts w:ascii="仿宋_GB2312" w:eastAsia="仿宋_GB2312" w:hAnsi="仿宋_GB2312" w:cs="仿宋_GB2312"/>
          <w:bCs/>
        </w:rPr>
      </w:pPr>
      <w:r>
        <w:rPr>
          <w:rFonts w:ascii="仿宋_GB2312" w:eastAsia="仿宋_GB2312" w:hAnsi="仿宋_GB2312" w:cs="仿宋_GB2312" w:hint="eastAsia"/>
          <w:bCs/>
          <w:color w:val="000000"/>
          <w:kern w:val="1"/>
        </w:rPr>
        <w:t>上述事实，主要有以下证据证明：</w:t>
      </w:r>
    </w:p>
    <w:p w:rsidR="008E29E8" w:rsidRDefault="004E539E">
      <w:pPr>
        <w:pStyle w:val="a4"/>
        <w:tabs>
          <w:tab w:val="left" w:pos="9060"/>
        </w:tabs>
        <w:spacing w:line="560" w:lineRule="exact"/>
        <w:rPr>
          <w:rFonts w:ascii="仿宋_GB2312" w:eastAsia="仿宋_GB2312" w:hAnsi="仿宋_GB2312" w:cs="仿宋_GB2312"/>
          <w:bCs/>
        </w:rPr>
      </w:pPr>
      <w:bookmarkStart w:id="11" w:name="CALCULATE—ZJCL—tajCltjes_zjclxx"/>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现场笔录，证明执法人员依法开展执法检查情况及当事人的违法事实；</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询问笔录，证明当事人的违法事实及涉案货值金额；</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行政检查审批表及通知书，证明执法人员依法对当事人开展执法检查；</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授权委托书及被委托人居民身份证复印件，证明被委托人个人身份信息及被委托事项；</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送达地址确认书，证明当事人确认文书送达地址；</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证据提取单（当事人营业执照、经营者居民身份证），证明当事人的经营主体资质及经营者的合法身份信息；</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证据提取单（现场检查图片），证明执法人员在当事</w:t>
      </w:r>
      <w:r>
        <w:rPr>
          <w:rFonts w:ascii="仿宋_GB2312" w:eastAsia="仿宋_GB2312" w:hAnsi="仿宋_GB2312" w:cs="仿宋_GB2312" w:hint="eastAsia"/>
          <w:color w:val="000000"/>
        </w:rPr>
        <w:lastRenderedPageBreak/>
        <w:t>人经营场所检查发现过期化妆品，当事人经营者现场指认扣押物品；</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证据提取单（超过限期使用日期化妆品外包装图片），证明执法人员检查发现的</w:t>
      </w:r>
      <w:r>
        <w:rPr>
          <w:rFonts w:ascii="仿宋_GB2312" w:eastAsia="仿宋_GB2312" w:hAnsi="仿宋_GB2312" w:cs="仿宋_GB2312" w:hint="eastAsia"/>
          <w:color w:val="000000"/>
        </w:rPr>
        <w:t>化妆品超过限期使用日期。</w:t>
      </w:r>
      <w:bookmarkEnd w:id="11"/>
      <w:r>
        <w:rPr>
          <w:rFonts w:ascii="仿宋_GB2312" w:eastAsia="仿宋_GB2312" w:hAnsi="仿宋_GB2312" w:cs="仿宋_GB2312" w:hint="eastAsia"/>
          <w:bCs/>
          <w:color w:val="000000"/>
        </w:rPr>
        <w:t xml:space="preserve"> </w:t>
      </w:r>
    </w:p>
    <w:p w:rsidR="008E29E8" w:rsidRDefault="004E539E">
      <w:pPr>
        <w:pStyle w:val="a4"/>
        <w:tabs>
          <w:tab w:val="left" w:pos="9060"/>
        </w:tabs>
        <w:spacing w:line="560" w:lineRule="exact"/>
        <w:rPr>
          <w:rFonts w:ascii="仿宋_GB2312" w:eastAsia="仿宋_GB2312" w:hAnsi="仿宋_GB2312" w:cs="仿宋_GB2312"/>
          <w:bCs/>
        </w:rPr>
      </w:pPr>
      <w:r>
        <w:rPr>
          <w:rFonts w:ascii="仿宋_GB2312" w:eastAsia="仿宋_GB2312" w:hAnsi="仿宋_GB2312" w:cs="仿宋_GB2312" w:hint="eastAsia"/>
          <w:bCs/>
          <w:color w:val="000000"/>
        </w:rPr>
        <w:t xml:space="preserve">    </w:t>
      </w:r>
      <w:bookmarkStart w:id="12" w:name="CALCULATE—XZCFJDS—cCfgzwsSdrq"/>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18</w:t>
      </w:r>
      <w:r>
        <w:rPr>
          <w:rFonts w:ascii="仿宋_GB2312" w:eastAsia="仿宋_GB2312" w:hAnsi="仿宋_GB2312" w:cs="仿宋_GB2312" w:hint="eastAsia"/>
          <w:color w:val="000000"/>
        </w:rPr>
        <w:t>日</w:t>
      </w:r>
      <w:bookmarkEnd w:id="12"/>
      <w:r>
        <w:rPr>
          <w:rFonts w:ascii="仿宋_GB2312" w:eastAsia="仿宋_GB2312" w:hAnsi="仿宋_GB2312" w:cs="仿宋_GB2312" w:hint="eastAsia"/>
          <w:bCs/>
          <w:color w:val="000000"/>
        </w:rPr>
        <w:t>，本局向当事人送达了本案《行政处罚告知书》</w:t>
      </w:r>
      <w:r>
        <w:rPr>
          <w:rFonts w:ascii="仿宋_GB2312" w:eastAsia="仿宋_GB2312" w:hAnsi="仿宋_GB2312" w:cs="仿宋_GB2312" w:hint="eastAsia"/>
          <w:bCs/>
          <w:color w:val="000000"/>
        </w:rPr>
        <w:t>(</w:t>
      </w:r>
      <w:bookmarkStart w:id="13" w:name="CALCULATE—XZCFJDS—cCfgzSdwswh"/>
      <w:r>
        <w:rPr>
          <w:rFonts w:ascii="仿宋_GB2312" w:eastAsia="仿宋_GB2312" w:hAnsi="仿宋_GB2312" w:cs="仿宋_GB2312" w:hint="eastAsia"/>
          <w:color w:val="000000"/>
        </w:rPr>
        <w:t>融水市监罚告〔</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356</w:t>
      </w:r>
      <w:r>
        <w:rPr>
          <w:rFonts w:ascii="仿宋_GB2312" w:eastAsia="仿宋_GB2312" w:hAnsi="仿宋_GB2312" w:cs="仿宋_GB2312" w:hint="eastAsia"/>
          <w:color w:val="000000"/>
        </w:rPr>
        <w:t>号</w:t>
      </w:r>
      <w:bookmarkEnd w:id="13"/>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w:t>
      </w:r>
      <w:bookmarkStart w:id="14" w:name="CALCULATE—XZCFJDS—nTccssb"/>
      <w:r>
        <w:rPr>
          <w:rFonts w:ascii="仿宋_GB2312" w:eastAsia="仿宋_GB2312" w:hAnsi="仿宋_GB2312" w:cs="仿宋_GB2312" w:hint="eastAsia"/>
          <w:color w:val="000000"/>
        </w:rPr>
        <w:t>当事人在法定期限内未提出任何陈述或申辩</w:t>
      </w:r>
      <w:bookmarkEnd w:id="14"/>
      <w:r>
        <w:rPr>
          <w:rFonts w:ascii="仿宋_GB2312" w:eastAsia="仿宋_GB2312" w:hAnsi="仿宋_GB2312" w:cs="仿宋_GB2312" w:hint="eastAsia"/>
          <w:color w:val="000000"/>
        </w:rPr>
        <w:t>，视为放弃次权利。</w:t>
      </w:r>
    </w:p>
    <w:p w:rsidR="008E29E8" w:rsidRDefault="004E539E">
      <w:pPr>
        <w:pStyle w:val="a4"/>
        <w:spacing w:line="560" w:lineRule="exact"/>
        <w:ind w:firstLineChars="196" w:firstLine="627"/>
        <w:rPr>
          <w:rFonts w:ascii="仿宋_GB2312" w:eastAsia="仿宋_GB2312" w:hAnsi="仿宋_GB2312" w:cs="仿宋_GB2312"/>
        </w:rPr>
      </w:pPr>
      <w:r>
        <w:rPr>
          <w:rFonts w:ascii="仿宋_GB2312" w:eastAsia="仿宋_GB2312" w:hAnsi="仿宋_GB2312" w:cs="仿宋_GB2312" w:hint="eastAsia"/>
          <w:color w:val="000000"/>
          <w:kern w:val="1"/>
        </w:rPr>
        <w:t>本局认为，</w:t>
      </w:r>
      <w:r>
        <w:rPr>
          <w:rFonts w:ascii="仿宋_GB2312" w:eastAsia="仿宋_GB2312" w:hAnsi="仿宋_GB2312" w:cs="仿宋_GB2312" w:hint="eastAsia"/>
          <w:color w:val="000000"/>
        </w:rPr>
        <w:t>当事人</w:t>
      </w:r>
      <w:r>
        <w:rPr>
          <w:rFonts w:ascii="仿宋_GB2312" w:eastAsia="仿宋_GB2312" w:hAnsi="仿宋_GB2312" w:cs="仿宋_GB2312" w:hint="eastAsia"/>
          <w:color w:val="000000"/>
        </w:rPr>
        <w:t>未履行进货查验义务</w:t>
      </w:r>
      <w:r>
        <w:rPr>
          <w:rFonts w:ascii="仿宋_GB2312" w:eastAsia="仿宋_GB2312" w:hAnsi="仿宋_GB2312" w:cs="仿宋_GB2312" w:hint="eastAsia"/>
          <w:color w:val="000000"/>
        </w:rPr>
        <w:t>的行为</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违反了《化妆品监督管理条例》第三十八条第一款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ascii="仿宋_GB2312" w:eastAsia="仿宋_GB2312" w:hAnsi="仿宋_GB2312" w:cs="仿宋_GB2312" w:hint="eastAsia"/>
          <w:color w:val="000000"/>
        </w:rPr>
        <w:t>”的规定；当事人未</w:t>
      </w:r>
      <w:r>
        <w:rPr>
          <w:rFonts w:ascii="仿宋_GB2312" w:eastAsia="仿宋_GB2312" w:hAnsi="仿宋_GB2312" w:cs="仿宋_GB2312" w:hint="eastAsia"/>
          <w:color w:val="000000"/>
        </w:rPr>
        <w:t>定期检查并及时处理超过使用期限的化妆品</w:t>
      </w:r>
      <w:r>
        <w:rPr>
          <w:rFonts w:ascii="仿宋_GB2312" w:eastAsia="仿宋_GB2312" w:hAnsi="仿宋_GB2312" w:cs="仿宋_GB2312" w:hint="eastAsia"/>
          <w:color w:val="000000"/>
        </w:rPr>
        <w:t>的行为，违反了</w:t>
      </w:r>
      <w:r>
        <w:rPr>
          <w:rFonts w:ascii="仿宋_GB2312" w:eastAsia="仿宋_GB2312" w:hAnsi="仿宋_GB2312" w:cs="仿宋_GB2312" w:hint="eastAsia"/>
          <w:color w:val="000000"/>
        </w:rPr>
        <w:t>《化妆品监督管理条例》第三十九条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化妆品生产经营者应当依照有关法律、法规的规定和化妆品标签标示的要求贮存、运输化妆品，定期检查并及时处理变质或者超过使用期限的化妆品</w:t>
      </w:r>
      <w:r>
        <w:rPr>
          <w:rFonts w:ascii="仿宋_GB2312" w:eastAsia="仿宋_GB2312" w:hAnsi="仿宋_GB2312" w:cs="仿宋_GB2312" w:hint="eastAsia"/>
          <w:color w:val="000000"/>
        </w:rPr>
        <w:t>”的规定</w:t>
      </w:r>
      <w:r>
        <w:rPr>
          <w:rFonts w:ascii="仿宋_GB2312" w:eastAsia="仿宋_GB2312" w:hAnsi="仿宋_GB2312" w:cs="仿宋_GB2312" w:hint="eastAsia"/>
          <w:color w:val="000000"/>
        </w:rPr>
        <w:t>。</w:t>
      </w:r>
    </w:p>
    <w:p w:rsidR="008E29E8" w:rsidRDefault="004E53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鉴于当事人经营地址位于融水县边远山区，经营场所较小，在案发后积极配合，如实交代违法事实并主动提供证据材料，涉案品种及货值较少，过期化妆品属于日用化妆品，违法行为尚未产生危害后果，符合《市场监管总局关于规范市场监督管理行政处罚裁量权的指导意见（</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）》第十四条第（二）、（三）项“有</w:t>
      </w:r>
      <w:r>
        <w:rPr>
          <w:rFonts w:ascii="仿宋_GB2312" w:eastAsia="仿宋_GB2312" w:hAnsi="仿宋_GB2312" w:cs="仿宋_GB2312" w:hint="eastAsia"/>
          <w:color w:val="000000"/>
          <w:sz w:val="32"/>
          <w:szCs w:val="32"/>
        </w:rPr>
        <w:t>下列情形之一的，可以依法从轻</w:t>
      </w:r>
      <w:r>
        <w:rPr>
          <w:rFonts w:ascii="仿宋_GB2312" w:eastAsia="仿宋_GB2312" w:hAnsi="仿宋_GB2312" w:cs="仿宋_GB2312" w:hint="eastAsia"/>
          <w:color w:val="000000"/>
          <w:sz w:val="32"/>
          <w:szCs w:val="32"/>
        </w:rPr>
        <w:lastRenderedPageBreak/>
        <w:t>或者减轻行政处罚：（二）积极配合市场监管部门调查并主动提供证据材料的；（三）违法行为轻微，社会危害性较小的”、《药品监督管理行政处罚裁量适用规则（国药监法〔</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号）》第十一条第（二）、（四）项“当事人有下列情形之一的，可以从轻或者减轻行政处罚：（二）积极配合药品监督管理部门调查并主动提供证据材料的；（四）违法行为情节轻微，社会危害后果较小的”的规定，当事人的违法行为符合减轻处罚情形。</w:t>
      </w:r>
      <w:bookmarkStart w:id="15" w:name="CALCULATE—AJCF—tAjCfes_cXzcfnr"/>
      <w:r>
        <w:rPr>
          <w:rFonts w:ascii="仿宋_GB2312" w:eastAsia="仿宋_GB2312" w:hAnsi="仿宋_GB2312" w:cs="仿宋_GB2312" w:hint="eastAsia"/>
          <w:color w:val="000000"/>
          <w:sz w:val="32"/>
          <w:szCs w:val="32"/>
        </w:rPr>
        <w:t>依据</w:t>
      </w:r>
      <w:r>
        <w:rPr>
          <w:rFonts w:ascii="仿宋_GB2312" w:eastAsia="仿宋_GB2312" w:hAnsi="仿宋_GB2312" w:cs="仿宋_GB2312" w:hint="eastAsia"/>
          <w:color w:val="000000"/>
          <w:sz w:val="32"/>
          <w:szCs w:val="32"/>
        </w:rPr>
        <w:t>《化妆品监督管理条例》第六十条第五项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有下列情形之一的，由负责药品监督管理的部门没收</w:t>
      </w:r>
      <w:r>
        <w:rPr>
          <w:rFonts w:ascii="仿宋_GB2312" w:eastAsia="仿宋_GB2312" w:hAnsi="仿宋_GB2312" w:cs="仿宋_GB2312" w:hint="eastAsia"/>
          <w:color w:val="000000"/>
          <w:sz w:val="32"/>
          <w:szCs w:val="32"/>
        </w:rPr>
        <w:t>违法所得、违法生产经营的化妆品和专门用于违法生产经营的原料、包装材料、工具、设备等物品；违法生产经营的化妆品货值金额不足</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万元的，并处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万元以上</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万元以下罚款；（五）化妆品经营者擅自配制化妆品，或者经营变质、超过使用期限的化妆品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《化妆品监督管理条例》第六十二条第一款第二项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有下列情形之一的，由负责药品监督管理的部门责令改正，给予警告，并处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万元以上</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万元以下罚款；（二）未依照本条例规定建立并执行进货查验记录制度、产品销售记录制度</w:t>
      </w:r>
      <w:r>
        <w:rPr>
          <w:rFonts w:ascii="仿宋_GB2312" w:eastAsia="仿宋_GB2312" w:hAnsi="仿宋_GB2312" w:cs="仿宋_GB2312" w:hint="eastAsia"/>
          <w:color w:val="000000"/>
          <w:sz w:val="32"/>
          <w:szCs w:val="32"/>
        </w:rPr>
        <w:t>”的规定，参照</w:t>
      </w:r>
      <w:r>
        <w:rPr>
          <w:rFonts w:ascii="仿宋_GB2312" w:eastAsia="仿宋_GB2312" w:hAnsi="仿宋_GB2312" w:cs="仿宋_GB2312" w:hint="eastAsia"/>
          <w:color w:val="000000"/>
          <w:sz w:val="32"/>
          <w:szCs w:val="32"/>
        </w:rPr>
        <w:t>《药品监督管理行政处罚裁量适用规则（国药监法〔</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color w:val="000000"/>
          <w:sz w:val="32"/>
          <w:szCs w:val="32"/>
        </w:rPr>
        <w:t>）》第三十九条</w:t>
      </w:r>
      <w:r>
        <w:rPr>
          <w:rFonts w:ascii="仿宋_GB2312" w:eastAsia="仿宋_GB2312" w:hAnsi="仿宋_GB2312" w:cs="仿宋_GB2312" w:hint="eastAsia"/>
          <w:color w:val="000000"/>
          <w:sz w:val="32"/>
          <w:szCs w:val="32"/>
        </w:rPr>
        <w:t>第（二）项“</w:t>
      </w:r>
      <w:r>
        <w:rPr>
          <w:rFonts w:ascii="仿宋_GB2312" w:eastAsia="仿宋_GB2312" w:hAnsi="仿宋_GB2312" w:cs="仿宋_GB2312" w:hint="eastAsia"/>
          <w:color w:val="000000"/>
          <w:sz w:val="32"/>
          <w:szCs w:val="32"/>
        </w:rPr>
        <w:t>除法律、法规、规章另有规定外，罚款的数额按照下列规则确定：（二）罚款为一定幅度的数额的，减轻处罚应当低于最低罚款数额，从轻处罚应当低于最低罚款数额与最高罚款数额区间的</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，一般处罚应当在最低罚款数额与最高罚款数额区间的</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之间，从重处</w:t>
      </w:r>
      <w:r>
        <w:rPr>
          <w:rFonts w:ascii="仿宋_GB2312" w:eastAsia="仿宋_GB2312" w:hAnsi="仿宋_GB2312" w:cs="仿宋_GB2312" w:hint="eastAsia"/>
          <w:color w:val="000000"/>
          <w:sz w:val="32"/>
          <w:szCs w:val="32"/>
        </w:rPr>
        <w:lastRenderedPageBreak/>
        <w:t>罚应当超过最低罚款数额与最高罚款数额区间的</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”的规定，本局决定</w:t>
      </w:r>
      <w:r>
        <w:rPr>
          <w:rFonts w:ascii="仿宋_GB2312" w:eastAsia="仿宋_GB2312" w:hAnsi="仿宋_GB2312" w:cs="仿宋_GB2312" w:hint="eastAsia"/>
          <w:color w:val="000000"/>
          <w:sz w:val="32"/>
          <w:szCs w:val="32"/>
        </w:rPr>
        <w:t>对当事人</w:t>
      </w:r>
      <w:r>
        <w:rPr>
          <w:rFonts w:ascii="仿宋_GB2312" w:eastAsia="仿宋_GB2312" w:hAnsi="仿宋_GB2312" w:cs="仿宋_GB2312" w:hint="eastAsia"/>
          <w:color w:val="000000"/>
          <w:sz w:val="32"/>
          <w:szCs w:val="32"/>
        </w:rPr>
        <w:t>以上二个违法行为</w:t>
      </w:r>
      <w:r>
        <w:rPr>
          <w:rFonts w:ascii="仿宋_GB2312" w:eastAsia="仿宋_GB2312" w:hAnsi="仿宋_GB2312" w:cs="仿宋_GB2312" w:hint="eastAsia"/>
          <w:color w:val="000000"/>
          <w:sz w:val="32"/>
          <w:szCs w:val="32"/>
        </w:rPr>
        <w:t>分别截量如下：</w:t>
      </w:r>
    </w:p>
    <w:p w:rsidR="008E29E8" w:rsidRDefault="004E53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警告；</w:t>
      </w:r>
    </w:p>
    <w:p w:rsidR="008E29E8" w:rsidRDefault="004E539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、没收《财物清单》（融水市监强制〔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354</w:t>
      </w:r>
      <w:r>
        <w:rPr>
          <w:rFonts w:ascii="仿宋_GB2312" w:eastAsia="仿宋_GB2312" w:hAnsi="仿宋_GB2312" w:cs="仿宋_GB2312" w:hint="eastAsia"/>
          <w:color w:val="000000"/>
          <w:sz w:val="32"/>
          <w:szCs w:val="32"/>
        </w:rPr>
        <w:t>号）所列的超过限期使用日期化妆品；</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、对当事人未建立并执行进</w:t>
      </w:r>
      <w:r>
        <w:rPr>
          <w:rFonts w:ascii="仿宋_GB2312" w:eastAsia="仿宋_GB2312" w:hAnsi="仿宋_GB2312" w:cs="仿宋_GB2312" w:hint="eastAsia"/>
          <w:color w:val="000000"/>
          <w:sz w:val="32"/>
          <w:szCs w:val="32"/>
        </w:rPr>
        <w:t>货查验记录制度的行为处罚款</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、对当事人经营超过限期使用日期化妆品的行为处罚款</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以上罚款共计人民币壹仟元整（</w:t>
      </w:r>
      <w:r>
        <w:rPr>
          <w:rFonts w:ascii="仿宋_GB2312" w:eastAsia="仿宋_GB2312" w:hAnsi="仿宋_GB2312" w:cs="仿宋_GB2312" w:hint="eastAsia"/>
          <w:color w:val="000000"/>
          <w:sz w:val="32"/>
          <w:szCs w:val="32"/>
        </w:rPr>
        <w:t>¥1000.00</w:t>
      </w:r>
      <w:r>
        <w:rPr>
          <w:rFonts w:ascii="仿宋_GB2312" w:eastAsia="仿宋_GB2312" w:hAnsi="仿宋_GB2312" w:cs="仿宋_GB2312" w:hint="eastAsia"/>
          <w:color w:val="000000"/>
          <w:sz w:val="32"/>
          <w:szCs w:val="32"/>
        </w:rPr>
        <w:t>元）。</w:t>
      </w:r>
      <w:bookmarkEnd w:id="15"/>
    </w:p>
    <w:p w:rsidR="008E29E8" w:rsidRDefault="004E539E">
      <w:pPr>
        <w:widowControl/>
        <w:snapToGrid w:val="0"/>
        <w:spacing w:line="520" w:lineRule="exact"/>
        <w:ind w:firstLineChars="200" w:firstLine="640"/>
        <w:rPr>
          <w:rFonts w:ascii="仿宋_GB2312" w:eastAsia="仿宋_GB2312" w:hAnsi="Times New Roman" w:cs="仿宋_GB2312"/>
          <w:kern w:val="0"/>
          <w:sz w:val="32"/>
          <w:szCs w:val="32"/>
          <w:lang w:eastAsia="zh-Hans"/>
        </w:rPr>
      </w:pPr>
      <w:r>
        <w:rPr>
          <w:rFonts w:ascii="仿宋_GB2312" w:eastAsia="仿宋_GB2312" w:hAnsi="Times New Roman" w:cs="仿宋_GB2312" w:hint="eastAsia"/>
          <w:color w:val="000000"/>
          <w:kern w:val="0"/>
          <w:sz w:val="32"/>
          <w:szCs w:val="32"/>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8E29E8" w:rsidRDefault="004E539E">
      <w:pPr>
        <w:widowControl/>
        <w:snapToGrid w:val="0"/>
        <w:spacing w:line="520" w:lineRule="exact"/>
        <w:ind w:firstLineChars="200" w:firstLine="640"/>
        <w:jc w:val="left"/>
        <w:rPr>
          <w:rFonts w:ascii="仿宋_GB2312" w:eastAsia="仿宋_GB2312" w:hAnsi="Times New Roman" w:cs="仿宋_GB2312"/>
          <w:color w:val="000000"/>
          <w:kern w:val="0"/>
          <w:sz w:val="32"/>
          <w:szCs w:val="32"/>
          <w:lang w:eastAsia="zh-Hans"/>
        </w:rPr>
      </w:pPr>
      <w:r>
        <w:rPr>
          <w:rFonts w:ascii="仿宋_GB2312" w:eastAsia="仿宋_GB2312" w:hAnsi="Times New Roman" w:cs="仿宋_GB2312" w:hint="eastAsia"/>
          <w:color w:val="000000"/>
          <w:kern w:val="0"/>
          <w:sz w:val="32"/>
          <w:szCs w:val="32"/>
          <w:lang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rsidR="008E29E8" w:rsidRDefault="008E29E8">
      <w:pPr>
        <w:pStyle w:val="a0"/>
        <w:rPr>
          <w:lang w:eastAsia="zh-Hans"/>
        </w:rPr>
      </w:pPr>
    </w:p>
    <w:p w:rsidR="008E29E8" w:rsidRDefault="004E539E">
      <w:pPr>
        <w:spacing w:line="560" w:lineRule="exact"/>
        <w:ind w:right="640" w:firstLine="601"/>
        <w:jc w:val="right"/>
        <w:rPr>
          <w:rFonts w:ascii="Times New Roman" w:eastAsia="仿宋_GB2312" w:hAnsi="Times New Roman" w:cs="仿宋"/>
          <w:sz w:val="32"/>
          <w:szCs w:val="32"/>
        </w:rPr>
      </w:pPr>
      <w:bookmarkStart w:id="16" w:name="DYNAMIC—DWXX—tAj_dwmc—2"/>
      <w:r>
        <w:rPr>
          <w:rFonts w:ascii="Times New Roman" w:eastAsia="仿宋_GB2312" w:hAnsi="Times New Roman" w:cs="仿宋" w:hint="eastAsia"/>
          <w:color w:val="000000"/>
          <w:sz w:val="32"/>
        </w:rPr>
        <w:t>融水苗族自治县市场监督管理局</w:t>
      </w:r>
      <w:bookmarkEnd w:id="16"/>
      <w:r>
        <w:rPr>
          <w:rFonts w:ascii="Times New Roman" w:eastAsia="仿宋_GB2312" w:hAnsi="Times New Roman" w:cs="仿宋" w:hint="eastAsia"/>
          <w:color w:val="000000"/>
          <w:sz w:val="32"/>
          <w:szCs w:val="32"/>
        </w:rPr>
        <w:t xml:space="preserve">    </w:t>
      </w:r>
    </w:p>
    <w:p w:rsidR="008E29E8" w:rsidRDefault="00CA6C82">
      <w:pPr>
        <w:spacing w:line="560" w:lineRule="exact"/>
        <w:ind w:rightChars="300" w:right="630" w:firstLine="600"/>
        <w:jc w:val="center"/>
        <w:rPr>
          <w:rFonts w:ascii="Times New Roman" w:eastAsia="仿宋_GB2312" w:hAnsi="Times New Roman" w:cs="Mongolian Baiti"/>
          <w:sz w:val="32"/>
          <w:szCs w:val="32"/>
        </w:rPr>
      </w:pPr>
      <w:bookmarkStart w:id="17" w:name="CALCULATE—TIME—NOW"/>
      <w:r>
        <w:rPr>
          <w:rFonts w:ascii="仿宋_GB2312" w:eastAsia="仿宋_GB2312" w:hAnsi="仿宋_GB2312" w:cs="仿宋_GB2312"/>
          <w:sz w:val="32"/>
        </w:rPr>
        <w:t xml:space="preserve">           </w:t>
      </w:r>
      <w:bookmarkStart w:id="18" w:name="_GoBack"/>
      <w:bookmarkEnd w:id="18"/>
      <w:r w:rsidR="004E539E">
        <w:rPr>
          <w:rFonts w:ascii="仿宋_GB2312" w:eastAsia="仿宋_GB2312" w:hAnsi="仿宋_GB2312" w:cs="仿宋_GB2312"/>
          <w:sz w:val="32"/>
        </w:rPr>
        <w:t>2025</w:t>
      </w:r>
      <w:r w:rsidR="004E539E">
        <w:rPr>
          <w:rFonts w:ascii="仿宋_GB2312" w:eastAsia="仿宋_GB2312" w:hAnsi="仿宋_GB2312" w:cs="仿宋_GB2312"/>
          <w:sz w:val="32"/>
        </w:rPr>
        <w:t>年</w:t>
      </w:r>
      <w:r w:rsidR="004E539E">
        <w:rPr>
          <w:rFonts w:ascii="仿宋_GB2312" w:eastAsia="仿宋_GB2312" w:hAnsi="仿宋_GB2312" w:cs="仿宋_GB2312"/>
          <w:sz w:val="32"/>
        </w:rPr>
        <w:t>11</w:t>
      </w:r>
      <w:r w:rsidR="004E539E">
        <w:rPr>
          <w:rFonts w:ascii="仿宋_GB2312" w:eastAsia="仿宋_GB2312" w:hAnsi="仿宋_GB2312" w:cs="仿宋_GB2312"/>
          <w:sz w:val="32"/>
        </w:rPr>
        <w:t>月</w:t>
      </w:r>
      <w:r w:rsidR="004E539E">
        <w:rPr>
          <w:rFonts w:ascii="仿宋_GB2312" w:eastAsia="仿宋_GB2312" w:hAnsi="仿宋_GB2312" w:cs="仿宋_GB2312"/>
          <w:sz w:val="32"/>
        </w:rPr>
        <w:t>27</w:t>
      </w:r>
      <w:r w:rsidR="004E539E">
        <w:rPr>
          <w:rFonts w:ascii="仿宋_GB2312" w:eastAsia="仿宋_GB2312" w:hAnsi="仿宋_GB2312" w:cs="仿宋_GB2312"/>
          <w:sz w:val="32"/>
        </w:rPr>
        <w:t>日</w:t>
      </w:r>
      <w:bookmarkEnd w:id="17"/>
      <w:r w:rsidR="004E539E">
        <w:rPr>
          <w:rFonts w:ascii="Times New Roman" w:eastAsia="仿宋_GB2312" w:hAnsi="Times New Roman" w:cs="仿宋_GB2312" w:hint="eastAsia"/>
          <w:color w:val="000000"/>
          <w:sz w:val="32"/>
          <w:szCs w:val="32"/>
        </w:rPr>
        <w:t xml:space="preserve">  </w:t>
      </w:r>
    </w:p>
    <w:p w:rsidR="008E29E8" w:rsidRDefault="004E539E">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2E07B066"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8E29E8" w:rsidRDefault="004E539E">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143FC3A4"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p>
    <w:sectPr w:rsidR="008E29E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9E" w:rsidRDefault="004E539E">
      <w:r>
        <w:separator/>
      </w:r>
    </w:p>
  </w:endnote>
  <w:endnote w:type="continuationSeparator" w:id="0">
    <w:p w:rsidR="004E539E" w:rsidRDefault="004E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0" w:usb1="00000000" w:usb2="00000000" w:usb3="00000000" w:csb0="00040000" w:csb1="00000000"/>
  </w:font>
  <w:font w:name="仿宋_GB2312">
    <w:altName w:val="仿宋"/>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E8" w:rsidRDefault="004E539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29E8" w:rsidRDefault="004E539E">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A6C82">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CA6C82">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E29E8" w:rsidRDefault="004E539E">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A6C82">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CA6C82">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9E" w:rsidRDefault="004E539E">
      <w:r>
        <w:separator/>
      </w:r>
    </w:p>
  </w:footnote>
  <w:footnote w:type="continuationSeparator" w:id="0">
    <w:p w:rsidR="004E539E" w:rsidRDefault="004E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 w:val="00193C35"/>
    <w:rsid w:val="0032134F"/>
    <w:rsid w:val="004E539E"/>
    <w:rsid w:val="008E29E8"/>
    <w:rsid w:val="00CA6C82"/>
    <w:rsid w:val="010A478A"/>
    <w:rsid w:val="012E6D36"/>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296D36"/>
    <w:rsid w:val="11524677"/>
    <w:rsid w:val="115320F9"/>
    <w:rsid w:val="119E3BCA"/>
    <w:rsid w:val="125C03AD"/>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DEC57A6"/>
    <w:rsid w:val="1E664711"/>
    <w:rsid w:val="1EC222D9"/>
    <w:rsid w:val="1F2B5D07"/>
    <w:rsid w:val="1FC004DE"/>
    <w:rsid w:val="1FD31F15"/>
    <w:rsid w:val="212E3259"/>
    <w:rsid w:val="22287087"/>
    <w:rsid w:val="237778B4"/>
    <w:rsid w:val="23F5677C"/>
    <w:rsid w:val="242E2F32"/>
    <w:rsid w:val="24626694"/>
    <w:rsid w:val="258D6CE0"/>
    <w:rsid w:val="27A45517"/>
    <w:rsid w:val="29881A2E"/>
    <w:rsid w:val="2B1B3EFC"/>
    <w:rsid w:val="2CEA3815"/>
    <w:rsid w:val="2DE10173"/>
    <w:rsid w:val="2F327E79"/>
    <w:rsid w:val="2F7CE1EF"/>
    <w:rsid w:val="2F8A6913"/>
    <w:rsid w:val="30DB5683"/>
    <w:rsid w:val="30FA2F6D"/>
    <w:rsid w:val="31562B39"/>
    <w:rsid w:val="31BE0AF5"/>
    <w:rsid w:val="32CE76E8"/>
    <w:rsid w:val="3334290F"/>
    <w:rsid w:val="33740640"/>
    <w:rsid w:val="3585615B"/>
    <w:rsid w:val="35D963E6"/>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7BE7B82"/>
    <w:rsid w:val="58A4140A"/>
    <w:rsid w:val="591F0542"/>
    <w:rsid w:val="59A10938"/>
    <w:rsid w:val="5A9F1913"/>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6B1B3A"/>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7B022E"/>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2A8575"/>
  <w15:docId w15:val="{D8BB778B-4376-42F2-898A-32F1B8FD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2021-08-02T10:04:00Z</dcterms:created>
  <dcterms:modified xsi:type="dcterms:W3CDTF">2025-12-02T02:55:00Z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