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2025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416"/>
        <w:gridCol w:w="616"/>
        <w:gridCol w:w="416"/>
        <w:gridCol w:w="416"/>
        <w:gridCol w:w="916"/>
        <w:gridCol w:w="3371"/>
        <w:gridCol w:w="1965"/>
        <w:gridCol w:w="4950"/>
        <w:gridCol w:w="1860"/>
        <w:gridCol w:w="3510"/>
        <w:gridCol w:w="795"/>
        <w:gridCol w:w="585"/>
      </w:tblGrid>
      <w:tr w14:paraId="4F2B1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0252" w:type="dxa"/>
            <w:gridSpan w:val="13"/>
            <w:tcBorders>
              <w:top w:val="nil"/>
              <w:left w:val="nil"/>
              <w:bottom w:val="nil"/>
              <w:right w:val="nil"/>
            </w:tcBorders>
            <w:shd w:val="clear" w:color="auto" w:fill="auto"/>
            <w:vAlign w:val="top"/>
          </w:tcPr>
          <w:p w14:paraId="66D58316">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融水苗族自治县科技工贸和信息化局权责清单</w:t>
            </w:r>
          </w:p>
        </w:tc>
      </w:tr>
      <w:tr w14:paraId="09C1A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90554">
            <w:pPr>
              <w:keepNext w:val="0"/>
              <w:keepLines w:val="0"/>
              <w:widowControl/>
              <w:suppressLineNumbers w:val="0"/>
              <w:jc w:val="center"/>
              <w:textAlignment w:val="center"/>
              <w:rPr>
                <w:rFonts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序号</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6BACB">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权力分类</w:t>
            </w:r>
          </w:p>
        </w:tc>
        <w:tc>
          <w:tcPr>
            <w:tcW w:w="57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293531">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权力清单</w:t>
            </w:r>
          </w:p>
        </w:tc>
        <w:tc>
          <w:tcPr>
            <w:tcW w:w="130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AD7AE3">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责任清单</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902EC">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备注</w:t>
            </w:r>
          </w:p>
        </w:tc>
      </w:tr>
      <w:tr w14:paraId="0450D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0A836">
            <w:pPr>
              <w:jc w:val="center"/>
              <w:rPr>
                <w:rFonts w:hint="eastAsia" w:ascii="黑体" w:hAnsi="宋体" w:eastAsia="黑体" w:cs="黑体"/>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968E2">
            <w:pPr>
              <w:jc w:val="center"/>
              <w:rPr>
                <w:rFonts w:hint="eastAsia" w:ascii="黑体" w:hAnsi="宋体" w:eastAsia="黑体" w:cs="黑体"/>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537A">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项目名称</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4C56">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子项名称</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2CDC">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实施主体</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E922">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承办的内设机构</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E858">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实施依据</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4387">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责任事项</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A575">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责任事项依据</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0B61">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追责情形</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C00B">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追责依据</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7169">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免责事项</w:t>
            </w: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1AF19D">
            <w:pPr>
              <w:jc w:val="both"/>
              <w:rPr>
                <w:rFonts w:hint="eastAsia" w:ascii="黑体" w:hAnsi="宋体" w:eastAsia="黑体" w:cs="黑体"/>
                <w:i w:val="0"/>
                <w:iCs w:val="0"/>
                <w:color w:val="000000"/>
                <w:sz w:val="20"/>
                <w:szCs w:val="20"/>
                <w:u w:val="none"/>
              </w:rPr>
            </w:pPr>
          </w:p>
        </w:tc>
      </w:tr>
      <w:tr w14:paraId="19687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61E4AFC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sz w:val="20"/>
                <w:szCs w:val="20"/>
                <w:highlight w:val="none"/>
                <w:u w:val="none"/>
                <w:lang w:val="en-US"/>
              </w:rPr>
              <w:t>1</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16702F37">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行政检查</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69718874">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节能监察（监测）</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38D01344">
            <w:pPr>
              <w:jc w:val="center"/>
              <w:rPr>
                <w:rFonts w:hint="eastAsia" w:ascii="仿宋_GB2312" w:hAnsi="宋体" w:eastAsia="仿宋_GB2312" w:cs="仿宋_GB2312"/>
                <w:i w:val="0"/>
                <w:iCs w:val="0"/>
                <w:color w:val="auto"/>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659BC30C">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融水县科技工贸和信息化局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top"/>
          </w:tcPr>
          <w:p w14:paraId="79DD6A33">
            <w:pPr>
              <w:keepNext w:val="0"/>
              <w:keepLines w:val="0"/>
              <w:widowControl/>
              <w:suppressLineNumbers w:val="0"/>
              <w:jc w:val="center"/>
              <w:textAlignment w:val="center"/>
              <w:rPr>
                <w:rFonts w:hint="eastAsia" w:ascii="仿宋_GB2312" w:hAnsi="宋体"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0"/>
                <w:szCs w:val="20"/>
                <w:highlight w:val="none"/>
                <w:u w:val="none"/>
                <w:lang w:val="en-US" w:eastAsia="zh-CN" w:bidi="ar"/>
              </w:rPr>
              <w:t>投资节能和信息化股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515C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rPr>
            </w:pPr>
            <w:r>
              <w:rPr>
                <w:rFonts w:hint="eastAsia" w:eastAsia="仿宋_GB2312" w:cs="仿宋_GB2312"/>
                <w:snapToGrid w:val="0"/>
                <w:color w:val="auto"/>
                <w:sz w:val="18"/>
                <w:szCs w:val="18"/>
                <w:highlight w:val="none"/>
              </w:rPr>
              <w:t>1.【法律】《中华人民共和国节约能源法》</w:t>
            </w:r>
            <w:r>
              <w:rPr>
                <w:rFonts w:hint="eastAsia" w:eastAsia="仿宋_GB2312" w:cs="仿宋_GB2312"/>
                <w:snapToGrid w:val="0"/>
                <w:color w:val="auto"/>
                <w:sz w:val="18"/>
                <w:szCs w:val="18"/>
                <w:highlight w:val="none"/>
                <w:lang w:eastAsia="zh-CN"/>
              </w:rPr>
              <w:t>（</w:t>
            </w:r>
            <w:r>
              <w:rPr>
                <w:rFonts w:hint="eastAsia" w:eastAsia="仿宋_GB2312" w:cs="仿宋_GB2312"/>
                <w:snapToGrid w:val="0"/>
                <w:color w:val="auto"/>
                <w:sz w:val="18"/>
                <w:szCs w:val="18"/>
                <w:highlight w:val="none"/>
                <w:lang w:val="en-US" w:eastAsia="zh-CN"/>
              </w:rPr>
              <w:t>2018年修正</w:t>
            </w:r>
            <w:r>
              <w:rPr>
                <w:rFonts w:hint="eastAsia" w:eastAsia="仿宋_GB2312" w:cs="仿宋_GB2312"/>
                <w:snapToGrid w:val="0"/>
                <w:color w:val="auto"/>
                <w:sz w:val="18"/>
                <w:szCs w:val="18"/>
                <w:highlight w:val="none"/>
                <w:lang w:eastAsia="zh-CN"/>
              </w:rPr>
              <w:t>）</w:t>
            </w:r>
            <w:r>
              <w:rPr>
                <w:rFonts w:hint="eastAsia" w:eastAsia="仿宋_GB2312" w:cs="仿宋_GB2312"/>
                <w:snapToGrid w:val="0"/>
                <w:color w:val="auto"/>
                <w:sz w:val="18"/>
                <w:szCs w:val="18"/>
                <w:highlight w:val="none"/>
              </w:rPr>
              <w:t>第十二条</w:t>
            </w:r>
            <w:r>
              <w:rPr>
                <w:rFonts w:hint="default" w:eastAsia="仿宋_GB2312" w:cs="仿宋_GB2312"/>
                <w:snapToGrid w:val="0"/>
                <w:color w:val="auto"/>
                <w:sz w:val="18"/>
                <w:szCs w:val="18"/>
                <w:highlight w:val="none"/>
                <w:lang w:val="en"/>
              </w:rPr>
              <w:t xml:space="preserve">  </w:t>
            </w:r>
            <w:r>
              <w:rPr>
                <w:rFonts w:hint="eastAsia" w:eastAsia="仿宋_GB2312" w:cs="仿宋_GB2312"/>
                <w:snapToGrid w:val="0"/>
                <w:color w:val="auto"/>
                <w:sz w:val="18"/>
                <w:szCs w:val="18"/>
                <w:highlight w:val="none"/>
              </w:rPr>
              <w:t>县级以上人民政府管理节能工作的部门和有关部门应当在各自的职责范围内，加强对节能法律、法规和节能标准执行情况的监督检查，依法查处违法用能行为。</w:t>
            </w:r>
          </w:p>
          <w:p w14:paraId="06F8A3CF">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rPr>
            </w:pPr>
            <w:r>
              <w:rPr>
                <w:rFonts w:hint="eastAsia" w:eastAsia="仿宋_GB2312" w:cs="仿宋_GB2312"/>
                <w:snapToGrid w:val="0"/>
                <w:color w:val="auto"/>
                <w:sz w:val="18"/>
                <w:szCs w:val="18"/>
                <w:highlight w:val="none"/>
              </w:rPr>
              <w:t>2.【</w:t>
            </w:r>
            <w:r>
              <w:rPr>
                <w:rFonts w:hint="eastAsia" w:eastAsia="仿宋_GB2312" w:cs="仿宋_GB2312"/>
                <w:snapToGrid w:val="0"/>
                <w:color w:val="auto"/>
                <w:sz w:val="18"/>
                <w:szCs w:val="18"/>
                <w:highlight w:val="none"/>
                <w:lang w:eastAsia="zh-CN"/>
              </w:rPr>
              <w:t>省级</w:t>
            </w:r>
            <w:r>
              <w:rPr>
                <w:rFonts w:hint="eastAsia" w:eastAsia="仿宋_GB2312" w:cs="仿宋_GB2312"/>
                <w:snapToGrid w:val="0"/>
                <w:color w:val="auto"/>
                <w:sz w:val="18"/>
                <w:szCs w:val="18"/>
                <w:highlight w:val="none"/>
              </w:rPr>
              <w:t>地方性法规】《广西壮族自治区实施〈中华人民共和国节约能源法〉办法》（广西壮族自治区人民代表大会常务委员会公告</w:t>
            </w:r>
            <w:r>
              <w:rPr>
                <w:rFonts w:hint="eastAsia" w:eastAsia="仿宋_GB2312" w:cs="仿宋_GB2312"/>
                <w:snapToGrid w:val="0"/>
                <w:color w:val="auto"/>
                <w:sz w:val="18"/>
                <w:szCs w:val="18"/>
                <w:highlight w:val="none"/>
                <w:lang w:val="en-US" w:eastAsia="zh-CN"/>
              </w:rPr>
              <w:t>13届</w:t>
            </w:r>
            <w:r>
              <w:rPr>
                <w:rFonts w:hint="eastAsia" w:eastAsia="仿宋_GB2312" w:cs="仿宋_GB2312"/>
                <w:snapToGrid w:val="0"/>
                <w:color w:val="auto"/>
                <w:sz w:val="18"/>
                <w:szCs w:val="18"/>
                <w:highlight w:val="none"/>
              </w:rPr>
              <w:t>第7号</w:t>
            </w:r>
            <w:r>
              <w:rPr>
                <w:rFonts w:hint="eastAsia" w:eastAsia="仿宋_GB2312" w:cs="仿宋_GB2312"/>
                <w:snapToGrid w:val="0"/>
                <w:color w:val="auto"/>
                <w:sz w:val="18"/>
                <w:szCs w:val="18"/>
                <w:highlight w:val="none"/>
                <w:lang w:eastAsia="zh-CN"/>
              </w:rPr>
              <w:t>公布，</w:t>
            </w:r>
            <w:r>
              <w:rPr>
                <w:rFonts w:hint="eastAsia" w:eastAsia="仿宋_GB2312" w:cs="仿宋_GB2312"/>
                <w:snapToGrid w:val="0"/>
                <w:color w:val="auto"/>
                <w:sz w:val="18"/>
                <w:szCs w:val="18"/>
                <w:highlight w:val="none"/>
                <w:lang w:val="en-US" w:eastAsia="zh-CN"/>
              </w:rPr>
              <w:t>2018年修正，自2018年9月30日起实施</w:t>
            </w:r>
            <w:r>
              <w:rPr>
                <w:rFonts w:hint="eastAsia" w:eastAsia="仿宋_GB2312" w:cs="仿宋_GB2312"/>
                <w:snapToGrid w:val="0"/>
                <w:color w:val="auto"/>
                <w:sz w:val="18"/>
                <w:szCs w:val="18"/>
                <w:highlight w:val="none"/>
              </w:rPr>
              <w:t>）第五条</w:t>
            </w:r>
            <w:r>
              <w:rPr>
                <w:rFonts w:hint="default" w:eastAsia="仿宋_GB2312" w:cs="仿宋_GB2312"/>
                <w:snapToGrid w:val="0"/>
                <w:color w:val="auto"/>
                <w:sz w:val="18"/>
                <w:szCs w:val="18"/>
                <w:highlight w:val="none"/>
                <w:lang w:val="en"/>
              </w:rPr>
              <w:t xml:space="preserve">  </w:t>
            </w:r>
            <w:r>
              <w:rPr>
                <w:rFonts w:hint="eastAsia" w:eastAsia="仿宋_GB2312" w:cs="仿宋_GB2312"/>
                <w:snapToGrid w:val="0"/>
                <w:color w:val="auto"/>
                <w:sz w:val="18"/>
                <w:szCs w:val="18"/>
                <w:highlight w:val="none"/>
              </w:rPr>
              <w:t>县级以上人民政府应当将节能工作纳入国民经济和社会发展规划，加强对节能工作的领导，部署、协调、监督、检查、推动节能工作。</w:t>
            </w:r>
          </w:p>
          <w:p w14:paraId="4320E09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rPr>
            </w:pPr>
            <w:r>
              <w:rPr>
                <w:rFonts w:hint="eastAsia" w:eastAsia="仿宋_GB2312" w:cs="仿宋_GB2312"/>
                <w:snapToGrid w:val="0"/>
                <w:color w:val="auto"/>
                <w:sz w:val="18"/>
                <w:szCs w:val="18"/>
                <w:highlight w:val="none"/>
              </w:rPr>
              <w:t>县级以上人民政府发展和改革部门综合协调本行政区域节能监督管理工作。工业和信息化、科学技术、住房和城乡建设、交通运输、农业、林业、质量技术监督等部门以及管理机关事务的机构在各自的职责范围内负责节能技术开发、推广和节能监督管理工作。</w:t>
            </w:r>
          </w:p>
          <w:p w14:paraId="2CF7FD3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rPr>
            </w:pPr>
            <w:r>
              <w:rPr>
                <w:rFonts w:hint="eastAsia" w:eastAsia="仿宋_GB2312" w:cs="仿宋_GB2312"/>
                <w:snapToGrid w:val="0"/>
                <w:color w:val="auto"/>
                <w:sz w:val="18"/>
                <w:szCs w:val="18"/>
                <w:highlight w:val="none"/>
              </w:rPr>
              <w:t>县级以上人民政府发展和改革部门、各节能监督管理部门根据职责和工作需要，可以依法委托节能监察机构具体实施日常的节能监督管理工作。</w:t>
            </w:r>
          </w:p>
          <w:p w14:paraId="2B3F33DF">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r>
              <w:rPr>
                <w:rFonts w:hint="eastAsia" w:eastAsia="仿宋_GB2312" w:cs="仿宋_GB2312"/>
                <w:snapToGrid w:val="0"/>
                <w:color w:val="auto"/>
                <w:sz w:val="18"/>
                <w:szCs w:val="18"/>
                <w:highlight w:val="none"/>
              </w:rPr>
              <w:t>3.【部门规章】《工业节能管理办法》（</w:t>
            </w:r>
            <w:r>
              <w:rPr>
                <w:rFonts w:hint="eastAsia" w:eastAsia="仿宋_GB2312" w:cs="仿宋_GB2312"/>
                <w:snapToGrid w:val="0"/>
                <w:color w:val="auto"/>
                <w:sz w:val="18"/>
                <w:szCs w:val="18"/>
                <w:highlight w:val="none"/>
                <w:lang w:eastAsia="zh-CN"/>
              </w:rPr>
              <w:t>中华人民共和国</w:t>
            </w:r>
            <w:r>
              <w:rPr>
                <w:rFonts w:hint="eastAsia" w:eastAsia="仿宋_GB2312" w:cs="仿宋_GB2312"/>
                <w:snapToGrid w:val="0"/>
                <w:color w:val="auto"/>
                <w:sz w:val="18"/>
                <w:szCs w:val="18"/>
                <w:highlight w:val="none"/>
              </w:rPr>
              <w:t>工业和信息化委员会令第33号</w:t>
            </w:r>
            <w:r>
              <w:rPr>
                <w:rFonts w:hint="eastAsia" w:eastAsia="仿宋_GB2312" w:cs="仿宋_GB2312"/>
                <w:snapToGrid w:val="0"/>
                <w:color w:val="auto"/>
                <w:sz w:val="18"/>
                <w:szCs w:val="18"/>
                <w:highlight w:val="none"/>
                <w:lang w:eastAsia="zh-CN"/>
              </w:rPr>
              <w:t>公布，</w:t>
            </w:r>
            <w:r>
              <w:rPr>
                <w:rFonts w:hint="eastAsia" w:eastAsia="仿宋_GB2312" w:cs="仿宋_GB2312"/>
                <w:snapToGrid w:val="0"/>
                <w:color w:val="auto"/>
                <w:sz w:val="18"/>
                <w:szCs w:val="18"/>
                <w:highlight w:val="none"/>
                <w:lang w:val="en-US" w:eastAsia="zh-CN"/>
              </w:rPr>
              <w:t>2016年6月30日起施行</w:t>
            </w:r>
            <w:r>
              <w:rPr>
                <w:rFonts w:hint="eastAsia" w:eastAsia="仿宋_GB2312" w:cs="仿宋_GB2312"/>
                <w:snapToGrid w:val="0"/>
                <w:color w:val="auto"/>
                <w:sz w:val="18"/>
                <w:szCs w:val="18"/>
                <w:highlight w:val="none"/>
              </w:rPr>
              <w:t>）第十九条</w:t>
            </w:r>
            <w:r>
              <w:rPr>
                <w:rFonts w:hint="default" w:eastAsia="仿宋_GB2312" w:cs="仿宋_GB2312"/>
                <w:snapToGrid w:val="0"/>
                <w:color w:val="auto"/>
                <w:sz w:val="18"/>
                <w:szCs w:val="18"/>
                <w:highlight w:val="none"/>
                <w:lang w:val="en"/>
              </w:rPr>
              <w:t xml:space="preserve">  </w:t>
            </w:r>
            <w:r>
              <w:rPr>
                <w:rFonts w:hint="eastAsia" w:eastAsia="仿宋_GB2312" w:cs="仿宋_GB2312"/>
                <w:snapToGrid w:val="0"/>
                <w:color w:val="auto"/>
                <w:sz w:val="18"/>
                <w:szCs w:val="18"/>
                <w:highlight w:val="none"/>
              </w:rPr>
              <w:t>各级工业和信息化主管部门应当组织节能监察机构，对工业企业执行节能法律法规情况、强制性单位产品能耗限额及其他强制性节能标准贯彻执行情况、落后用能工艺技术设备（产品）淘汰情况、固定资产投资项目节能评估和审查意见落实情况、节能服务机构执行节能法律法规情况等开展节能监察。</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4E86">
            <w:pPr>
              <w:keepNext w:val="0"/>
              <w:keepLines w:val="0"/>
              <w:pageBreakBefore w:val="0"/>
              <w:widowControl/>
              <w:kinsoku/>
              <w:wordWrap/>
              <w:overflowPunct/>
              <w:topLinePunct w:val="0"/>
              <w:autoSpaceDE/>
              <w:autoSpaceDN/>
              <w:bidi w:val="0"/>
              <w:adjustRightInd w:val="0"/>
              <w:snapToGrid w:val="0"/>
              <w:spacing w:line="280" w:lineRule="exact"/>
              <w:ind w:firstLine="180" w:firstLineChars="100"/>
              <w:rPr>
                <w:rFonts w:hint="eastAsia" w:eastAsia="仿宋_GB2312" w:cs="仿宋_GB2312"/>
                <w:snapToGrid w:val="0"/>
                <w:color w:val="auto"/>
                <w:sz w:val="18"/>
                <w:szCs w:val="18"/>
                <w:highlight w:val="none"/>
              </w:rPr>
            </w:pPr>
            <w:r>
              <w:rPr>
                <w:rFonts w:hint="eastAsia" w:eastAsia="仿宋_GB2312" w:cs="仿宋_GB2312"/>
                <w:snapToGrid w:val="0"/>
                <w:color w:val="auto"/>
                <w:sz w:val="18"/>
                <w:szCs w:val="18"/>
                <w:highlight w:val="none"/>
                <w:lang w:val="en-US" w:eastAsia="zh-CN"/>
              </w:rPr>
              <w:t>1.选案阶段责任：根据举报或上级安排以及日常管理中发现的问题确定进行检查。（投资节能和信息化股）</w:t>
            </w:r>
            <w:r>
              <w:rPr>
                <w:rFonts w:hint="eastAsia" w:eastAsia="仿宋_GB2312" w:cs="仿宋_GB2312"/>
                <w:snapToGrid w:val="0"/>
                <w:color w:val="auto"/>
                <w:sz w:val="18"/>
                <w:szCs w:val="18"/>
                <w:highlight w:val="none"/>
                <w:lang w:val="en-US" w:eastAsia="zh-CN"/>
              </w:rPr>
              <w:br w:type="textWrapping"/>
            </w:r>
            <w:r>
              <w:rPr>
                <w:rFonts w:hint="eastAsia" w:eastAsia="仿宋_GB2312" w:cs="仿宋_GB2312"/>
                <w:snapToGrid w:val="0"/>
                <w:color w:val="auto"/>
                <w:sz w:val="18"/>
                <w:szCs w:val="18"/>
                <w:highlight w:val="none"/>
                <w:lang w:val="en-US" w:eastAsia="zh-CN"/>
              </w:rPr>
              <w:t xml:space="preserve">  2.检查阶段责任：检查应按有关程序进行，指定专人负责，及时组织调查取证，与当事人有直接利害关系的应当回避。检查人员不得少于两人，调查时应出示执法证件，允许当事人辩解陈述。检查人员应保守有关秘密。（投资节能和信息化股）</w:t>
            </w:r>
            <w:r>
              <w:rPr>
                <w:rFonts w:hint="eastAsia" w:eastAsia="仿宋_GB2312" w:cs="仿宋_GB2312"/>
                <w:snapToGrid w:val="0"/>
                <w:color w:val="auto"/>
                <w:sz w:val="18"/>
                <w:szCs w:val="18"/>
                <w:highlight w:val="none"/>
                <w:lang w:val="en-US" w:eastAsia="zh-CN"/>
              </w:rPr>
              <w:br w:type="textWrapping"/>
            </w:r>
            <w:r>
              <w:rPr>
                <w:rFonts w:hint="eastAsia" w:eastAsia="仿宋_GB2312" w:cs="仿宋_GB2312"/>
                <w:snapToGrid w:val="0"/>
                <w:color w:val="auto"/>
                <w:sz w:val="18"/>
                <w:szCs w:val="18"/>
                <w:highlight w:val="none"/>
                <w:lang w:val="en-US" w:eastAsia="zh-CN"/>
              </w:rPr>
              <w:t xml:space="preserve">  3.审查环节责任：对违法事实、证据资料、调查程序、法律适用、当事人陈述理由等进行审查，提出初步处理意见。（投资节能和信息化股）</w:t>
            </w:r>
            <w:r>
              <w:rPr>
                <w:rFonts w:hint="eastAsia" w:eastAsia="仿宋_GB2312" w:cs="仿宋_GB2312"/>
                <w:snapToGrid w:val="0"/>
                <w:color w:val="auto"/>
                <w:sz w:val="18"/>
                <w:szCs w:val="18"/>
                <w:highlight w:val="none"/>
                <w:lang w:val="en-US" w:eastAsia="zh-CN"/>
              </w:rPr>
              <w:br w:type="textWrapping"/>
            </w:r>
            <w:r>
              <w:rPr>
                <w:rFonts w:hint="eastAsia" w:eastAsia="仿宋_GB2312" w:cs="仿宋_GB2312"/>
                <w:snapToGrid w:val="0"/>
                <w:color w:val="auto"/>
                <w:sz w:val="18"/>
                <w:szCs w:val="18"/>
                <w:highlight w:val="none"/>
                <w:lang w:val="en-US" w:eastAsia="zh-CN"/>
              </w:rPr>
              <w:t xml:space="preserve">  4.告知环节责任：对违法事实、处理依据、处理意见告知，听取当事人陈述申辩。（投资节能和信息化股）</w:t>
            </w:r>
            <w:r>
              <w:rPr>
                <w:rFonts w:hint="eastAsia" w:eastAsia="仿宋_GB2312" w:cs="仿宋_GB2312"/>
                <w:snapToGrid w:val="0"/>
                <w:color w:val="auto"/>
                <w:sz w:val="18"/>
                <w:szCs w:val="18"/>
                <w:highlight w:val="none"/>
                <w:lang w:val="en-US" w:eastAsia="zh-CN"/>
              </w:rPr>
              <w:br w:type="textWrapping"/>
            </w:r>
            <w:r>
              <w:rPr>
                <w:rFonts w:hint="eastAsia" w:eastAsia="仿宋_GB2312" w:cs="仿宋_GB2312"/>
                <w:snapToGrid w:val="0"/>
                <w:color w:val="auto"/>
                <w:sz w:val="18"/>
                <w:szCs w:val="18"/>
                <w:highlight w:val="none"/>
                <w:lang w:val="en-US" w:eastAsia="zh-CN"/>
              </w:rPr>
              <w:t xml:space="preserve">  5.决定环节责任</w:t>
            </w:r>
            <w:r>
              <w:rPr>
                <w:rFonts w:hint="default" w:eastAsia="仿宋_GB2312" w:cs="仿宋_GB2312"/>
                <w:snapToGrid w:val="0"/>
                <w:color w:val="auto"/>
                <w:sz w:val="18"/>
                <w:szCs w:val="18"/>
                <w:highlight w:val="none"/>
                <w:lang w:val="en" w:eastAsia="zh-CN"/>
              </w:rPr>
              <w:t xml:space="preserve">  </w:t>
            </w:r>
            <w:r>
              <w:rPr>
                <w:rFonts w:hint="eastAsia" w:eastAsia="仿宋_GB2312" w:cs="仿宋_GB2312"/>
                <w:snapToGrid w:val="0"/>
                <w:color w:val="auto"/>
                <w:sz w:val="18"/>
                <w:szCs w:val="18"/>
                <w:highlight w:val="none"/>
                <w:lang w:val="en-US" w:eastAsia="zh-CN"/>
              </w:rPr>
              <w:t>根据违法事实以及当事人陈述意见作出监察处理意见（下达监察意见、责令限期改正等），涉及重大问题的组织集体审议；依法应当予以行政处罚的，按程序转入行政处罚程序办理处理决定，重大案件应组织集体审议。（投资节能和信息化股）</w:t>
            </w:r>
          </w:p>
          <w:p w14:paraId="0DB5186B">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highlight w:val="none"/>
                <w:u w:val="none"/>
              </w:rPr>
            </w:pPr>
            <w:r>
              <w:rPr>
                <w:rFonts w:hint="eastAsia" w:eastAsia="仿宋_GB2312" w:cs="仿宋_GB2312"/>
                <w:snapToGrid w:val="0"/>
                <w:color w:val="auto"/>
                <w:sz w:val="18"/>
                <w:szCs w:val="18"/>
                <w:highlight w:val="none"/>
                <w:lang w:val="en-US" w:eastAsia="zh-CN"/>
              </w:rPr>
              <w:t>6.其他法律法规规章文件规定应履行的责任。（投资节能和信息化股）</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A557">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eastAsia" w:eastAsia="仿宋_GB2312" w:cs="仿宋_GB2312"/>
                <w:snapToGrid w:val="0"/>
                <w:color w:val="auto"/>
                <w:sz w:val="18"/>
                <w:szCs w:val="18"/>
                <w:highlight w:val="none"/>
              </w:rPr>
            </w:pPr>
            <w:r>
              <w:rPr>
                <w:rFonts w:hint="eastAsia" w:ascii="仿宋_GB2312" w:hAnsi="宋体" w:eastAsia="仿宋_GB2312" w:cs="仿宋_GB2312"/>
                <w:i w:val="0"/>
                <w:iCs w:val="0"/>
                <w:color w:val="auto"/>
                <w:kern w:val="0"/>
                <w:sz w:val="20"/>
                <w:szCs w:val="20"/>
                <w:highlight w:val="none"/>
                <w:u w:val="none"/>
                <w:lang w:val="en-US" w:eastAsia="zh-CN" w:bidi="ar"/>
              </w:rPr>
              <w:t xml:space="preserve"> </w:t>
            </w:r>
            <w:r>
              <w:rPr>
                <w:rFonts w:hint="eastAsia" w:eastAsia="仿宋_GB2312" w:cs="仿宋_GB2312"/>
                <w:snapToGrid w:val="0"/>
                <w:color w:val="auto"/>
                <w:sz w:val="18"/>
                <w:szCs w:val="18"/>
                <w:highlight w:val="none"/>
              </w:rPr>
              <w:t>1</w:t>
            </w:r>
            <w:r>
              <w:rPr>
                <w:rFonts w:hint="eastAsia" w:eastAsia="仿宋_GB2312" w:cs="仿宋_GB2312"/>
                <w:snapToGrid w:val="0"/>
                <w:color w:val="auto"/>
                <w:sz w:val="18"/>
                <w:szCs w:val="18"/>
                <w:highlight w:val="none"/>
                <w:lang w:eastAsia="zh-CN"/>
              </w:rPr>
              <w:t>.</w:t>
            </w:r>
            <w:r>
              <w:rPr>
                <w:rFonts w:hint="eastAsia" w:ascii="Times New Roman" w:hAnsi="Times New Roman" w:eastAsia="仿宋_GB2312" w:cs="仿宋_GB2312"/>
                <w:i w:val="0"/>
                <w:snapToGrid w:val="0"/>
                <w:color w:val="auto"/>
                <w:kern w:val="2"/>
                <w:sz w:val="18"/>
                <w:szCs w:val="18"/>
                <w:highlight w:val="none"/>
                <w:u w:val="none"/>
                <w:lang w:val="en-US" w:eastAsia="zh-CN" w:bidi="ar"/>
              </w:rPr>
              <w:t>【法律】《中华人民共和国行政处罚法》第六十一条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p>
          <w:p w14:paraId="4FD59597">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rPr>
            </w:pPr>
            <w:r>
              <w:rPr>
                <w:rFonts w:hint="eastAsia" w:eastAsia="仿宋_GB2312" w:cs="仿宋_GB2312"/>
                <w:snapToGrid w:val="0"/>
                <w:color w:val="auto"/>
                <w:sz w:val="18"/>
                <w:szCs w:val="18"/>
                <w:highlight w:val="none"/>
              </w:rPr>
              <w:t>2.</w:t>
            </w:r>
            <w:r>
              <w:rPr>
                <w:rFonts w:hint="eastAsia" w:ascii="Times New Roman" w:hAnsi="Times New Roman" w:eastAsia="仿宋_GB2312" w:cs="仿宋_GB2312"/>
                <w:i w:val="0"/>
                <w:snapToGrid w:val="0"/>
                <w:color w:val="auto"/>
                <w:kern w:val="2"/>
                <w:sz w:val="18"/>
                <w:szCs w:val="18"/>
                <w:highlight w:val="none"/>
                <w:u w:val="none"/>
                <w:lang w:val="en-US" w:eastAsia="zh-CN" w:bidi="ar"/>
              </w:rPr>
              <w:t>【部门规章】《工业节能管理办法》（中华人民共和国工业和信息化委员会令第33号公布，2016年6月30日起施行）第二十条 工业节能监察应当主要采取现场监察方式，必要时可以采取书面监察等方式。现场监察应当由两名以上节能监察人员进行，可以采取勘察、采样、拍照、录像、查阅有关文件资料和账目，约见和询问有关人员，对用能产品、设备和生产工艺的能源利用状况进行监测和分析评价等措施。</w:t>
            </w:r>
            <w:r>
              <w:rPr>
                <w:rFonts w:hint="eastAsia" w:ascii="Times New Roman" w:hAnsi="Times New Roman" w:eastAsia="仿宋_GB2312" w:cs="仿宋_GB2312"/>
                <w:i w:val="0"/>
                <w:snapToGrid w:val="0"/>
                <w:color w:val="auto"/>
                <w:kern w:val="2"/>
                <w:sz w:val="18"/>
                <w:szCs w:val="18"/>
                <w:highlight w:val="none"/>
                <w:u w:val="none"/>
                <w:lang w:val="en-US" w:eastAsia="zh-CN" w:bidi="ar"/>
              </w:rPr>
              <w:br w:type="textWrapping"/>
            </w:r>
            <w:r>
              <w:rPr>
                <w:rFonts w:hint="eastAsia" w:eastAsia="仿宋_GB2312" w:cs="仿宋_GB2312"/>
                <w:i w:val="0"/>
                <w:snapToGrid w:val="0"/>
                <w:color w:val="auto"/>
                <w:kern w:val="2"/>
                <w:sz w:val="18"/>
                <w:szCs w:val="18"/>
                <w:highlight w:val="none"/>
                <w:u w:val="none"/>
                <w:lang w:val="en-US" w:eastAsia="zh-CN" w:bidi="ar"/>
              </w:rPr>
              <w:t xml:space="preserve">    </w:t>
            </w:r>
            <w:r>
              <w:rPr>
                <w:rFonts w:hint="eastAsia" w:eastAsia="仿宋_GB2312" w:cs="仿宋_GB2312"/>
                <w:snapToGrid w:val="0"/>
                <w:color w:val="auto"/>
                <w:sz w:val="18"/>
                <w:szCs w:val="18"/>
                <w:highlight w:val="none"/>
              </w:rPr>
              <w:t>3.</w:t>
            </w:r>
            <w:r>
              <w:rPr>
                <w:rFonts w:hint="eastAsia" w:ascii="Times New Roman" w:hAnsi="Times New Roman" w:eastAsia="仿宋_GB2312" w:cs="仿宋_GB2312"/>
                <w:i w:val="0"/>
                <w:snapToGrid w:val="0"/>
                <w:color w:val="auto"/>
                <w:kern w:val="2"/>
                <w:sz w:val="18"/>
                <w:szCs w:val="18"/>
                <w:highlight w:val="none"/>
                <w:u w:val="none"/>
                <w:lang w:val="en-US" w:eastAsia="zh-CN" w:bidi="ar"/>
              </w:rPr>
              <w:t>【部门规章】《工业节能管理办法》（中华人民共和国工业和信息化委员会令第33号公布，2016年6月30日起施行）第十七条 对工业企业实施的工业节能监察，应当于监察结束20个工作日内作出监察结论。监察结论为不合格的工业企业，由工业节能监察机构下达限期整改，无正当理由拒不整改或者整改后仍未达到要求的，依法予以处理。</w:t>
            </w:r>
            <w:r>
              <w:rPr>
                <w:rFonts w:hint="eastAsia" w:ascii="Times New Roman" w:hAnsi="Times New Roman" w:eastAsia="仿宋_GB2312" w:cs="仿宋_GB2312"/>
                <w:i w:val="0"/>
                <w:snapToGrid w:val="0"/>
                <w:color w:val="auto"/>
                <w:kern w:val="2"/>
                <w:sz w:val="18"/>
                <w:szCs w:val="18"/>
                <w:highlight w:val="none"/>
                <w:u w:val="none"/>
                <w:lang w:val="en-US" w:eastAsia="zh-CN" w:bidi="ar"/>
              </w:rPr>
              <w:br w:type="textWrapping"/>
            </w:r>
            <w:r>
              <w:rPr>
                <w:rFonts w:hint="eastAsia" w:eastAsia="仿宋_GB2312" w:cs="仿宋_GB2312"/>
                <w:i w:val="0"/>
                <w:snapToGrid w:val="0"/>
                <w:color w:val="auto"/>
                <w:kern w:val="2"/>
                <w:sz w:val="18"/>
                <w:szCs w:val="18"/>
                <w:highlight w:val="none"/>
                <w:u w:val="none"/>
                <w:lang w:val="en-US" w:eastAsia="zh-CN" w:bidi="ar"/>
              </w:rPr>
              <w:t xml:space="preserve">    </w:t>
            </w:r>
            <w:r>
              <w:rPr>
                <w:rFonts w:hint="eastAsia" w:eastAsia="仿宋_GB2312" w:cs="仿宋_GB2312"/>
                <w:snapToGrid w:val="0"/>
                <w:color w:val="auto"/>
                <w:sz w:val="18"/>
                <w:szCs w:val="18"/>
                <w:highlight w:val="none"/>
              </w:rPr>
              <w:t>4.【部门规章】《节能监察办法》（国家发展和改革委员会令第33号</w:t>
            </w:r>
            <w:r>
              <w:rPr>
                <w:rFonts w:hint="eastAsia" w:eastAsia="仿宋_GB2312" w:cs="仿宋_GB2312"/>
                <w:snapToGrid w:val="0"/>
                <w:color w:val="auto"/>
                <w:sz w:val="18"/>
                <w:szCs w:val="18"/>
                <w:highlight w:val="none"/>
                <w:lang w:eastAsia="zh-CN"/>
              </w:rPr>
              <w:t>，</w:t>
            </w:r>
            <w:r>
              <w:rPr>
                <w:rFonts w:hint="eastAsia" w:eastAsia="仿宋_GB2312" w:cs="仿宋_GB2312"/>
                <w:snapToGrid w:val="0"/>
                <w:color w:val="auto"/>
                <w:sz w:val="18"/>
                <w:szCs w:val="18"/>
                <w:highlight w:val="none"/>
                <w:lang w:val="en-US" w:eastAsia="zh-CN"/>
              </w:rPr>
              <w:t>2016年3月1日施行</w:t>
            </w:r>
            <w:r>
              <w:rPr>
                <w:rFonts w:hint="eastAsia" w:eastAsia="仿宋_GB2312" w:cs="仿宋_GB2312"/>
                <w:snapToGrid w:val="0"/>
                <w:color w:val="auto"/>
                <w:sz w:val="18"/>
                <w:szCs w:val="18"/>
                <w:highlight w:val="none"/>
              </w:rPr>
              <w:t>）第十八条</w:t>
            </w:r>
            <w:r>
              <w:rPr>
                <w:rFonts w:hint="default" w:eastAsia="仿宋_GB2312" w:cs="仿宋_GB2312"/>
                <w:snapToGrid w:val="0"/>
                <w:color w:val="auto"/>
                <w:sz w:val="18"/>
                <w:szCs w:val="18"/>
                <w:highlight w:val="none"/>
                <w:lang w:val="en"/>
              </w:rPr>
              <w:t xml:space="preserve">  </w:t>
            </w:r>
            <w:r>
              <w:rPr>
                <w:rFonts w:hint="eastAsia" w:eastAsia="仿宋_GB2312" w:cs="仿宋_GB2312"/>
                <w:snapToGrid w:val="0"/>
                <w:color w:val="auto"/>
                <w:sz w:val="18"/>
                <w:szCs w:val="18"/>
                <w:highlight w:val="none"/>
              </w:rPr>
              <w:t>被监察单位有违反节能法律、法规、规章和强制性节能标准行为的，节能监察机构应当下达限期整改通知书。</w:t>
            </w:r>
          </w:p>
          <w:p w14:paraId="240017A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rPr>
            </w:pPr>
            <w:r>
              <w:rPr>
                <w:rFonts w:hint="eastAsia" w:eastAsia="仿宋_GB2312" w:cs="仿宋_GB2312"/>
                <w:snapToGrid w:val="0"/>
                <w:color w:val="auto"/>
                <w:sz w:val="18"/>
                <w:szCs w:val="18"/>
                <w:highlight w:val="none"/>
              </w:rPr>
              <w:t>被监察单位有不合理用能行为，但尚未违反节能法律、法规、规章和强制性节能标准的，节能监察机构应当下达节能监察建议书，提出节能建议或者节能措施。</w:t>
            </w:r>
          </w:p>
          <w:p w14:paraId="12070DA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rPr>
            </w:pPr>
            <w:r>
              <w:rPr>
                <w:rFonts w:hint="eastAsia" w:eastAsia="仿宋_GB2312" w:cs="仿宋_GB2312"/>
                <w:snapToGrid w:val="0"/>
                <w:color w:val="auto"/>
                <w:sz w:val="18"/>
                <w:szCs w:val="18"/>
                <w:highlight w:val="none"/>
              </w:rPr>
              <w:t>节能监察机构在作出限期整改通知书前，应当充分听取被监察单位的意见，对被监察单位提出的事实、理由和证据应当进行复核。被监察单位提出的事实、理由和证据成立的，节能监察机构应当采纳。</w:t>
            </w:r>
          </w:p>
          <w:p w14:paraId="4EACB95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auto"/>
                <w:kern w:val="2"/>
                <w:sz w:val="18"/>
                <w:szCs w:val="18"/>
                <w:highlight w:val="none"/>
                <w:u w:val="none"/>
                <w:lang w:val="en-US" w:eastAsia="zh-CN" w:bidi="ar"/>
              </w:rPr>
            </w:pPr>
            <w:r>
              <w:rPr>
                <w:rFonts w:hint="eastAsia" w:ascii="Times New Roman" w:hAnsi="Times New Roman" w:eastAsia="仿宋_GB2312" w:cs="仿宋_GB2312"/>
                <w:i w:val="0"/>
                <w:snapToGrid w:val="0"/>
                <w:color w:val="auto"/>
                <w:kern w:val="2"/>
                <w:sz w:val="18"/>
                <w:szCs w:val="18"/>
                <w:highlight w:val="none"/>
                <w:u w:val="none"/>
                <w:lang w:val="en-US" w:eastAsia="zh-CN" w:bidi="ar"/>
              </w:rPr>
              <w:t>限期整改通知书或者节能监察建议书应当在对本单位的节能监察活动结束后十五日内送达被监察单位。被监察单位对限期整改通知书有异议的，可依法申请行政复议或者提起行政诉讼。</w:t>
            </w:r>
          </w:p>
          <w:p w14:paraId="26224BA0">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highlight w:val="none"/>
                <w:u w:val="none"/>
              </w:rPr>
            </w:pPr>
            <w:r>
              <w:rPr>
                <w:rFonts w:hint="eastAsia" w:ascii="Times New Roman" w:hAnsi="Times New Roman" w:eastAsia="仿宋_GB2312" w:cs="仿宋_GB2312"/>
                <w:i w:val="0"/>
                <w:snapToGrid w:val="0"/>
                <w:color w:val="auto"/>
                <w:kern w:val="2"/>
                <w:sz w:val="18"/>
                <w:szCs w:val="18"/>
                <w:highlight w:val="none"/>
                <w:u w:val="none"/>
                <w:lang w:val="en-US" w:eastAsia="zh-CN" w:bidi="ar"/>
              </w:rPr>
              <w:t>5.同4。</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038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auto"/>
                <w:sz w:val="18"/>
                <w:szCs w:val="18"/>
                <w:highlight w:val="none"/>
                <w:lang w:val="en"/>
              </w:rPr>
            </w:pPr>
            <w:r>
              <w:rPr>
                <w:rFonts w:hint="eastAsia" w:eastAsia="仿宋_GB2312" w:cs="仿宋_GB2312"/>
                <w:snapToGrid w:val="0"/>
                <w:color w:val="auto"/>
                <w:sz w:val="18"/>
                <w:szCs w:val="18"/>
                <w:highlight w:val="none"/>
              </w:rPr>
              <w:t>因不履行或不正确履行行政职责，有下列情形的，行政机关及相关工作人员应承担相应责任</w:t>
            </w:r>
            <w:r>
              <w:rPr>
                <w:rFonts w:hint="default" w:eastAsia="仿宋_GB2312" w:cs="仿宋_GB2312"/>
                <w:snapToGrid w:val="0"/>
                <w:color w:val="auto"/>
                <w:sz w:val="18"/>
                <w:szCs w:val="18"/>
                <w:highlight w:val="none"/>
                <w:lang w:val="en"/>
              </w:rPr>
              <w:t xml:space="preserve">  </w:t>
            </w:r>
          </w:p>
          <w:p w14:paraId="53CA15AF">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lang w:eastAsia="zh-CN"/>
              </w:rPr>
            </w:pPr>
            <w:r>
              <w:rPr>
                <w:rFonts w:hint="eastAsia" w:eastAsia="仿宋_GB2312" w:cs="仿宋_GB2312"/>
                <w:snapToGrid w:val="0"/>
                <w:color w:val="auto"/>
                <w:sz w:val="18"/>
                <w:szCs w:val="18"/>
                <w:highlight w:val="none"/>
              </w:rPr>
              <w:t>1.不履行或不正确履行职责，对节能监察没有进行合法指导和监督的</w:t>
            </w:r>
            <w:r>
              <w:rPr>
                <w:rFonts w:hint="eastAsia" w:eastAsia="仿宋_GB2312" w:cs="仿宋_GB2312"/>
                <w:snapToGrid w:val="0"/>
                <w:color w:val="auto"/>
                <w:sz w:val="18"/>
                <w:szCs w:val="18"/>
                <w:highlight w:val="none"/>
                <w:lang w:eastAsia="zh-CN"/>
              </w:rPr>
              <w:t>；（机关纪委）</w:t>
            </w:r>
          </w:p>
          <w:p w14:paraId="491E18A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lang w:eastAsia="zh-CN"/>
              </w:rPr>
            </w:pPr>
            <w:r>
              <w:rPr>
                <w:rFonts w:hint="eastAsia" w:eastAsia="仿宋_GB2312" w:cs="仿宋_GB2312"/>
                <w:snapToGrid w:val="0"/>
                <w:color w:val="auto"/>
                <w:sz w:val="18"/>
                <w:szCs w:val="18"/>
                <w:highlight w:val="none"/>
              </w:rPr>
              <w:t>2.在监督检查中玩忽职守、徇私舞弊的</w:t>
            </w:r>
            <w:r>
              <w:rPr>
                <w:rFonts w:hint="eastAsia" w:eastAsia="仿宋_GB2312" w:cs="仿宋_GB2312"/>
                <w:snapToGrid w:val="0"/>
                <w:color w:val="auto"/>
                <w:sz w:val="18"/>
                <w:szCs w:val="18"/>
                <w:highlight w:val="none"/>
                <w:lang w:eastAsia="zh-CN"/>
              </w:rPr>
              <w:t>；（机关纪委）</w:t>
            </w:r>
          </w:p>
          <w:p w14:paraId="755D9A9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auto"/>
                <w:sz w:val="18"/>
                <w:szCs w:val="18"/>
                <w:highlight w:val="none"/>
                <w:lang w:eastAsia="zh-CN"/>
              </w:rPr>
            </w:pPr>
            <w:r>
              <w:rPr>
                <w:rFonts w:hint="eastAsia" w:eastAsia="仿宋_GB2312" w:cs="仿宋_GB2312"/>
                <w:snapToGrid w:val="0"/>
                <w:color w:val="auto"/>
                <w:sz w:val="18"/>
                <w:szCs w:val="18"/>
                <w:highlight w:val="none"/>
              </w:rPr>
              <w:t>3.在监督检查中滥用职权，谋取不正当利益和发生腐败行为的</w:t>
            </w:r>
            <w:r>
              <w:rPr>
                <w:rFonts w:hint="eastAsia" w:eastAsia="仿宋_GB2312" w:cs="仿宋_GB2312"/>
                <w:snapToGrid w:val="0"/>
                <w:color w:val="auto"/>
                <w:sz w:val="18"/>
                <w:szCs w:val="18"/>
                <w:highlight w:val="none"/>
                <w:lang w:eastAsia="zh-CN"/>
              </w:rPr>
              <w:t>；（机关纪委）</w:t>
            </w:r>
          </w:p>
          <w:p w14:paraId="11EC9F83">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highlight w:val="none"/>
                <w:u w:val="none"/>
              </w:rPr>
            </w:pPr>
            <w:r>
              <w:rPr>
                <w:rFonts w:hint="eastAsia" w:eastAsia="仿宋_GB2312" w:cs="仿宋_GB2312"/>
                <w:snapToGrid w:val="0"/>
                <w:color w:val="auto"/>
                <w:sz w:val="18"/>
                <w:szCs w:val="18"/>
                <w:highlight w:val="none"/>
              </w:rPr>
              <w:t>4.其他违反法律法规规章文件规定的行为。</w:t>
            </w:r>
            <w:r>
              <w:rPr>
                <w:rFonts w:hint="eastAsia" w:eastAsia="仿宋_GB2312" w:cs="仿宋_GB2312"/>
                <w:snapToGrid w:val="0"/>
                <w:color w:val="auto"/>
                <w:sz w:val="18"/>
                <w:szCs w:val="18"/>
                <w:highlight w:val="none"/>
                <w:lang w:eastAsia="zh-CN"/>
              </w:rPr>
              <w:t>（机关纪委）</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E93D">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eastAsia" w:ascii="Times New Roman" w:hAnsi="Times New Roman" w:eastAsia="仿宋_GB2312" w:cs="仿宋_GB2312"/>
                <w:i w:val="0"/>
                <w:snapToGrid w:val="0"/>
                <w:color w:val="auto"/>
                <w:kern w:val="2"/>
                <w:sz w:val="18"/>
                <w:szCs w:val="18"/>
                <w:highlight w:val="none"/>
                <w:u w:val="none"/>
                <w:lang w:val="en-US" w:eastAsia="zh-CN" w:bidi="ar"/>
              </w:rPr>
            </w:pPr>
            <w:r>
              <w:rPr>
                <w:rFonts w:hint="eastAsia" w:ascii="仿宋_GB2312" w:hAnsi="宋体" w:eastAsia="仿宋_GB2312" w:cs="仿宋_GB2312"/>
                <w:i w:val="0"/>
                <w:iCs w:val="0"/>
                <w:color w:val="auto"/>
                <w:kern w:val="0"/>
                <w:sz w:val="20"/>
                <w:szCs w:val="20"/>
                <w:highlight w:val="none"/>
                <w:u w:val="none"/>
                <w:lang w:val="en-US" w:eastAsia="zh-CN" w:bidi="ar"/>
              </w:rPr>
              <w:t xml:space="preserve">  </w:t>
            </w:r>
            <w:r>
              <w:rPr>
                <w:rFonts w:hint="eastAsia" w:ascii="Times New Roman" w:hAnsi="Times New Roman" w:eastAsia="仿宋_GB2312" w:cs="仿宋_GB2312"/>
                <w:i w:val="0"/>
                <w:snapToGrid w:val="0"/>
                <w:color w:val="auto"/>
                <w:kern w:val="2"/>
                <w:sz w:val="18"/>
                <w:szCs w:val="18"/>
                <w:highlight w:val="none"/>
                <w:u w:val="none"/>
                <w:lang w:val="en-US" w:eastAsia="zh-CN" w:bidi="ar"/>
              </w:rPr>
              <w:t>1</w:t>
            </w:r>
            <w:r>
              <w:rPr>
                <w:rFonts w:hint="eastAsia" w:eastAsia="仿宋_GB2312" w:cs="仿宋_GB2312"/>
                <w:i w:val="0"/>
                <w:snapToGrid w:val="0"/>
                <w:color w:val="auto"/>
                <w:kern w:val="2"/>
                <w:sz w:val="18"/>
                <w:szCs w:val="18"/>
                <w:highlight w:val="none"/>
                <w:u w:val="none"/>
                <w:lang w:val="en-US" w:eastAsia="zh-CN" w:bidi="ar"/>
              </w:rPr>
              <w:t>-1</w:t>
            </w:r>
            <w:r>
              <w:rPr>
                <w:rFonts w:hint="eastAsia" w:ascii="Times New Roman" w:hAnsi="Times New Roman" w:eastAsia="仿宋_GB2312" w:cs="仿宋_GB2312"/>
                <w:i w:val="0"/>
                <w:snapToGrid w:val="0"/>
                <w:color w:val="auto"/>
                <w:kern w:val="2"/>
                <w:sz w:val="18"/>
                <w:szCs w:val="18"/>
                <w:highlight w:val="none"/>
                <w:u w:val="none"/>
                <w:lang w:val="en-US" w:eastAsia="zh-CN" w:bidi="ar"/>
              </w:rPr>
              <w:t>.【法律】《中华人民共和国公职人员政务处分法》第三十八条 有下列行为之一，情节较重的，予以警告、记过或者记大过；情节严重的，予以降级或者撤职</w:t>
            </w:r>
            <w:r>
              <w:rPr>
                <w:rFonts w:hint="eastAsia" w:eastAsia="仿宋_GB2312" w:cs="仿宋_GB2312"/>
                <w:i w:val="0"/>
                <w:snapToGrid w:val="0"/>
                <w:color w:val="auto"/>
                <w:kern w:val="2"/>
                <w:sz w:val="18"/>
                <w:szCs w:val="18"/>
                <w:highlight w:val="none"/>
                <w:u w:val="none"/>
                <w:lang w:val="en-US" w:eastAsia="zh-CN" w:bidi="ar"/>
              </w:rPr>
              <w:t>。</w:t>
            </w:r>
            <w:r>
              <w:rPr>
                <w:rFonts w:hint="eastAsia" w:ascii="Times New Roman" w:hAnsi="Times New Roman" w:eastAsia="仿宋_GB2312" w:cs="仿宋_GB2312"/>
                <w:i w:val="0"/>
                <w:snapToGrid w:val="0"/>
                <w:color w:val="auto"/>
                <w:kern w:val="2"/>
                <w:sz w:val="18"/>
                <w:szCs w:val="18"/>
                <w:highlight w:val="none"/>
                <w:u w:val="none"/>
                <w:lang w:val="en-US" w:eastAsia="zh-CN" w:bidi="ar"/>
              </w:rPr>
              <w:br w:type="textWrapping"/>
            </w:r>
            <w:r>
              <w:rPr>
                <w:rFonts w:hint="eastAsia" w:eastAsia="仿宋_GB2312" w:cs="仿宋_GB2312"/>
                <w:i w:val="0"/>
                <w:snapToGrid w:val="0"/>
                <w:color w:val="auto"/>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auto"/>
                <w:kern w:val="2"/>
                <w:sz w:val="18"/>
                <w:szCs w:val="18"/>
                <w:highlight w:val="none"/>
                <w:u w:val="none"/>
                <w:lang w:val="en-US" w:eastAsia="zh-CN" w:bidi="ar"/>
              </w:rPr>
              <w:t>（一）违反规定向管理服务对象收取、摊派财物的；（二）在管理服务活动中故意刁难、吃拿卡要的；    （三）在管理服务活动中态度恶劣粗暴，造成不良后果或者影响的</w:t>
            </w:r>
            <w:r>
              <w:rPr>
                <w:rFonts w:hint="eastAsia" w:eastAsia="仿宋_GB2312" w:cs="仿宋_GB2312"/>
                <w:i w:val="0"/>
                <w:snapToGrid w:val="0"/>
                <w:color w:val="auto"/>
                <w:kern w:val="2"/>
                <w:sz w:val="18"/>
                <w:szCs w:val="18"/>
                <w:highlight w:val="none"/>
                <w:u w:val="none"/>
                <w:lang w:val="en-US" w:eastAsia="zh-CN" w:bidi="ar"/>
              </w:rPr>
              <w:t>；</w:t>
            </w:r>
            <w:r>
              <w:rPr>
                <w:rFonts w:hint="eastAsia" w:ascii="Times New Roman" w:hAnsi="Times New Roman" w:eastAsia="仿宋_GB2312" w:cs="仿宋_GB2312"/>
                <w:i w:val="0"/>
                <w:snapToGrid w:val="0"/>
                <w:color w:val="auto"/>
                <w:kern w:val="2"/>
                <w:sz w:val="18"/>
                <w:szCs w:val="18"/>
                <w:highlight w:val="none"/>
                <w:u w:val="none"/>
                <w:lang w:val="en-US" w:eastAsia="zh-CN" w:bidi="ar"/>
              </w:rPr>
              <w:t xml:space="preserve">    （四）不按照规定公开工作信息，侵犯管理服务对象知情权，造成不良后果或者影响的； （五）其他侵犯管理服务对象利益的行为，造成不良后果或者影响的。</w:t>
            </w:r>
          </w:p>
          <w:p w14:paraId="129B6C3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snapToGrid w:val="0"/>
                <w:color w:val="auto"/>
                <w:sz w:val="18"/>
                <w:szCs w:val="18"/>
                <w:highlight w:val="none"/>
                <w:u w:val="single"/>
                <w:lang w:bidi="ar"/>
              </w:rPr>
            </w:pPr>
            <w:r>
              <w:rPr>
                <w:rFonts w:hint="eastAsia" w:ascii="Times New Roman" w:hAnsi="Times New Roman" w:eastAsia="仿宋_GB2312" w:cs="仿宋_GB2312"/>
                <w:i w:val="0"/>
                <w:snapToGrid w:val="0"/>
                <w:color w:val="auto"/>
                <w:kern w:val="2"/>
                <w:sz w:val="18"/>
                <w:szCs w:val="18"/>
                <w:highlight w:val="none"/>
                <w:u w:val="none"/>
                <w:lang w:val="en-US" w:eastAsia="zh-CN" w:bidi="ar"/>
              </w:rPr>
              <w:t>有前款第一项、第二项和第五项行为，情节特别严重的，予以开除。</w:t>
            </w:r>
            <w:r>
              <w:rPr>
                <w:rFonts w:hint="eastAsia" w:ascii="Times New Roman" w:hAnsi="Times New Roman" w:eastAsia="仿宋_GB2312" w:cs="仿宋_GB2312"/>
                <w:i w:val="0"/>
                <w:snapToGrid w:val="0"/>
                <w:color w:val="auto"/>
                <w:kern w:val="2"/>
                <w:sz w:val="18"/>
                <w:szCs w:val="18"/>
                <w:highlight w:val="none"/>
                <w:u w:val="none"/>
                <w:lang w:val="en-US" w:eastAsia="zh-CN" w:bidi="ar"/>
              </w:rPr>
              <w:br w:type="textWrapping"/>
            </w:r>
            <w:r>
              <w:rPr>
                <w:rFonts w:hint="eastAsia" w:eastAsia="仿宋_GB2312" w:cs="仿宋_GB2312"/>
                <w:i w:val="0"/>
                <w:snapToGrid w:val="0"/>
                <w:color w:val="auto"/>
                <w:kern w:val="2"/>
                <w:sz w:val="18"/>
                <w:szCs w:val="18"/>
                <w:highlight w:val="none"/>
                <w:u w:val="none"/>
                <w:lang w:val="en-US" w:eastAsia="zh-CN" w:bidi="ar"/>
              </w:rPr>
              <w:t xml:space="preserve">    1-2</w:t>
            </w:r>
            <w:r>
              <w:rPr>
                <w:rFonts w:hint="default" w:eastAsia="仿宋_GB2312" w:cs="仿宋_GB2312"/>
                <w:i w:val="0"/>
                <w:snapToGrid w:val="0"/>
                <w:color w:val="auto"/>
                <w:kern w:val="2"/>
                <w:sz w:val="18"/>
                <w:szCs w:val="18"/>
                <w:highlight w:val="none"/>
                <w:u w:val="none"/>
                <w:lang w:val="en" w:eastAsia="zh-CN" w:bidi="ar"/>
              </w:rPr>
              <w:t>.</w:t>
            </w:r>
            <w:r>
              <w:rPr>
                <w:rFonts w:hint="eastAsia" w:ascii="Times New Roman" w:hAnsi="Times New Roman" w:eastAsia="仿宋_GB2312" w:cs="仿宋_GB2312"/>
                <w:i w:val="0"/>
                <w:snapToGrid w:val="0"/>
                <w:color w:val="auto"/>
                <w:kern w:val="2"/>
                <w:sz w:val="18"/>
                <w:szCs w:val="18"/>
                <w:highlight w:val="none"/>
                <w:u w:val="none"/>
                <w:lang w:val="en-US" w:eastAsia="zh-CN" w:bidi="ar"/>
              </w:rPr>
              <w:t>【法律】《中华人民共和国公职人员政务处分法》第三十九条 有下列行为之一，造成不良后果或者影响的，予以警告、记过或者记大过；情节较重的，予以降级或者撤职；情节严重的，予以开除</w:t>
            </w:r>
            <w:r>
              <w:rPr>
                <w:rFonts w:hint="eastAsia" w:eastAsia="仿宋_GB2312" w:cs="仿宋_GB2312"/>
                <w:i w:val="0"/>
                <w:snapToGrid w:val="0"/>
                <w:color w:val="auto"/>
                <w:kern w:val="2"/>
                <w:sz w:val="18"/>
                <w:szCs w:val="18"/>
                <w:highlight w:val="none"/>
                <w:u w:val="none"/>
                <w:lang w:val="en-US" w:eastAsia="zh-CN" w:bidi="ar"/>
              </w:rPr>
              <w:t>。</w:t>
            </w:r>
            <w:r>
              <w:rPr>
                <w:rFonts w:hint="eastAsia" w:ascii="Times New Roman" w:hAnsi="Times New Roman" w:eastAsia="仿宋_GB2312" w:cs="仿宋_GB2312"/>
                <w:i w:val="0"/>
                <w:snapToGrid w:val="0"/>
                <w:color w:val="auto"/>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auto"/>
                <w:kern w:val="2"/>
                <w:sz w:val="18"/>
                <w:szCs w:val="18"/>
                <w:highlight w:val="none"/>
                <w:u w:val="none"/>
                <w:lang w:val="en-US" w:eastAsia="zh-CN" w:bidi="ar"/>
              </w:rPr>
              <w:t xml:space="preserve">     （一）滥用职权，危害国家利益、社会公共利益或者侵害公民、法人、其他组织合法权益的</w:t>
            </w:r>
            <w:r>
              <w:rPr>
                <w:rFonts w:hint="eastAsia" w:eastAsia="仿宋_GB2312" w:cs="仿宋_GB2312"/>
                <w:i w:val="0"/>
                <w:snapToGrid w:val="0"/>
                <w:color w:val="auto"/>
                <w:kern w:val="2"/>
                <w:sz w:val="18"/>
                <w:szCs w:val="18"/>
                <w:highlight w:val="none"/>
                <w:u w:val="none"/>
                <w:lang w:val="en-US" w:eastAsia="zh-CN" w:bidi="ar"/>
              </w:rPr>
              <w:t>；</w:t>
            </w:r>
            <w:r>
              <w:rPr>
                <w:rFonts w:hint="eastAsia" w:ascii="Times New Roman" w:hAnsi="Times New Roman" w:eastAsia="仿宋_GB2312" w:cs="仿宋_GB2312"/>
                <w:i w:val="0"/>
                <w:snapToGrid w:val="0"/>
                <w:color w:val="auto"/>
                <w:kern w:val="2"/>
                <w:sz w:val="18"/>
                <w:szCs w:val="18"/>
                <w:highlight w:val="none"/>
                <w:u w:val="none"/>
                <w:lang w:val="en-US" w:eastAsia="zh-CN" w:bidi="ar"/>
              </w:rPr>
              <w:t>（二）不履行或者不正确履行职责，玩忽职守，贻误工作的；（三）工作中有形式主义、官僚主义行为的；（四）工作中有弄虚作假，误导、欺骗行为的；（五）泄露国家秘密、工作秘密，或者泄露因履行职责掌握的商业秘密、个人隐私的。</w:t>
            </w:r>
          </w:p>
          <w:p w14:paraId="3CD8FFE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ascii="Times New Roman" w:hAnsi="Times New Roman" w:eastAsia="仿宋_GB2312" w:cs="仿宋_GB2312"/>
                <w:i w:val="0"/>
                <w:snapToGrid w:val="0"/>
                <w:color w:val="auto"/>
                <w:kern w:val="2"/>
                <w:sz w:val="18"/>
                <w:szCs w:val="18"/>
                <w:highlight w:val="none"/>
                <w:u w:val="none"/>
                <w:lang w:val="en-US" w:eastAsia="zh-CN" w:bidi="ar"/>
              </w:rPr>
            </w:pPr>
            <w:r>
              <w:rPr>
                <w:rFonts w:hint="eastAsia" w:ascii="Times New Roman" w:hAnsi="Times New Roman" w:eastAsia="仿宋_GB2312" w:cs="仿宋_GB2312"/>
                <w:i w:val="0"/>
                <w:snapToGrid w:val="0"/>
                <w:color w:val="auto"/>
                <w:kern w:val="2"/>
                <w:sz w:val="18"/>
                <w:szCs w:val="18"/>
                <w:highlight w:val="none"/>
                <w:u w:val="none"/>
                <w:lang w:val="en-US" w:eastAsia="zh-CN" w:bidi="ar"/>
              </w:rPr>
              <w:t>2</w:t>
            </w:r>
            <w:r>
              <w:rPr>
                <w:rFonts w:hint="default" w:ascii="Times New Roman" w:hAnsi="Times New Roman" w:eastAsia="仿宋_GB2312" w:cs="仿宋_GB2312"/>
                <w:i w:val="0"/>
                <w:snapToGrid w:val="0"/>
                <w:color w:val="auto"/>
                <w:kern w:val="2"/>
                <w:sz w:val="18"/>
                <w:szCs w:val="18"/>
                <w:highlight w:val="none"/>
                <w:u w:val="none"/>
                <w:lang w:val="en-US" w:eastAsia="zh-CN" w:bidi="ar"/>
              </w:rPr>
              <w:t>.【法律】《节约能源法》第八十六条　国家工作人员在节能管理工作中滥用职权、玩忽职守、徇私舞弊，构成犯罪的，依法追究刑事责任；尚不构成犯罪的，依法给予处分。</w:t>
            </w:r>
          </w:p>
          <w:p w14:paraId="04E3F4F8">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highlight w:val="none"/>
                <w:u w:val="none"/>
              </w:rPr>
            </w:pPr>
            <w:r>
              <w:rPr>
                <w:rFonts w:hint="eastAsia" w:eastAsia="仿宋_GB2312" w:cs="仿宋_GB2312"/>
                <w:i w:val="0"/>
                <w:snapToGrid w:val="0"/>
                <w:color w:val="auto"/>
                <w:kern w:val="2"/>
                <w:sz w:val="18"/>
                <w:szCs w:val="18"/>
                <w:highlight w:val="none"/>
                <w:u w:val="none"/>
                <w:lang w:val="en-US" w:eastAsia="zh-CN" w:bidi="ar"/>
              </w:rPr>
              <w:t>3.同1,同2。</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D37C">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highlight w:val="none"/>
                <w:u w:val="none"/>
              </w:rPr>
            </w:pPr>
            <w:r>
              <w:rPr>
                <w:rFonts w:hint="eastAsia" w:ascii="Times New Roman" w:hAnsi="Times New Roman" w:eastAsia="仿宋_GB2312" w:cs="仿宋_GB2312"/>
                <w:snapToGrid w:val="0"/>
                <w:color w:val="auto"/>
                <w:sz w:val="18"/>
                <w:szCs w:val="18"/>
                <w:highlight w:val="none"/>
                <w:lang w:val="en-US" w:eastAsia="zh-CN"/>
              </w:rPr>
              <w:t>法律法规规章规定的免责情形</w:t>
            </w:r>
            <w:r>
              <w:rPr>
                <w:rFonts w:hint="eastAsia" w:eastAsia="仿宋_GB2312" w:cs="仿宋_GB2312"/>
                <w:snapToGrid w:val="0"/>
                <w:color w:val="auto"/>
                <w:sz w:val="18"/>
                <w:szCs w:val="18"/>
                <w:highlight w:val="none"/>
              </w:rPr>
              <w:t>以及市委、政府</w:t>
            </w:r>
            <w:r>
              <w:rPr>
                <w:rFonts w:hint="eastAsia" w:eastAsia="仿宋_GB2312" w:cs="仿宋_GB2312"/>
                <w:snapToGrid w:val="0"/>
                <w:color w:val="auto"/>
                <w:sz w:val="18"/>
                <w:szCs w:val="18"/>
                <w:highlight w:val="none"/>
                <w:lang w:eastAsia="zh-CN"/>
              </w:rPr>
              <w:t>、县委、县政府</w:t>
            </w:r>
            <w:r>
              <w:rPr>
                <w:rFonts w:hint="eastAsia" w:eastAsia="仿宋_GB2312" w:cs="仿宋_GB2312"/>
                <w:snapToGrid w:val="0"/>
                <w:color w:val="auto"/>
                <w:sz w:val="18"/>
                <w:szCs w:val="18"/>
                <w:highlight w:val="none"/>
              </w:rPr>
              <w:t>有关文件中明确的免情形</w:t>
            </w:r>
            <w:r>
              <w:rPr>
                <w:rFonts w:hint="eastAsia" w:ascii="Times New Roman" w:hAnsi="Times New Roman" w:eastAsia="仿宋_GB2312" w:cs="仿宋_GB2312"/>
                <w:snapToGrid w:val="0"/>
                <w:color w:val="auto"/>
                <w:sz w:val="18"/>
                <w:szCs w:val="18"/>
                <w:highlight w:val="none"/>
                <w:lang w:val="en-US" w:eastAsia="zh-CN"/>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5FBC">
            <w:pPr>
              <w:keepNext w:val="0"/>
              <w:keepLines w:val="0"/>
              <w:widowControl/>
              <w:suppressLineNumbers w:val="0"/>
              <w:jc w:val="left"/>
              <w:textAlignment w:val="center"/>
              <w:rPr>
                <w:rFonts w:hint="eastAsia" w:ascii="仿宋_GB2312" w:hAnsi="宋体" w:eastAsia="仿宋_GB2312" w:cs="仿宋_GB2312"/>
                <w:i w:val="0"/>
                <w:iCs w:val="0"/>
                <w:color w:val="auto"/>
                <w:sz w:val="20"/>
                <w:szCs w:val="20"/>
                <w:highlight w:val="none"/>
                <w:u w:val="none"/>
              </w:rPr>
            </w:pPr>
          </w:p>
        </w:tc>
      </w:tr>
      <w:tr w14:paraId="112B5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F3C0476">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sz w:val="20"/>
                <w:szCs w:val="20"/>
                <w:u w:val="none"/>
                <w:lang w:val="en-US"/>
              </w:rPr>
              <w:t>2</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1EEE67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50B1FD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对阻碍、拒绝节能监察的行政处罚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2332772">
            <w:pPr>
              <w:jc w:val="both"/>
              <w:rPr>
                <w:rFonts w:hint="eastAsia" w:ascii="仿宋_GB2312" w:hAnsi="宋体" w:eastAsia="仿宋_GB2312" w:cs="仿宋_GB2312"/>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83D45B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B507EC7">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投资节能和信息化股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908A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1.【法律】《中华人民共和国节约能源法》第十二条</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县级以上人民政府管理节能工作的部门和有关部门应当在各自的职责范围内，加强对节能法律、法规和节能标准执行情况的监督检查，依法查处违法用能行为。</w:t>
            </w:r>
          </w:p>
          <w:p w14:paraId="5A2EABA3">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2.【</w:t>
            </w:r>
            <w:r>
              <w:rPr>
                <w:rFonts w:hint="eastAsia" w:eastAsia="仿宋_GB2312" w:cs="仿宋_GB2312"/>
                <w:snapToGrid w:val="0"/>
                <w:color w:val="000000"/>
                <w:sz w:val="18"/>
                <w:szCs w:val="18"/>
                <w:highlight w:val="none"/>
                <w:lang w:eastAsia="zh-CN"/>
              </w:rPr>
              <w:t>省级</w:t>
            </w:r>
            <w:r>
              <w:rPr>
                <w:rFonts w:hint="eastAsia" w:eastAsia="仿宋_GB2312" w:cs="仿宋_GB2312"/>
                <w:snapToGrid w:val="0"/>
                <w:color w:val="000000"/>
                <w:sz w:val="18"/>
                <w:szCs w:val="18"/>
                <w:highlight w:val="none"/>
              </w:rPr>
              <w:t>地方性法规】《广西壮族自治区实施〈中华人民共和国节约能源法〉办法》（广西壮族自治区人民代表大会常务委员会公告</w:t>
            </w:r>
            <w:r>
              <w:rPr>
                <w:rFonts w:hint="eastAsia" w:eastAsia="仿宋_GB2312" w:cs="仿宋_GB2312"/>
                <w:snapToGrid w:val="0"/>
                <w:color w:val="000000"/>
                <w:sz w:val="18"/>
                <w:szCs w:val="18"/>
                <w:highlight w:val="none"/>
                <w:lang w:val="en-US" w:eastAsia="zh-CN"/>
              </w:rPr>
              <w:t>13届</w:t>
            </w:r>
            <w:r>
              <w:rPr>
                <w:rFonts w:hint="eastAsia" w:eastAsia="仿宋_GB2312" w:cs="仿宋_GB2312"/>
                <w:snapToGrid w:val="0"/>
                <w:color w:val="000000"/>
                <w:sz w:val="18"/>
                <w:szCs w:val="18"/>
                <w:highlight w:val="none"/>
              </w:rPr>
              <w:t>第7号</w:t>
            </w:r>
            <w:r>
              <w:rPr>
                <w:rFonts w:hint="eastAsia" w:eastAsia="仿宋_GB2312" w:cs="仿宋_GB2312"/>
                <w:snapToGrid w:val="0"/>
                <w:color w:val="000000"/>
                <w:sz w:val="18"/>
                <w:szCs w:val="18"/>
                <w:highlight w:val="none"/>
                <w:lang w:eastAsia="zh-CN"/>
              </w:rPr>
              <w:t>公布，</w:t>
            </w:r>
            <w:r>
              <w:rPr>
                <w:rFonts w:hint="eastAsia" w:eastAsia="仿宋_GB2312" w:cs="仿宋_GB2312"/>
                <w:snapToGrid w:val="0"/>
                <w:color w:val="000000"/>
                <w:sz w:val="18"/>
                <w:szCs w:val="18"/>
                <w:highlight w:val="none"/>
                <w:lang w:val="en-US" w:eastAsia="zh-CN"/>
              </w:rPr>
              <w:t>2018年修正，2018年9月30日起实施</w:t>
            </w:r>
            <w:r>
              <w:rPr>
                <w:rFonts w:hint="eastAsia" w:eastAsia="仿宋_GB2312" w:cs="仿宋_GB2312"/>
                <w:snapToGrid w:val="0"/>
                <w:color w:val="000000"/>
                <w:sz w:val="18"/>
                <w:szCs w:val="18"/>
                <w:highlight w:val="none"/>
              </w:rPr>
              <w:t>）第三十四条</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用能单位阻碍或者拒绝接受节能监督检查的，由县级以上人民政府有关节能监督管理部门按照职权予以警告，责令限期改正；逾期不改正的，可以处五千元以上五万元以下罚款。</w:t>
            </w:r>
            <w:r>
              <w:rPr>
                <w:rFonts w:hint="eastAsia" w:eastAsia="仿宋_GB2312" w:cs="仿宋_GB2312"/>
                <w:snapToGrid w:val="0"/>
                <w:color w:val="000000"/>
                <w:sz w:val="18"/>
                <w:szCs w:val="18"/>
                <w:highlight w:val="none"/>
              </w:rPr>
              <w:br w:type="textWrapping"/>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315D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1.立案阶段责任</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受案部门在对报案、控告、举报、群众扭送或者违法嫌疑人投案，以及其他行政主管部门、司法机关移送的案件，应当及时受理。</w:t>
            </w:r>
            <w:r>
              <w:rPr>
                <w:rFonts w:hint="eastAsia" w:eastAsia="仿宋_GB2312" w:cs="仿宋_GB2312"/>
                <w:snapToGrid w:val="0"/>
                <w:color w:val="000000"/>
                <w:sz w:val="18"/>
                <w:szCs w:val="18"/>
                <w:highlight w:val="none"/>
                <w:lang w:val="en-US" w:eastAsia="zh-CN"/>
              </w:rPr>
              <w:t>（投资节能和信息化股）</w:t>
            </w:r>
          </w:p>
          <w:p w14:paraId="3781C018">
            <w:pPr>
              <w:keepNext w:val="0"/>
              <w:keepLines w:val="0"/>
              <w:pageBreakBefore w:val="0"/>
              <w:kinsoku/>
              <w:wordWrap/>
              <w:overflowPunct/>
              <w:topLinePunct w:val="0"/>
              <w:autoSpaceDE/>
              <w:autoSpaceDN/>
              <w:bidi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2.调查阶段责任</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受案部门对于立案的案件，指定专人负责调查，与当事人有直接利害关系的应当回避。调查时应出示执法证件，执法人员不得少于二人，执法人员应保守案件秘密。</w:t>
            </w:r>
            <w:r>
              <w:rPr>
                <w:rFonts w:hint="eastAsia" w:eastAsia="仿宋_GB2312" w:cs="仿宋_GB2312"/>
                <w:snapToGrid w:val="0"/>
                <w:color w:val="000000"/>
                <w:sz w:val="18"/>
                <w:szCs w:val="18"/>
                <w:highlight w:val="none"/>
                <w:lang w:val="en-US" w:eastAsia="zh-CN"/>
              </w:rPr>
              <w:t>（投资节能和信息化股）</w:t>
            </w:r>
          </w:p>
          <w:p w14:paraId="0CE1E1E7">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3.案件审查阶段责任</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受案部门应当对案件违法事实、证据、调查取证程序、法律适用、处罚种类和幅度、当事人陈述和申辩理由等内容进行审查，提出处理意见（主要证据不足的，及时调查补充）。</w:t>
            </w:r>
            <w:r>
              <w:rPr>
                <w:rFonts w:hint="eastAsia" w:eastAsia="仿宋_GB2312" w:cs="仿宋_GB2312"/>
                <w:snapToGrid w:val="0"/>
                <w:color w:val="000000"/>
                <w:sz w:val="18"/>
                <w:szCs w:val="18"/>
                <w:highlight w:val="none"/>
                <w:lang w:val="en-US" w:eastAsia="zh-CN"/>
              </w:rPr>
              <w:t>（投资节能和信息化股）</w:t>
            </w:r>
          </w:p>
          <w:p w14:paraId="6921D2A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rPr>
              <w:t>告知阶段责任</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受案部门在</w:t>
            </w:r>
            <w:r>
              <w:rPr>
                <w:rFonts w:hint="eastAsia" w:eastAsia="仿宋_GB2312" w:cs="仿宋_GB2312"/>
                <w:snapToGrid w:val="0"/>
                <w:color w:val="000000"/>
                <w:sz w:val="18"/>
                <w:szCs w:val="18"/>
                <w:highlight w:val="none"/>
                <w:lang w:val="en-US" w:eastAsia="zh-CN"/>
              </w:rPr>
              <w:t>作</w:t>
            </w:r>
            <w:r>
              <w:rPr>
                <w:rFonts w:hint="eastAsia" w:eastAsia="仿宋_GB2312" w:cs="仿宋_GB2312"/>
                <w:snapToGrid w:val="0"/>
                <w:color w:val="000000"/>
                <w:sz w:val="18"/>
                <w:szCs w:val="18"/>
                <w:highlight w:val="none"/>
              </w:rPr>
              <w:t>出行政处罚前，应当告知当事人违法事实以及依法享有的陈述、申辩的权利，拟作出责令停产停业、吊销许可证或执照、较大数额罚款的，可以要求听证的权利。</w:t>
            </w:r>
            <w:r>
              <w:rPr>
                <w:rFonts w:hint="eastAsia" w:eastAsia="仿宋_GB2312" w:cs="仿宋_GB2312"/>
                <w:snapToGrid w:val="0"/>
                <w:color w:val="000000"/>
                <w:sz w:val="18"/>
                <w:szCs w:val="18"/>
                <w:highlight w:val="none"/>
                <w:lang w:val="en-US" w:eastAsia="zh-CN"/>
              </w:rPr>
              <w:t>（投资节能和信息化股）</w:t>
            </w:r>
          </w:p>
          <w:p w14:paraId="3163D486">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5.决定阶段责任</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受案部门根据案件审查情况决定是否予以行政处罚。依法给予行政处罚的，应当制作行政处罚决定书，载明违法事实和依据、处罚依据和内容、申请行政复议或提起行政诉讼的途径和期限等内容。</w:t>
            </w:r>
            <w:r>
              <w:rPr>
                <w:rFonts w:hint="eastAsia" w:eastAsia="仿宋_GB2312" w:cs="仿宋_GB2312"/>
                <w:snapToGrid w:val="0"/>
                <w:color w:val="000000"/>
                <w:sz w:val="18"/>
                <w:szCs w:val="18"/>
                <w:highlight w:val="none"/>
                <w:lang w:val="en-US" w:eastAsia="zh-CN"/>
              </w:rPr>
              <w:t>（投资节能和信息化股）</w:t>
            </w:r>
          </w:p>
          <w:p w14:paraId="14C0DC4E">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6.送达阶段责任</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行政处罚决定书应依法按时送达当事人。</w:t>
            </w:r>
            <w:r>
              <w:rPr>
                <w:rFonts w:hint="eastAsia" w:eastAsia="仿宋_GB2312" w:cs="仿宋_GB2312"/>
                <w:snapToGrid w:val="0"/>
                <w:color w:val="000000"/>
                <w:sz w:val="18"/>
                <w:szCs w:val="18"/>
                <w:highlight w:val="none"/>
                <w:lang w:val="en-US" w:eastAsia="zh-CN"/>
              </w:rPr>
              <w:t>（投资节能和信息化股）</w:t>
            </w:r>
          </w:p>
          <w:p w14:paraId="002141B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7.执行阶段责任</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监督当事人在决定期限内履行义务；书面催告当事人及时履行处罚决定；依法申请人民法院强制执行。</w:t>
            </w:r>
            <w:r>
              <w:rPr>
                <w:rFonts w:hint="eastAsia" w:eastAsia="仿宋_GB2312" w:cs="仿宋_GB2312"/>
                <w:snapToGrid w:val="0"/>
                <w:color w:val="000000"/>
                <w:sz w:val="18"/>
                <w:szCs w:val="18"/>
                <w:highlight w:val="none"/>
                <w:lang w:val="en-US" w:eastAsia="zh-CN"/>
              </w:rPr>
              <w:t>（投资节能和信息化股）</w:t>
            </w:r>
          </w:p>
          <w:p w14:paraId="67C0C2D6">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8.法律法规规定的其他责任。</w:t>
            </w:r>
            <w:r>
              <w:rPr>
                <w:rFonts w:hint="eastAsia" w:eastAsia="仿宋_GB2312" w:cs="仿宋_GB2312"/>
                <w:snapToGrid w:val="0"/>
                <w:color w:val="000000"/>
                <w:sz w:val="18"/>
                <w:szCs w:val="18"/>
                <w:highlight w:val="none"/>
                <w:lang w:val="en-US" w:eastAsia="zh-CN"/>
              </w:rPr>
              <w:t>（投资节能和信息化股）</w:t>
            </w:r>
          </w:p>
        </w:tc>
        <w:tc>
          <w:tcPr>
            <w:tcW w:w="4950" w:type="dxa"/>
            <w:tcBorders>
              <w:top w:val="single" w:color="000000" w:sz="4" w:space="0"/>
              <w:left w:val="single" w:color="000000" w:sz="4" w:space="0"/>
              <w:bottom w:val="nil"/>
              <w:right w:val="single" w:color="000000" w:sz="4" w:space="0"/>
            </w:tcBorders>
            <w:shd w:val="clear" w:color="auto" w:fill="auto"/>
            <w:vAlign w:val="center"/>
          </w:tcPr>
          <w:p w14:paraId="06E1EED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289EFF60">
            <w:pPr>
              <w:keepNext w:val="0"/>
              <w:keepLines w:val="0"/>
              <w:pageBreakBefore w:val="0"/>
              <w:widowControl w:val="0"/>
              <w:kinsoku/>
              <w:wordWrap/>
              <w:overflowPunct/>
              <w:topLinePunct w:val="0"/>
              <w:autoSpaceDE/>
              <w:autoSpaceDN/>
              <w:bidi w:val="0"/>
              <w:adjustRightInd/>
              <w:snapToGrid/>
              <w:spacing w:line="280" w:lineRule="exact"/>
              <w:ind w:firstLine="360" w:firstLineChars="200"/>
              <w:textAlignment w:val="auto"/>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63EB58F5">
            <w:pPr>
              <w:keepNext w:val="0"/>
              <w:keepLines w:val="0"/>
              <w:pageBreakBefore w:val="0"/>
              <w:widowControl w:val="0"/>
              <w:kinsoku/>
              <w:wordWrap/>
              <w:overflowPunct/>
              <w:topLinePunct w:val="0"/>
              <w:autoSpaceDE/>
              <w:autoSpaceDN/>
              <w:bidi w:val="0"/>
              <w:adjustRightInd/>
              <w:snapToGrid/>
              <w:spacing w:line="280" w:lineRule="exact"/>
              <w:ind w:firstLine="360" w:firstLineChars="200"/>
              <w:textAlignment w:val="auto"/>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default" w:ascii="仿宋_GB2312" w:hAnsi="仿宋_GB2312" w:eastAsia="仿宋_GB2312" w:cs="仿宋_GB2312"/>
                <w:snapToGrid w:val="0"/>
                <w:color w:val="000000"/>
                <w:sz w:val="18"/>
                <w:szCs w:val="18"/>
                <w:highlight w:val="none"/>
                <w:lang w:val="en-US" w:eastAsia="zh-CN"/>
              </w:rPr>
              <w:t>第二十三条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行政处罚由县级以上地方人民政府具有行政处罚权的行政机关管辖。法律、行政法规另有规定的，从其规定。</w:t>
            </w:r>
            <w:r>
              <w:rPr>
                <w:rFonts w:hint="eastAsia" w:ascii="仿宋_GB2312" w:hAnsi="仿宋_GB2312" w:eastAsia="仿宋_GB2312" w:cs="仿宋_GB2312"/>
                <w:snapToGrid w:val="0"/>
                <w:color w:val="000000"/>
                <w:sz w:val="18"/>
                <w:szCs w:val="18"/>
                <w:highlight w:val="none"/>
                <w:lang w:val="en-US" w:eastAsia="zh-CN"/>
              </w:rPr>
              <w:t xml:space="preserve">  </w:t>
            </w:r>
          </w:p>
          <w:p w14:paraId="4E25027C">
            <w:pPr>
              <w:keepNext w:val="0"/>
              <w:keepLines w:val="0"/>
              <w:pageBreakBefore w:val="0"/>
              <w:widowControl w:val="0"/>
              <w:kinsoku/>
              <w:wordWrap/>
              <w:overflowPunct/>
              <w:topLinePunct w:val="0"/>
              <w:autoSpaceDE/>
              <w:autoSpaceDN/>
              <w:bidi w:val="0"/>
              <w:adjustRightInd/>
              <w:snapToGrid/>
              <w:spacing w:line="280" w:lineRule="exact"/>
              <w:ind w:firstLine="360" w:firstLineChars="200"/>
              <w:textAlignment w:val="auto"/>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0B08467F">
            <w:pPr>
              <w:keepNext w:val="0"/>
              <w:keepLines w:val="0"/>
              <w:pageBreakBefore w:val="0"/>
              <w:widowControl w:val="0"/>
              <w:kinsoku/>
              <w:wordWrap/>
              <w:overflowPunct/>
              <w:topLinePunct w:val="0"/>
              <w:autoSpaceDE/>
              <w:autoSpaceDN/>
              <w:bidi w:val="0"/>
              <w:adjustRightInd/>
              <w:snapToGrid/>
              <w:spacing w:line="280" w:lineRule="exact"/>
              <w:ind w:firstLine="360" w:firstLineChars="200"/>
              <w:textAlignment w:val="auto"/>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 xml:space="preserve">执法人员应当文明执法，尊重和保护当事人合法权益。  </w:t>
            </w:r>
          </w:p>
          <w:p w14:paraId="36981ED1">
            <w:pPr>
              <w:keepNext w:val="0"/>
              <w:keepLines w:val="0"/>
              <w:pageBreakBefore w:val="0"/>
              <w:widowControl w:val="0"/>
              <w:kinsoku/>
              <w:wordWrap/>
              <w:overflowPunct/>
              <w:topLinePunct w:val="0"/>
              <w:autoSpaceDE/>
              <w:autoSpaceDN/>
              <w:bidi w:val="0"/>
              <w:adjustRightInd/>
              <w:snapToGrid/>
              <w:spacing w:line="280" w:lineRule="exact"/>
              <w:ind w:firstLine="360" w:firstLineChars="200"/>
              <w:textAlignment w:val="auto"/>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024243A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0232329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w:t>
            </w:r>
            <w:r>
              <w:rPr>
                <w:rFonts w:hint="eastAsia" w:ascii="仿宋_GB2312" w:hAnsi="仿宋_GB2312" w:eastAsia="仿宋_GB2312" w:cs="仿宋_GB2312"/>
                <w:snapToGrid w:val="0"/>
                <w:color w:val="000000"/>
                <w:sz w:val="18"/>
                <w:szCs w:val="18"/>
                <w:highlight w:val="none"/>
              </w:rPr>
              <w:t>中华人民共和国行政处罚法</w:t>
            </w:r>
            <w:r>
              <w:rPr>
                <w:rFonts w:hint="default" w:ascii="仿宋_GB2312" w:hAnsi="仿宋_GB2312" w:eastAsia="仿宋_GB2312" w:cs="仿宋_GB2312"/>
                <w:snapToGrid w:val="0"/>
                <w:color w:val="000000"/>
                <w:sz w:val="18"/>
                <w:szCs w:val="18"/>
                <w:highlight w:val="none"/>
                <w:lang w:val="en-US" w:eastAsia="zh-CN"/>
              </w:rPr>
              <w:t>》第五十五条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6877834A">
            <w:pPr>
              <w:keepNext w:val="0"/>
              <w:keepLines w:val="0"/>
              <w:pageBreakBefore w:val="0"/>
              <w:kinsoku/>
              <w:wordWrap/>
              <w:overflowPunct/>
              <w:topLinePunct w:val="0"/>
              <w:autoSpaceDE/>
              <w:autoSpaceDN/>
              <w:bidi w:val="0"/>
              <w:spacing w:line="280" w:lineRule="exact"/>
              <w:ind w:left="0" w:leftChars="0"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4FA8B5A7">
            <w:pPr>
              <w:keepNext w:val="0"/>
              <w:keepLines w:val="0"/>
              <w:pageBreakBefore w:val="0"/>
              <w:kinsoku/>
              <w:wordWrap/>
              <w:overflowPunct/>
              <w:topLinePunct w:val="0"/>
              <w:autoSpaceDE/>
              <w:autoSpaceDN/>
              <w:bidi w:val="0"/>
              <w:spacing w:line="280" w:lineRule="exact"/>
              <w:ind w:left="0" w:leftChars="0"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56867EE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436B34F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.【法律】《中华人民共和国行政处罚法》第四十四条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行政机关在作出行政处罚决定之前，应当告知当事人拟作出的行政处罚内容及事实、理由、依据，并告知当事人依法享有的陈述、申辩、要求听证等权利。</w:t>
            </w:r>
          </w:p>
          <w:p w14:paraId="7AAF7004">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听证应当依照以下程序组织</w:t>
            </w:r>
            <w:r>
              <w:rPr>
                <w:rFonts w:hint="default" w:ascii="仿宋_GB2312" w:hAnsi="仿宋_GB2312" w:eastAsia="仿宋_GB2312" w:cs="仿宋_GB2312"/>
                <w:snapToGrid w:val="0"/>
                <w:color w:val="000000"/>
                <w:sz w:val="18"/>
                <w:szCs w:val="18"/>
                <w:highlight w:val="none"/>
                <w:lang w:val="en"/>
              </w:rPr>
              <w:t xml:space="preserve">  </w:t>
            </w:r>
          </w:p>
          <w:p w14:paraId="11D0FFF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p>
          <w:p w14:paraId="2A069F3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0311EFB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1C1C0CD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1AC25F7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7A19C5B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14A4229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7330E5C4">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01C10A8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p>
          <w:p w14:paraId="286F77A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p>
          <w:p w14:paraId="2D710329">
            <w:pPr>
              <w:keepNext w:val="0"/>
              <w:keepLines w:val="0"/>
              <w:pageBreakBefore w:val="0"/>
              <w:kinsoku/>
              <w:wordWrap/>
              <w:overflowPunct/>
              <w:topLinePunct w:val="0"/>
              <w:autoSpaceDE/>
              <w:autoSpaceDN/>
              <w:bidi w:val="0"/>
              <w:spacing w:line="280" w:lineRule="exact"/>
              <w:ind w:firstLine="400" w:firstLineChars="200"/>
              <w:rPr>
                <w:rFonts w:hint="eastAsia" w:ascii="仿宋_GB2312" w:hAnsi="宋体" w:eastAsia="仿宋_GB2312" w:cs="仿宋_GB2312"/>
                <w:i w:val="0"/>
                <w:iCs w:val="0"/>
                <w:color w:val="000000"/>
                <w:sz w:val="20"/>
                <w:szCs w:val="20"/>
                <w:highlight w:val="none"/>
                <w:u w:val="none"/>
              </w:rPr>
            </w:pP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9790B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
              </w:rPr>
            </w:pPr>
            <w:r>
              <w:rPr>
                <w:rFonts w:hint="eastAsia" w:eastAsia="仿宋_GB2312" w:cs="仿宋_GB2312"/>
                <w:snapToGrid w:val="0"/>
                <w:color w:val="000000"/>
                <w:sz w:val="18"/>
                <w:szCs w:val="18"/>
                <w:highlight w:val="none"/>
              </w:rPr>
              <w:t>因不履行或不正确履行行政职责，有下列情形的，行政机关及相关工作人员应承担相应责任</w:t>
            </w:r>
            <w:r>
              <w:rPr>
                <w:rFonts w:hint="default" w:eastAsia="仿宋_GB2312" w:cs="仿宋_GB2312"/>
                <w:snapToGrid w:val="0"/>
                <w:color w:val="000000"/>
                <w:sz w:val="18"/>
                <w:szCs w:val="18"/>
                <w:highlight w:val="none"/>
                <w:lang w:val="en"/>
              </w:rPr>
              <w:t xml:space="preserve">  </w:t>
            </w:r>
          </w:p>
          <w:p w14:paraId="5FB210B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p>
          <w:p w14:paraId="0101906E">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2.擅自改变处罚幅度、范围的；</w:t>
            </w:r>
            <w:r>
              <w:rPr>
                <w:rFonts w:hint="eastAsia" w:eastAsia="仿宋_GB2312" w:cs="仿宋_GB2312"/>
                <w:snapToGrid w:val="0"/>
                <w:color w:val="000000"/>
                <w:sz w:val="18"/>
                <w:szCs w:val="18"/>
                <w:highlight w:val="none"/>
                <w:lang w:eastAsia="zh-CN"/>
              </w:rPr>
              <w:t>（机关纪委）</w:t>
            </w:r>
          </w:p>
          <w:p w14:paraId="071BF96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p>
          <w:p w14:paraId="3ACDB32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4.徇私舞弊、包庇、纵容用能违法行为的；</w:t>
            </w:r>
            <w:r>
              <w:rPr>
                <w:rFonts w:hint="eastAsia" w:eastAsia="仿宋_GB2312" w:cs="仿宋_GB2312"/>
                <w:snapToGrid w:val="0"/>
                <w:color w:val="000000"/>
                <w:sz w:val="18"/>
                <w:szCs w:val="18"/>
                <w:highlight w:val="none"/>
                <w:lang w:eastAsia="zh-CN"/>
              </w:rPr>
              <w:t>（机关纪委）</w:t>
            </w:r>
          </w:p>
          <w:p w14:paraId="7A4FB9D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p>
          <w:p w14:paraId="70082346">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6.在行政处罚过程中发生腐败行为的或使用、损毁扣押的财物，对当事人造成损失的；</w:t>
            </w:r>
            <w:r>
              <w:rPr>
                <w:rFonts w:hint="eastAsia" w:eastAsia="仿宋_GB2312" w:cs="仿宋_GB2312"/>
                <w:snapToGrid w:val="0"/>
                <w:color w:val="000000"/>
                <w:sz w:val="18"/>
                <w:szCs w:val="18"/>
                <w:highlight w:val="none"/>
                <w:lang w:eastAsia="zh-CN"/>
              </w:rPr>
              <w:t>（机关纪委）</w:t>
            </w:r>
          </w:p>
          <w:p w14:paraId="2162D2C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7.其他违反法律法规、规章以及规范性文件规定的行为。</w:t>
            </w:r>
            <w:r>
              <w:rPr>
                <w:rFonts w:hint="eastAsia" w:eastAsia="仿宋_GB2312" w:cs="仿宋_GB2312"/>
                <w:snapToGrid w:val="0"/>
                <w:color w:val="000000"/>
                <w:sz w:val="18"/>
                <w:szCs w:val="18"/>
                <w:highlight w:val="none"/>
                <w:lang w:eastAsia="zh-CN"/>
              </w:rPr>
              <w:t>（机关纪委）</w:t>
            </w:r>
          </w:p>
          <w:p w14:paraId="147EABD7">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eastAsia" w:ascii="仿宋_GB2312" w:hAnsi="宋体" w:eastAsia="仿宋_GB2312" w:cs="仿宋_GB2312"/>
                <w:i w:val="0"/>
                <w:iCs w:val="0"/>
                <w:color w:val="000000"/>
                <w:sz w:val="20"/>
                <w:szCs w:val="20"/>
                <w:highlight w:val="none"/>
                <w:u w:val="none"/>
              </w:rPr>
            </w:pP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83CC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
              </w:rPr>
            </w:pP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val="en-US"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0F912121">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2BD517A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p>
          <w:p w14:paraId="0FC0B0D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1EE4C2B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val="en-US"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14:paraId="64F88D5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二）在管理服务活动中故意刁难、吃拿卡要的；（三）在管理服务活动中态度恶劣粗暴，造成不良后果或者影响的；（四）不按照规定公开工作信息，侵犯管理服务对象知情权，造成不良后果或者影响的；（五）其他侵犯管理服务对象利益的行为，造成不良后果或者影响的。</w:t>
            </w:r>
          </w:p>
          <w:p w14:paraId="5031869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0D429F98">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05271286">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　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3CD9B474">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DE514">
            <w:pPr>
              <w:keepNext w:val="0"/>
              <w:keepLines w:val="0"/>
              <w:pageBreakBefore w:val="0"/>
              <w:widowControl/>
              <w:kinsoku/>
              <w:wordWrap/>
              <w:overflowPunct/>
              <w:topLinePunct w:val="0"/>
              <w:autoSpaceDE/>
              <w:autoSpaceDN/>
              <w:bidi w:val="0"/>
              <w:adjustRightInd w:val="0"/>
              <w:snapToGrid w:val="0"/>
              <w:spacing w:line="280" w:lineRule="exact"/>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4E18AFE">
            <w:pPr>
              <w:jc w:val="both"/>
              <w:rPr>
                <w:rFonts w:hint="eastAsia" w:ascii="仿宋_GB2312" w:hAnsi="宋体" w:eastAsia="仿宋_GB2312" w:cs="仿宋_GB2312"/>
                <w:i w:val="0"/>
                <w:iCs w:val="0"/>
                <w:color w:val="000000"/>
                <w:sz w:val="20"/>
                <w:szCs w:val="20"/>
                <w:u w:val="none"/>
              </w:rPr>
            </w:pPr>
          </w:p>
        </w:tc>
      </w:tr>
      <w:tr w14:paraId="56E24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90934C">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FAAD78">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AE994F">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7E137C">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4BF3F3">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E459A0">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F36590">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55F9DD">
            <w:pPr>
              <w:jc w:val="both"/>
              <w:rPr>
                <w:rFonts w:hint="eastAsia" w:ascii="仿宋_GB2312" w:hAnsi="宋体" w:eastAsia="仿宋_GB2312" w:cs="仿宋_GB2312"/>
                <w:i w:val="0"/>
                <w:iCs w:val="0"/>
                <w:color w:val="000000"/>
                <w:sz w:val="20"/>
                <w:szCs w:val="20"/>
                <w:u w:val="none"/>
              </w:rPr>
            </w:pPr>
          </w:p>
        </w:tc>
        <w:tc>
          <w:tcPr>
            <w:tcW w:w="4950" w:type="dxa"/>
            <w:tcBorders>
              <w:top w:val="nil"/>
              <w:left w:val="single" w:color="000000" w:sz="4" w:space="0"/>
              <w:bottom w:val="single" w:color="000000" w:sz="4" w:space="0"/>
              <w:right w:val="single" w:color="000000" w:sz="4" w:space="0"/>
            </w:tcBorders>
            <w:shd w:val="clear" w:color="auto" w:fill="auto"/>
            <w:vAlign w:val="top"/>
          </w:tcPr>
          <w:p w14:paraId="48AAF835">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F31DBC">
            <w:pPr>
              <w:jc w:val="both"/>
              <w:rPr>
                <w:rFonts w:hint="eastAsia" w:ascii="仿宋_GB2312" w:hAnsi="宋体" w:eastAsia="仿宋_GB2312" w:cs="仿宋_GB2312"/>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B1E0AC">
            <w:pPr>
              <w:jc w:val="both"/>
              <w:rPr>
                <w:rFonts w:hint="eastAsia" w:ascii="仿宋_GB2312" w:hAnsi="宋体" w:eastAsia="仿宋_GB2312" w:cs="仿宋_GB2312"/>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A23158">
            <w:pPr>
              <w:jc w:val="both"/>
              <w:rPr>
                <w:rFonts w:hint="eastAsia" w:ascii="仿宋_GB2312" w:hAnsi="宋体" w:eastAsia="仿宋_GB2312" w:cs="仿宋_GB2312"/>
                <w:i w:val="0"/>
                <w:iCs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CF7F29">
            <w:pPr>
              <w:jc w:val="both"/>
              <w:rPr>
                <w:rFonts w:hint="eastAsia" w:ascii="仿宋_GB2312" w:hAnsi="宋体" w:eastAsia="仿宋_GB2312" w:cs="仿宋_GB2312"/>
                <w:i w:val="0"/>
                <w:iCs w:val="0"/>
                <w:color w:val="000000"/>
                <w:sz w:val="20"/>
                <w:szCs w:val="20"/>
                <w:u w:val="none"/>
              </w:rPr>
            </w:pPr>
          </w:p>
        </w:tc>
      </w:tr>
      <w:tr w14:paraId="6D95D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5"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F472AD1">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sz w:val="20"/>
                <w:szCs w:val="20"/>
                <w:u w:val="none"/>
                <w:lang w:val="en-US"/>
              </w:rPr>
              <w:t>3</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D1B6F7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830783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对重点用能单位无正当理由拒不落实整改要求或者整改没有达到要求的处罚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406DC43">
            <w:pPr>
              <w:jc w:val="both"/>
              <w:rPr>
                <w:rFonts w:hint="eastAsia" w:ascii="仿宋_GB2312" w:hAnsi="宋体" w:eastAsia="仿宋_GB2312" w:cs="仿宋_GB2312"/>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765E407">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AB94D44">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投资节能和信息化股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DCC75">
            <w:pPr>
              <w:keepNext w:val="0"/>
              <w:keepLines w:val="0"/>
              <w:widowControl/>
              <w:suppressLineNumbers w:val="0"/>
              <w:ind w:firstLine="400" w:firstLineChars="200"/>
              <w:jc w:val="left"/>
              <w:textAlignment w:val="center"/>
              <w:rPr>
                <w:rStyle w:val="8"/>
                <w:rFonts w:hint="eastAsia" w:hAnsi="宋体"/>
                <w:highlight w:val="none"/>
                <w:lang w:val="en-US" w:eastAsia="zh-CN" w:bidi="ar"/>
              </w:rPr>
            </w:pPr>
            <w:r>
              <w:rPr>
                <w:rStyle w:val="8"/>
                <w:rFonts w:hint="eastAsia" w:hAnsi="宋体"/>
                <w:highlight w:val="none"/>
                <w:lang w:val="en-US" w:eastAsia="zh-CN" w:bidi="ar"/>
              </w:rPr>
              <w:t>【法律】《中华人民共和国节约能源法》第五十四条</w:t>
            </w:r>
            <w:r>
              <w:rPr>
                <w:rStyle w:val="8"/>
                <w:rFonts w:hint="default" w:hAnsi="宋体"/>
                <w:highlight w:val="none"/>
                <w:lang w:val="en" w:eastAsia="zh-CN" w:bidi="ar"/>
              </w:rPr>
              <w:t xml:space="preserve">  </w:t>
            </w:r>
            <w:r>
              <w:rPr>
                <w:rStyle w:val="8"/>
                <w:rFonts w:hint="eastAsia" w:hAnsi="宋体"/>
                <w:highlight w:val="none"/>
                <w:lang w:val="en-US" w:eastAsia="zh-CN" w:bidi="ar"/>
              </w:rPr>
              <w:t>管理节能工作的部门应当对重点用能单位报送的能源利用状况报告进行审查。对节能管理制度不健全、节能措施不落实、能源利用效率低的重点用能单位，管理节能工作的部门应当开展现场调查，组织实施用能设备能源效率检测，责令实施能源审计，并提出书面整改要求，限期整改。</w:t>
            </w:r>
          </w:p>
          <w:p w14:paraId="4EAFBD6C">
            <w:pPr>
              <w:keepNext w:val="0"/>
              <w:keepLines w:val="0"/>
              <w:widowControl/>
              <w:suppressLineNumbers w:val="0"/>
              <w:ind w:firstLine="400" w:firstLineChars="200"/>
              <w:jc w:val="left"/>
              <w:textAlignment w:val="center"/>
              <w:rPr>
                <w:rFonts w:hint="eastAsia" w:ascii="仿宋_GB2312" w:hAnsi="宋体" w:eastAsia="仿宋_GB2312" w:cs="仿宋_GB2312"/>
                <w:i w:val="0"/>
                <w:iCs w:val="0"/>
                <w:color w:val="000000"/>
                <w:sz w:val="20"/>
                <w:szCs w:val="20"/>
                <w:highlight w:val="none"/>
                <w:u w:val="none"/>
              </w:rPr>
            </w:pPr>
            <w:r>
              <w:rPr>
                <w:rStyle w:val="8"/>
                <w:rFonts w:hint="eastAsia" w:hAnsi="宋体"/>
                <w:highlight w:val="none"/>
                <w:lang w:val="en-US" w:eastAsia="zh-CN" w:bidi="ar"/>
              </w:rPr>
              <w:t>第八十三条</w:t>
            </w:r>
            <w:r>
              <w:rPr>
                <w:rStyle w:val="8"/>
                <w:rFonts w:hint="default" w:hAnsi="宋体"/>
                <w:highlight w:val="none"/>
                <w:lang w:val="en" w:eastAsia="zh-CN" w:bidi="ar"/>
              </w:rPr>
              <w:t xml:space="preserve">  </w:t>
            </w:r>
            <w:r>
              <w:rPr>
                <w:rStyle w:val="8"/>
                <w:rFonts w:hint="eastAsia" w:hAnsi="宋体"/>
                <w:highlight w:val="none"/>
                <w:lang w:val="en-US" w:eastAsia="zh-CN" w:bidi="ar"/>
              </w:rPr>
              <w:t>重点用能单位无正当理由拒不落实本法第五十四条规定的整改要求或者整改没有达到要求的，由管理节能工作的部门处十万元以上三十万元以下罚款。</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6C57D">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w:t>
            </w:r>
            <w:r>
              <w:rPr>
                <w:rStyle w:val="8"/>
                <w:rFonts w:hAnsi="宋体"/>
                <w:highlight w:val="none"/>
                <w:lang w:val="en-US" w:eastAsia="zh-CN" w:bidi="ar"/>
              </w:rPr>
              <w:t>立案阶段责任：受案部门在对报案、控告、举报、群众扭送或者违法嫌疑人投案，以及其他行政主管部门、司法机关移送的案件，应当及时受理。</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2.调查阶段责任：受案部门对于立案的案件，指定专人负责调查，与当事人有直接利害关系的应当回避。调查时应出示执法证件，执法人员不得少于二人，执法人员应保守案件秘密。</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3.案件审查阶段责任：受案部门应当对案件违法事实、证据、调查取证程序、法律适用、处罚种类和幅度、当事人陈述和申辩理由等内容进行审查，提出处理意见（主要证据不足的，及时调查补充）。</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t xml:space="preserve">  </w:t>
            </w:r>
            <w:r>
              <w:rPr>
                <w:rStyle w:val="8"/>
                <w:rFonts w:hAnsi="宋体"/>
                <w:highlight w:val="none"/>
                <w:lang w:val="en-US" w:eastAsia="zh-CN" w:bidi="ar"/>
              </w:rPr>
              <w:br w:type="textWrapping"/>
            </w:r>
            <w:r>
              <w:rPr>
                <w:rStyle w:val="8"/>
                <w:rFonts w:hAnsi="宋体"/>
                <w:highlight w:val="none"/>
                <w:lang w:val="en-US" w:eastAsia="zh-CN" w:bidi="ar"/>
              </w:rPr>
              <w:t xml:space="preserve">  4.告知阶段责任：受案部门在做出行政处罚前，应当告知当事人违法事实以及依法享有的陈述、申辩的权利，拟作出责令停产停业、吊销许可证或执照、较大数额罚款的，可以要求听证的权利。</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5.决定阶段责任：受案部门根据案件审查情况决定是否予以行政处罚。依法给予行政处罚的，应当制作行政处罚决定书，载明违法事实和依据、处罚依据和内容、申请行政复议或提起行政诉讼的途径和期限等内容。</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6.送达阶段责任：行政处罚决定书应依法按时送达当事人。</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7.执行阶段责任：监督当事人在决定期限内履行义务；书面催告当事人及时履行处罚决定；依法申请人民法院强制执行。</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8.法律法规规定的其他责任。</w:t>
            </w:r>
            <w:r>
              <w:rPr>
                <w:rFonts w:hint="eastAsia" w:eastAsia="仿宋_GB2312" w:cs="仿宋_GB2312"/>
                <w:strike w:val="0"/>
                <w:dstrike w:val="0"/>
                <w:snapToGrid w:val="0"/>
                <w:color w:val="000000"/>
                <w:sz w:val="18"/>
                <w:szCs w:val="18"/>
                <w:highlight w:val="none"/>
                <w:lang w:eastAsia="zh-CN"/>
              </w:rPr>
              <w:t>（</w:t>
            </w:r>
            <w:r>
              <w:rPr>
                <w:rFonts w:hint="eastAsia" w:eastAsia="仿宋_GB2312" w:cs="仿宋_GB2312"/>
                <w:strike w:val="0"/>
                <w:dstrike w:val="0"/>
                <w:snapToGrid w:val="0"/>
                <w:color w:val="000000"/>
                <w:sz w:val="18"/>
                <w:szCs w:val="18"/>
                <w:highlight w:val="none"/>
                <w:lang w:val="en-US" w:eastAsia="zh-CN"/>
              </w:rPr>
              <w:t>有关股室</w:t>
            </w:r>
            <w:r>
              <w:rPr>
                <w:rFonts w:hint="eastAsia" w:eastAsia="仿宋_GB2312" w:cs="仿宋_GB2312"/>
                <w:strike w:val="0"/>
                <w:dstrike w:val="0"/>
                <w:snapToGrid w:val="0"/>
                <w:color w:val="000000"/>
                <w:sz w:val="18"/>
                <w:szCs w:val="18"/>
                <w:highlight w:val="none"/>
                <w:lang w:eastAsia="zh-CN"/>
              </w:rPr>
              <w:t>）</w:t>
            </w:r>
          </w:p>
        </w:tc>
        <w:tc>
          <w:tcPr>
            <w:tcW w:w="4950" w:type="dxa"/>
            <w:tcBorders>
              <w:top w:val="single" w:color="000000" w:sz="4" w:space="0"/>
              <w:left w:val="single" w:color="000000" w:sz="4" w:space="0"/>
              <w:bottom w:val="nil"/>
              <w:right w:val="single" w:color="000000" w:sz="4" w:space="0"/>
            </w:tcBorders>
            <w:shd w:val="clear" w:color="auto" w:fill="auto"/>
            <w:vAlign w:val="center"/>
          </w:tcPr>
          <w:p w14:paraId="35CEDF2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0617795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76A0DBD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default" w:ascii="仿宋_GB2312" w:hAnsi="仿宋_GB2312" w:eastAsia="仿宋_GB2312" w:cs="仿宋_GB2312"/>
                <w:snapToGrid w:val="0"/>
                <w:color w:val="000000"/>
                <w:sz w:val="18"/>
                <w:szCs w:val="18"/>
                <w:highlight w:val="none"/>
                <w:lang w:val="en-US" w:eastAsia="zh-CN"/>
              </w:rPr>
              <w:t>第二十三条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行政处罚由县级以上地方人民政府具有行政处罚权的行政机关管辖。法律、行政法规另有规定的，从其规定。</w:t>
            </w:r>
            <w:r>
              <w:rPr>
                <w:rFonts w:hint="eastAsia" w:ascii="仿宋_GB2312" w:hAnsi="仿宋_GB2312" w:eastAsia="仿宋_GB2312" w:cs="仿宋_GB2312"/>
                <w:snapToGrid w:val="0"/>
                <w:color w:val="000000"/>
                <w:sz w:val="18"/>
                <w:szCs w:val="18"/>
                <w:highlight w:val="none"/>
                <w:lang w:val="en-US" w:eastAsia="zh-CN"/>
              </w:rPr>
              <w:t xml:space="preserve">  </w:t>
            </w:r>
          </w:p>
          <w:p w14:paraId="1A0AEF6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736F6FCE">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338E321E">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78019FA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5A2E8A8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583787D1">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7FDE2D0E">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0B7F96E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67B46A1E">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.【法律】《中华人民共和国行政处罚法》第四十四条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行政机关在作出行政处罚决定之前，应当告知当事人拟作出的行政处罚内容及事实、理由、依据，并告知当事人依法享有的陈述、申辩、要求听证等权利。</w:t>
            </w:r>
          </w:p>
          <w:p w14:paraId="03A9168D">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.【法律】《中华人民共和国行政处罚法》第六十三条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行政机关拟作出下列行政处罚决定，应当告知当事人有要求听证的权利，当事人要求听证的，行政机关应当组织听证</w:t>
            </w:r>
            <w:r>
              <w:rPr>
                <w:rFonts w:hint="default" w:ascii="仿宋_GB2312" w:hAnsi="仿宋_GB2312" w:eastAsia="仿宋_GB2312" w:cs="仿宋_GB2312"/>
                <w:snapToGrid w:val="0"/>
                <w:color w:val="000000"/>
                <w:sz w:val="18"/>
                <w:szCs w:val="18"/>
                <w:highlight w:val="none"/>
                <w:lang w:val="en"/>
              </w:rPr>
              <w:t xml:space="preserve">  </w:t>
            </w:r>
          </w:p>
          <w:p w14:paraId="73EB23D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较大数额罚款；（二）没收较大数额违法所得、没收较大价值非法财物；（三）降低资质等级、吊销许可证件；（四）责令停产停业、责令关闭、限制从业；（五）其他较重的行政处罚；（六）法律、法规、规章规定的其他情形。</w:t>
            </w:r>
          </w:p>
          <w:p w14:paraId="47C624B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当事人不承担行政机关组织听证的费用。</w:t>
            </w:r>
          </w:p>
          <w:p w14:paraId="4D4C1BB2">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5F50956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006055D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36E2055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2E70913E">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3813845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17265E6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4F0AFAF3">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2FED0602">
            <w:pPr>
              <w:keepNext w:val="0"/>
              <w:keepLines w:val="0"/>
              <w:widowControl/>
              <w:suppressLineNumbers w:val="0"/>
              <w:ind w:firstLine="360" w:firstLineChars="200"/>
              <w:jc w:val="both"/>
              <w:textAlignment w:val="center"/>
              <w:rPr>
                <w:rFonts w:hint="eastAsia" w:ascii="仿宋_GB2312" w:hAnsi="宋体" w:eastAsia="仿宋_GB2312" w:cs="仿宋_GB2312"/>
                <w:i w:val="0"/>
                <w:iCs w:val="0"/>
                <w:color w:val="000000"/>
                <w:sz w:val="20"/>
                <w:szCs w:val="20"/>
                <w:highlight w:val="none"/>
                <w:u w:val="none"/>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4E0A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val="en" w:eastAsia="zh-CN"/>
              </w:rPr>
            </w:pPr>
            <w:r>
              <w:rPr>
                <w:rFonts w:hint="eastAsia" w:eastAsia="仿宋_GB2312" w:cs="仿宋_GB2312"/>
                <w:snapToGrid w:val="0"/>
                <w:color w:val="000000"/>
                <w:sz w:val="18"/>
                <w:szCs w:val="18"/>
                <w:highlight w:val="none"/>
              </w:rPr>
              <w:t>因不履行或不正确履行行政职责，有下列情形的，行政机关及相关工作人员应承担相应责任</w:t>
            </w:r>
            <w:r>
              <w:rPr>
                <w:rFonts w:hint="eastAsia" w:eastAsia="仿宋_GB2312" w:cs="仿宋_GB2312"/>
                <w:snapToGrid w:val="0"/>
                <w:color w:val="000000"/>
                <w:sz w:val="18"/>
                <w:szCs w:val="18"/>
                <w:highlight w:val="none"/>
                <w:lang w:eastAsia="zh-CN"/>
              </w:rPr>
              <w:t>。</w:t>
            </w:r>
          </w:p>
          <w:p w14:paraId="4EC79EC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p>
          <w:p w14:paraId="2654719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2.擅自改变处罚幅度、范围的；</w:t>
            </w:r>
            <w:r>
              <w:rPr>
                <w:rFonts w:hint="eastAsia" w:eastAsia="仿宋_GB2312" w:cs="仿宋_GB2312"/>
                <w:snapToGrid w:val="0"/>
                <w:color w:val="000000"/>
                <w:sz w:val="18"/>
                <w:szCs w:val="18"/>
                <w:highlight w:val="none"/>
                <w:lang w:eastAsia="zh-CN"/>
              </w:rPr>
              <w:t>（机关纪委）</w:t>
            </w:r>
          </w:p>
          <w:p w14:paraId="78E5A6A3">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p>
          <w:p w14:paraId="0806FF6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4.徇私舞弊、包庇、纵容用能违法行为的；</w:t>
            </w:r>
            <w:r>
              <w:rPr>
                <w:rFonts w:hint="eastAsia" w:eastAsia="仿宋_GB2312" w:cs="仿宋_GB2312"/>
                <w:snapToGrid w:val="0"/>
                <w:color w:val="000000"/>
                <w:sz w:val="18"/>
                <w:szCs w:val="18"/>
                <w:highlight w:val="none"/>
                <w:lang w:eastAsia="zh-CN"/>
              </w:rPr>
              <w:t>（机关纪委）</w:t>
            </w:r>
          </w:p>
          <w:p w14:paraId="39A0F72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p>
          <w:p w14:paraId="37352B1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6.在行政处罚过程中发生腐败行为的或使用或者损毁扣押的财物，对当事人造成损失的；</w:t>
            </w:r>
            <w:r>
              <w:rPr>
                <w:rFonts w:hint="eastAsia" w:eastAsia="仿宋_GB2312" w:cs="仿宋_GB2312"/>
                <w:snapToGrid w:val="0"/>
                <w:color w:val="000000"/>
                <w:sz w:val="18"/>
                <w:szCs w:val="18"/>
                <w:highlight w:val="none"/>
                <w:lang w:eastAsia="zh-CN"/>
              </w:rPr>
              <w:t>（机关纪委）</w:t>
            </w:r>
          </w:p>
          <w:p w14:paraId="15ABD88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7.其他违反法律法规和规章以及规范性文件规定的行为。</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lang w:val="en-US" w:eastAsia="zh-CN"/>
              </w:rPr>
              <w:t>有关股室</w:t>
            </w:r>
            <w:r>
              <w:rPr>
                <w:rFonts w:hint="eastAsia" w:eastAsia="仿宋_GB2312" w:cs="仿宋_GB2312"/>
                <w:snapToGrid w:val="0"/>
                <w:color w:val="000000"/>
                <w:sz w:val="18"/>
                <w:szCs w:val="18"/>
                <w:highlight w:val="none"/>
                <w:lang w:eastAsia="zh-CN"/>
              </w:rPr>
              <w:t>）</w:t>
            </w:r>
          </w:p>
          <w:p w14:paraId="4350A79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26946">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0B39F4E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626F526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28247B15">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30D19A71">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73DD2B3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w:t>
            </w:r>
            <w:r>
              <w:rPr>
                <w:rFonts w:hint="eastAsia" w:eastAsia="仿宋_GB2312" w:cs="仿宋_GB2312"/>
                <w:i w:val="0"/>
                <w:snapToGrid w:val="0"/>
                <w:color w:val="000000"/>
                <w:kern w:val="2"/>
                <w:sz w:val="18"/>
                <w:szCs w:val="18"/>
                <w:highlight w:val="none"/>
                <w:u w:val="none"/>
                <w:lang w:val="en-US" w:eastAsia="zh-CN" w:bidi="ar"/>
              </w:rPr>
              <w:t>（</w:t>
            </w:r>
            <w:r>
              <w:rPr>
                <w:rFonts w:hint="eastAsia" w:ascii="Times New Roman" w:hAnsi="Times New Roman" w:eastAsia="仿宋_GB2312" w:cs="仿宋_GB2312"/>
                <w:i w:val="0"/>
                <w:snapToGrid w:val="0"/>
                <w:color w:val="000000"/>
                <w:kern w:val="2"/>
                <w:sz w:val="18"/>
                <w:szCs w:val="18"/>
                <w:highlight w:val="none"/>
                <w:u w:val="none"/>
                <w:lang w:val="en-US" w:eastAsia="zh-CN" w:bidi="ar"/>
              </w:rPr>
              <w:t>二）在管理服务活动中故意刁难、吃拿卡要的；（三）在管理服务活动中态度恶劣粗暴，造成不良后果或者影响的；</w:t>
            </w:r>
            <w:r>
              <w:rPr>
                <w:rFonts w:hint="eastAsia" w:eastAsia="仿宋_GB2312" w:cs="仿宋_GB2312"/>
                <w:i w:val="0"/>
                <w:snapToGrid w:val="0"/>
                <w:color w:val="000000"/>
                <w:kern w:val="2"/>
                <w:sz w:val="18"/>
                <w:szCs w:val="18"/>
                <w:highlight w:val="none"/>
                <w:u w:val="none"/>
                <w:lang w:val="en-US" w:eastAsia="zh-CN" w:bidi="ar"/>
              </w:rPr>
              <w:t>（</w:t>
            </w:r>
            <w:r>
              <w:rPr>
                <w:rFonts w:hint="eastAsia" w:ascii="Times New Roman" w:hAnsi="Times New Roman" w:eastAsia="仿宋_GB2312" w:cs="仿宋_GB2312"/>
                <w:i w:val="0"/>
                <w:snapToGrid w:val="0"/>
                <w:color w:val="000000"/>
                <w:kern w:val="2"/>
                <w:sz w:val="18"/>
                <w:szCs w:val="18"/>
                <w:highlight w:val="none"/>
                <w:u w:val="none"/>
                <w:lang w:val="en-US" w:eastAsia="zh-CN" w:bidi="ar"/>
              </w:rPr>
              <w:t>四）不按照规定公开工作信息，侵犯管理服务对象知情权，造成不良后果或者影响的；（五）其他侵犯管理服务对象利益的行为，造成不良后果或者影响的。</w:t>
            </w:r>
          </w:p>
          <w:p w14:paraId="0377C7E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01910987">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w:t>
            </w:r>
            <w:r>
              <w:rPr>
                <w:rFonts w:hint="default" w:eastAsia="仿宋_GB2312" w:cs="仿宋_GB2312"/>
                <w:i w:val="0"/>
                <w:snapToGrid w:val="0"/>
                <w:color w:val="000000"/>
                <w:kern w:val="2"/>
                <w:sz w:val="18"/>
                <w:szCs w:val="18"/>
                <w:highlight w:val="none"/>
                <w:u w:val="none"/>
                <w:lang w:val="en"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w:t>
            </w:r>
            <w:r>
              <w:rPr>
                <w:rFonts w:hint="default" w:eastAsia="仿宋_GB2312" w:cs="仿宋_GB2312"/>
                <w:i w:val="0"/>
                <w:snapToGrid w:val="0"/>
                <w:color w:val="000000"/>
                <w:kern w:val="2"/>
                <w:sz w:val="18"/>
                <w:szCs w:val="18"/>
                <w:highlight w:val="none"/>
                <w:u w:val="none"/>
                <w:lang w:val="en"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1F005B43">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w:t>
            </w:r>
            <w:r>
              <w:rPr>
                <w:rFonts w:hint="default" w:eastAsia="仿宋_GB2312" w:cs="仿宋_GB2312"/>
                <w:i w:val="0"/>
                <w:snapToGrid w:val="0"/>
                <w:color w:val="000000"/>
                <w:kern w:val="2"/>
                <w:sz w:val="18"/>
                <w:szCs w:val="18"/>
                <w:highlight w:val="none"/>
                <w:u w:val="none"/>
                <w:lang w:val="en"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08BCCD12">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05F5A">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152A03E">
            <w:pPr>
              <w:jc w:val="both"/>
              <w:rPr>
                <w:rFonts w:hint="eastAsia" w:ascii="仿宋_GB2312" w:hAnsi="宋体" w:eastAsia="仿宋_GB2312" w:cs="仿宋_GB2312"/>
                <w:i w:val="0"/>
                <w:iCs w:val="0"/>
                <w:color w:val="000000"/>
                <w:sz w:val="20"/>
                <w:szCs w:val="20"/>
                <w:u w:val="none"/>
              </w:rPr>
            </w:pPr>
          </w:p>
        </w:tc>
      </w:tr>
      <w:tr w14:paraId="726AE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14889B0">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56D72C">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F2FFE9">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2D1A59">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0406DC">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43BBC3">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15E4E3">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2EF1DD">
            <w:pPr>
              <w:jc w:val="both"/>
              <w:rPr>
                <w:rFonts w:hint="eastAsia" w:ascii="仿宋_GB2312" w:hAnsi="宋体" w:eastAsia="仿宋_GB2312" w:cs="仿宋_GB2312"/>
                <w:i w:val="0"/>
                <w:iCs w:val="0"/>
                <w:color w:val="000000"/>
                <w:sz w:val="20"/>
                <w:szCs w:val="20"/>
                <w:u w:val="none"/>
              </w:rPr>
            </w:pPr>
          </w:p>
        </w:tc>
        <w:tc>
          <w:tcPr>
            <w:tcW w:w="4950" w:type="dxa"/>
            <w:tcBorders>
              <w:top w:val="nil"/>
              <w:left w:val="single" w:color="000000" w:sz="4" w:space="0"/>
              <w:bottom w:val="single" w:color="000000" w:sz="4" w:space="0"/>
              <w:right w:val="single" w:color="000000" w:sz="4" w:space="0"/>
            </w:tcBorders>
            <w:shd w:val="clear" w:color="auto" w:fill="auto"/>
            <w:vAlign w:val="top"/>
          </w:tcPr>
          <w:p w14:paraId="385C3DD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1A038A">
            <w:pPr>
              <w:jc w:val="both"/>
              <w:rPr>
                <w:rFonts w:hint="eastAsia" w:ascii="仿宋_GB2312" w:hAnsi="宋体" w:eastAsia="仿宋_GB2312" w:cs="仿宋_GB2312"/>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AEA0F9">
            <w:pPr>
              <w:jc w:val="both"/>
              <w:rPr>
                <w:rFonts w:hint="eastAsia" w:ascii="仿宋_GB2312" w:hAnsi="宋体" w:eastAsia="仿宋_GB2312" w:cs="仿宋_GB2312"/>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F6509C">
            <w:pPr>
              <w:jc w:val="both"/>
              <w:rPr>
                <w:rFonts w:hint="eastAsia" w:ascii="仿宋_GB2312" w:hAnsi="宋体" w:eastAsia="仿宋_GB2312" w:cs="仿宋_GB2312"/>
                <w:i w:val="0"/>
                <w:iCs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B08D7C">
            <w:pPr>
              <w:jc w:val="both"/>
              <w:rPr>
                <w:rFonts w:hint="eastAsia" w:ascii="仿宋_GB2312" w:hAnsi="宋体" w:eastAsia="仿宋_GB2312" w:cs="仿宋_GB2312"/>
                <w:i w:val="0"/>
                <w:iCs w:val="0"/>
                <w:color w:val="000000"/>
                <w:sz w:val="20"/>
                <w:szCs w:val="20"/>
                <w:u w:val="none"/>
              </w:rPr>
            </w:pPr>
          </w:p>
        </w:tc>
      </w:tr>
      <w:tr w14:paraId="21207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89EB014">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sz w:val="20"/>
                <w:szCs w:val="20"/>
                <w:u w:val="none"/>
                <w:lang w:val="en-US"/>
              </w:rPr>
              <w:t>4</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F13F101">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A8EE52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对使用国家明令淘汰的用能设备或者生产工艺的处罚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2A53F8B">
            <w:pPr>
              <w:jc w:val="both"/>
              <w:rPr>
                <w:rFonts w:hint="eastAsia" w:ascii="仿宋_GB2312" w:hAnsi="宋体" w:eastAsia="仿宋_GB2312" w:cs="仿宋_GB2312"/>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852F805">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308AE6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投资节能和信息化股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530D1">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jc w:val="center"/>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1.【法律】《中华人民共和国节约能源法》</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lang w:val="en-US" w:eastAsia="zh-CN"/>
              </w:rPr>
              <w:t>2018年修正</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rPr>
              <w:t>第七十一条</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使用国家明令淘汰的用能设备或者生产工艺的，由管理节能工作的部门责令停止使用，没收国家明令淘汰的用能设备；情节严重的，可以由管理节能工作的部门提出意见，报请本级人民政府按照国务院规定的权限责令停业整顿或者关闭。</w:t>
            </w:r>
          </w:p>
          <w:p w14:paraId="0C8214EC">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jc w:val="center"/>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2.【法律】《中华人民共和国循环经济促进法》</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lang w:val="en-US" w:eastAsia="zh-CN"/>
              </w:rPr>
              <w:t>2008年国家主席令第4号，2008年8月29日发布，自2009年1月1日起施行</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rPr>
              <w:t>第五十条</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生产、销售列入淘汰名录的产品、设备的，依照《中华人民共和国产品质量法》的规定处罚。</w:t>
            </w:r>
          </w:p>
          <w:p w14:paraId="6AD49F6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使用列入淘汰名录的技术、工艺、设备、材料的，由县级以上地方人民政府循环经济发展综合管理部门责令停止使用，没收违法使用的设备、材料，并处五万元以上二十万元以下的罚款；情节严重的，由县级以上人民政府循环经济发展综合管理部门提出意见，报请本级人民政府按照国务院规定的权限责令停业或者关闭。</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5A5598">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w:t>
            </w:r>
            <w:r>
              <w:rPr>
                <w:rStyle w:val="8"/>
                <w:rFonts w:hAnsi="宋体"/>
                <w:highlight w:val="none"/>
                <w:lang w:val="en-US" w:eastAsia="zh-CN" w:bidi="ar"/>
              </w:rPr>
              <w:t>立案阶段责任：受案部门在对报案、控告、举报、群众扭送或者违法嫌疑人投案，以及其他行政主管部门、司法机关移送的案件，应当及时受理。</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2.调查阶段责任：受案部门对于立案的案件，指定专人负责调查，与当事人有直接利害关系的应当回避。调查时应出示执法证件，执法人员不得少于二人，执法人员应保守案件秘密。</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3.案件审查阶段责任：受案部门应当对案件违法事实、证据、调查取证程序、法律适用、处罚种类和幅度、当事人陈述和申辩理由等内容进行审查，提出处理意见（主要证据不足的，及时调查补充）。</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4.告知阶段责任：受案部门在做出行政处罚前，应当告知当事人违法事实以及依法享有的陈述、申辩的权利，拟作出责令停产停业、吊销许可证或执照、较大数额罚款的，可以要求听证的权利。</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5.决定阶段责任：受案部门根据案件审查情况决定是否予以行政处罚。依法给予行政处罚的，应当制作行政处罚决定书，载明违法事实和依据、处罚依据和内容、申请行政复议或提起行政诉讼的途径和期限等内容。</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6.送达阶段责任：行政处罚决定书应依法按时送达当事人。</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7.执行阶段责任：监督当事人在决定期限内履行义务；书面催告当事人及时履行处罚决定；依法申请人民法院强制执行。</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8.法律法规规定的其他责任。</w:t>
            </w:r>
            <w:r>
              <w:rPr>
                <w:rFonts w:hint="eastAsia" w:eastAsia="仿宋_GB2312" w:cs="仿宋_GB2312"/>
                <w:strike w:val="0"/>
                <w:dstrike w:val="0"/>
                <w:snapToGrid w:val="0"/>
                <w:color w:val="000000"/>
                <w:sz w:val="18"/>
                <w:szCs w:val="18"/>
                <w:highlight w:val="none"/>
                <w:lang w:eastAsia="zh-CN"/>
              </w:rPr>
              <w:t>（</w:t>
            </w:r>
            <w:r>
              <w:rPr>
                <w:rFonts w:hint="eastAsia" w:eastAsia="仿宋_GB2312" w:cs="仿宋_GB2312"/>
                <w:strike w:val="0"/>
                <w:dstrike w:val="0"/>
                <w:snapToGrid w:val="0"/>
                <w:color w:val="000000"/>
                <w:sz w:val="18"/>
                <w:szCs w:val="18"/>
                <w:highlight w:val="none"/>
                <w:lang w:val="en-US" w:eastAsia="zh-CN"/>
              </w:rPr>
              <w:t>有关股室</w:t>
            </w:r>
            <w:r>
              <w:rPr>
                <w:rFonts w:hint="eastAsia" w:eastAsia="仿宋_GB2312" w:cs="仿宋_GB2312"/>
                <w:strike w:val="0"/>
                <w:dstrike w:val="0"/>
                <w:snapToGrid w:val="0"/>
                <w:color w:val="000000"/>
                <w:sz w:val="18"/>
                <w:szCs w:val="18"/>
                <w:highlight w:val="none"/>
                <w:lang w:eastAsia="zh-CN"/>
              </w:rPr>
              <w:t>）</w:t>
            </w:r>
          </w:p>
        </w:tc>
        <w:tc>
          <w:tcPr>
            <w:tcW w:w="4950" w:type="dxa"/>
            <w:tcBorders>
              <w:top w:val="single" w:color="000000" w:sz="4" w:space="0"/>
              <w:left w:val="single" w:color="000000" w:sz="4" w:space="0"/>
              <w:bottom w:val="nil"/>
              <w:right w:val="single" w:color="000000" w:sz="4" w:space="0"/>
            </w:tcBorders>
            <w:shd w:val="clear" w:color="auto" w:fill="auto"/>
            <w:vAlign w:val="center"/>
          </w:tcPr>
          <w:p w14:paraId="04C9E65A">
            <w:pPr>
              <w:keepNext w:val="0"/>
              <w:keepLines w:val="0"/>
              <w:pageBreakBefore w:val="0"/>
              <w:kinsoku/>
              <w:wordWrap/>
              <w:overflowPunct/>
              <w:topLinePunct w:val="0"/>
              <w:autoSpaceDE/>
              <w:autoSpaceDN/>
              <w:bidi w:val="0"/>
              <w:spacing w:line="280" w:lineRule="exact"/>
              <w:ind w:firstLine="400" w:firstLineChars="200"/>
              <w:rPr>
                <w:rFonts w:hint="eastAsia" w:ascii="仿宋_GB2312" w:hAnsi="仿宋_GB2312" w:eastAsia="仿宋_GB2312" w:cs="仿宋_GB2312"/>
                <w:snapToGrid w:val="0"/>
                <w:color w:val="000000"/>
                <w:sz w:val="18"/>
                <w:szCs w:val="18"/>
                <w:highlight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62C7606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2FF5D5A8">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default" w:ascii="仿宋_GB2312" w:hAnsi="仿宋_GB2312" w:eastAsia="仿宋_GB2312" w:cs="仿宋_GB2312"/>
                <w:snapToGrid w:val="0"/>
                <w:color w:val="000000"/>
                <w:sz w:val="18"/>
                <w:szCs w:val="18"/>
                <w:highlight w:val="none"/>
                <w:lang w:val="en-US" w:eastAsia="zh-CN"/>
              </w:rPr>
              <w:t>第二十三条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行政处罚由县级以上地方人民政府具有行政处罚权的行政机关管辖。法律、行政法规另有规定的，从其规定。</w:t>
            </w:r>
            <w:r>
              <w:rPr>
                <w:rFonts w:hint="eastAsia" w:ascii="仿宋_GB2312" w:hAnsi="仿宋_GB2312" w:eastAsia="仿宋_GB2312" w:cs="仿宋_GB2312"/>
                <w:snapToGrid w:val="0"/>
                <w:color w:val="000000"/>
                <w:sz w:val="18"/>
                <w:szCs w:val="18"/>
                <w:highlight w:val="none"/>
                <w:lang w:val="en-US" w:eastAsia="zh-CN"/>
              </w:rPr>
              <w:t xml:space="preserve">  </w:t>
            </w:r>
          </w:p>
          <w:p w14:paraId="744D476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350619D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3C99B7F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5406A22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4CDE092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5ED01CC7">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2C68124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2B3E736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27D16EB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.【法律】《中华人民共和国行政处罚法》第四十四条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行政机关在作出行政处罚决定之前，应当告知当事人拟作出的行政处罚内容及事实、理由、依据，并告知当事人依法享有的陈述、申辩、要求听证等权利。</w:t>
            </w:r>
          </w:p>
          <w:p w14:paraId="00E9A1B8">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.【法律】《中华人民共和国行政处罚法》第六十三条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行政机关拟作出下列行政处罚决定，应当告知当事人有要求听证的权利，当事人要求听证的，行政机关应当组织听证</w:t>
            </w:r>
            <w:r>
              <w:rPr>
                <w:rFonts w:hint="default" w:ascii="仿宋_GB2312" w:hAnsi="仿宋_GB2312" w:eastAsia="仿宋_GB2312" w:cs="仿宋_GB2312"/>
                <w:snapToGrid w:val="0"/>
                <w:color w:val="000000"/>
                <w:sz w:val="18"/>
                <w:szCs w:val="18"/>
                <w:highlight w:val="none"/>
                <w:lang w:val="en"/>
              </w:rPr>
              <w:t xml:space="preserve">  </w:t>
            </w:r>
          </w:p>
          <w:p w14:paraId="076AB5B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较大数额罚款；（二）没收较大数额违法所得、没收较大价值非法财物；（三）降低资质等级、吊销许可证件；（四）责令停产停业、责令关闭、限制从业；（五）其他较重的行政处罚；（六）法律、法规、规章规定的其他情形。</w:t>
            </w:r>
          </w:p>
          <w:p w14:paraId="225B128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当事人不承担行政机关组织听证的费用。</w:t>
            </w:r>
          </w:p>
          <w:p w14:paraId="7B378088">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48A1553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1FDDC35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47E1BC2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464014B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650E6BC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1E7D5BA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7D7EC424">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17FE135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lang w:eastAsia="zh-CN"/>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r>
              <w:rPr>
                <w:rFonts w:hint="eastAsia" w:ascii="仿宋_GB2312" w:hAnsi="仿宋_GB2312" w:eastAsia="仿宋_GB2312" w:cs="仿宋_GB2312"/>
                <w:snapToGrid w:val="0"/>
                <w:color w:val="000000"/>
                <w:sz w:val="18"/>
                <w:szCs w:val="18"/>
                <w:highlight w:val="none"/>
                <w:lang w:eastAsia="zh-CN"/>
              </w:rPr>
              <w:t>。</w:t>
            </w:r>
          </w:p>
          <w:p w14:paraId="7905351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F85660">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Style w:val="8"/>
                <w:rFonts w:hAnsi="宋体"/>
                <w:highlight w:val="none"/>
                <w:lang w:val="en-US" w:eastAsia="zh-CN" w:bidi="ar"/>
              </w:rPr>
              <w:t>因不履行或不正确履行行政职责，有下列情形的，行政机关及相关工作人员应承担相应责任：</w:t>
            </w:r>
            <w:r>
              <w:rPr>
                <w:rStyle w:val="8"/>
                <w:rFonts w:hAnsi="宋体"/>
                <w:highlight w:val="none"/>
                <w:lang w:val="en-US" w:eastAsia="zh-CN" w:bidi="ar"/>
              </w:rPr>
              <w:br w:type="textWrapping"/>
            </w:r>
            <w:r>
              <w:rPr>
                <w:rStyle w:val="8"/>
                <w:rFonts w:hAnsi="宋体"/>
                <w:highlight w:val="none"/>
                <w:lang w:val="en-US" w:eastAsia="zh-CN" w:bidi="ar"/>
              </w:rPr>
              <w:t xml:space="preserve">  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2.擅自改变处罚幅度、范围的；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4.徇私舞弊、包庇、纵容用能违法行为的；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6.在行政处罚过程中发生腐败行为的或使用或者损毁扣押的财物，对当事人造成损失的；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7.其他违反法律法规和规章以及规范性文件规定的行为。</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lang w:val="en-US" w:eastAsia="zh-CN"/>
              </w:rPr>
              <w:t>有关股室</w:t>
            </w:r>
            <w:r>
              <w:rPr>
                <w:rFonts w:hint="eastAsia" w:eastAsia="仿宋_GB2312" w:cs="仿宋_GB2312"/>
                <w:snapToGrid w:val="0"/>
                <w:color w:val="000000"/>
                <w:sz w:val="18"/>
                <w:szCs w:val="18"/>
                <w:highlight w:val="none"/>
                <w:lang w:eastAsia="zh-CN"/>
              </w:rPr>
              <w:t>）</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4A045">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
              </w:rPr>
            </w:pP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06D1E84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5C14381E">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54F4C3A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548C170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3C53874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w:t>
            </w:r>
            <w:r>
              <w:rPr>
                <w:rFonts w:hint="eastAsia" w:eastAsia="仿宋_GB2312" w:cs="仿宋_GB2312"/>
                <w:i w:val="0"/>
                <w:snapToGrid w:val="0"/>
                <w:color w:val="000000"/>
                <w:kern w:val="2"/>
                <w:sz w:val="18"/>
                <w:szCs w:val="18"/>
                <w:highlight w:val="none"/>
                <w:u w:val="none"/>
                <w:lang w:val="en-US" w:eastAsia="zh-CN" w:bidi="ar"/>
              </w:rPr>
              <w:t>（</w:t>
            </w:r>
            <w:r>
              <w:rPr>
                <w:rFonts w:hint="eastAsia" w:ascii="Times New Roman" w:hAnsi="Times New Roman" w:eastAsia="仿宋_GB2312" w:cs="仿宋_GB2312"/>
                <w:i w:val="0"/>
                <w:snapToGrid w:val="0"/>
                <w:color w:val="000000"/>
                <w:kern w:val="2"/>
                <w:sz w:val="18"/>
                <w:szCs w:val="18"/>
                <w:highlight w:val="none"/>
                <w:u w:val="none"/>
                <w:lang w:val="en-US" w:eastAsia="zh-CN" w:bidi="ar"/>
              </w:rPr>
              <w:t>二）在管理服务活动中故意刁难、吃拿卡要的；（三）在管理服务活动中态度恶劣粗暴，造成不良后果或者影响的；</w:t>
            </w:r>
            <w:r>
              <w:rPr>
                <w:rFonts w:hint="eastAsia" w:eastAsia="仿宋_GB2312" w:cs="仿宋_GB2312"/>
                <w:i w:val="0"/>
                <w:snapToGrid w:val="0"/>
                <w:color w:val="000000"/>
                <w:kern w:val="2"/>
                <w:sz w:val="18"/>
                <w:szCs w:val="18"/>
                <w:highlight w:val="none"/>
                <w:u w:val="none"/>
                <w:lang w:val="en-US" w:eastAsia="zh-CN" w:bidi="ar"/>
              </w:rPr>
              <w:t>（</w:t>
            </w:r>
            <w:r>
              <w:rPr>
                <w:rFonts w:hint="eastAsia" w:ascii="Times New Roman" w:hAnsi="Times New Roman" w:eastAsia="仿宋_GB2312" w:cs="仿宋_GB2312"/>
                <w:i w:val="0"/>
                <w:snapToGrid w:val="0"/>
                <w:color w:val="000000"/>
                <w:kern w:val="2"/>
                <w:sz w:val="18"/>
                <w:szCs w:val="18"/>
                <w:highlight w:val="none"/>
                <w:u w:val="none"/>
                <w:lang w:val="en-US" w:eastAsia="zh-CN" w:bidi="ar"/>
              </w:rPr>
              <w:t>四）不按照规定公开工作信息，侵犯管理服务对象知情权，造成不良后果或者影响的；（五）其他侵犯管理服务对象利益的行为，造成不良后果或者影响的。</w:t>
            </w:r>
          </w:p>
          <w:p w14:paraId="46943877">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3C603B75">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w:t>
            </w:r>
            <w:r>
              <w:rPr>
                <w:rFonts w:hint="default" w:eastAsia="仿宋_GB2312" w:cs="仿宋_GB2312"/>
                <w:i w:val="0"/>
                <w:snapToGrid w:val="0"/>
                <w:color w:val="000000"/>
                <w:kern w:val="2"/>
                <w:sz w:val="18"/>
                <w:szCs w:val="18"/>
                <w:highlight w:val="none"/>
                <w:u w:val="none"/>
                <w:lang w:val="en"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w:t>
            </w:r>
            <w:r>
              <w:rPr>
                <w:rFonts w:hint="default" w:eastAsia="仿宋_GB2312" w:cs="仿宋_GB2312"/>
                <w:i w:val="0"/>
                <w:snapToGrid w:val="0"/>
                <w:color w:val="000000"/>
                <w:kern w:val="2"/>
                <w:sz w:val="18"/>
                <w:szCs w:val="18"/>
                <w:highlight w:val="none"/>
                <w:u w:val="none"/>
                <w:lang w:val="en"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205F1175">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w:t>
            </w:r>
            <w:r>
              <w:rPr>
                <w:rFonts w:hint="default" w:eastAsia="仿宋_GB2312" w:cs="仿宋_GB2312"/>
                <w:i w:val="0"/>
                <w:snapToGrid w:val="0"/>
                <w:color w:val="000000"/>
                <w:kern w:val="2"/>
                <w:sz w:val="18"/>
                <w:szCs w:val="18"/>
                <w:highlight w:val="none"/>
                <w:u w:val="none"/>
                <w:lang w:val="en"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4EE2399F">
            <w:pPr>
              <w:keepNext w:val="0"/>
              <w:keepLines w:val="0"/>
              <w:widowControl/>
              <w:suppressLineNumbers w:val="0"/>
              <w:ind w:firstLine="360" w:firstLineChars="200"/>
              <w:jc w:val="left"/>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3E4E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2F994F9">
            <w:pPr>
              <w:jc w:val="both"/>
              <w:rPr>
                <w:rFonts w:hint="eastAsia" w:ascii="仿宋_GB2312" w:hAnsi="宋体" w:eastAsia="仿宋_GB2312" w:cs="仿宋_GB2312"/>
                <w:i w:val="0"/>
                <w:iCs w:val="0"/>
                <w:color w:val="000000"/>
                <w:sz w:val="20"/>
                <w:szCs w:val="20"/>
                <w:u w:val="none"/>
              </w:rPr>
            </w:pPr>
          </w:p>
        </w:tc>
      </w:tr>
      <w:tr w14:paraId="7198E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2C1A3B">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0FD3F1">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401415">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C6C296">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A8934E">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B7B7E2">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A9CF40">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BD5C39F">
            <w:pPr>
              <w:jc w:val="both"/>
              <w:rPr>
                <w:rFonts w:hint="eastAsia" w:ascii="仿宋_GB2312" w:hAnsi="宋体" w:eastAsia="仿宋_GB2312" w:cs="仿宋_GB2312"/>
                <w:i w:val="0"/>
                <w:iCs w:val="0"/>
                <w:color w:val="000000"/>
                <w:sz w:val="20"/>
                <w:szCs w:val="20"/>
                <w:u w:val="none"/>
              </w:rPr>
            </w:pPr>
          </w:p>
        </w:tc>
        <w:tc>
          <w:tcPr>
            <w:tcW w:w="4950" w:type="dxa"/>
            <w:tcBorders>
              <w:top w:val="nil"/>
              <w:left w:val="single" w:color="000000" w:sz="4" w:space="0"/>
              <w:bottom w:val="single" w:color="000000" w:sz="4" w:space="0"/>
              <w:right w:val="single" w:color="000000" w:sz="4" w:space="0"/>
            </w:tcBorders>
            <w:shd w:val="clear" w:color="auto" w:fill="auto"/>
            <w:vAlign w:val="top"/>
          </w:tcPr>
          <w:p w14:paraId="2C7859E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E774F9">
            <w:pPr>
              <w:jc w:val="both"/>
              <w:rPr>
                <w:rFonts w:hint="eastAsia" w:ascii="仿宋_GB2312" w:hAnsi="宋体" w:eastAsia="仿宋_GB2312" w:cs="仿宋_GB2312"/>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CF6920">
            <w:pPr>
              <w:jc w:val="both"/>
              <w:rPr>
                <w:rFonts w:hint="eastAsia" w:ascii="仿宋_GB2312" w:hAnsi="宋体" w:eastAsia="仿宋_GB2312" w:cs="仿宋_GB2312"/>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58E2EF">
            <w:pPr>
              <w:jc w:val="both"/>
              <w:rPr>
                <w:rFonts w:hint="eastAsia" w:ascii="仿宋_GB2312" w:hAnsi="宋体" w:eastAsia="仿宋_GB2312" w:cs="仿宋_GB2312"/>
                <w:i w:val="0"/>
                <w:iCs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F17AABC">
            <w:pPr>
              <w:jc w:val="both"/>
              <w:rPr>
                <w:rFonts w:hint="eastAsia" w:ascii="仿宋_GB2312" w:hAnsi="宋体" w:eastAsia="仿宋_GB2312" w:cs="仿宋_GB2312"/>
                <w:i w:val="0"/>
                <w:iCs w:val="0"/>
                <w:color w:val="000000"/>
                <w:sz w:val="20"/>
                <w:szCs w:val="20"/>
                <w:u w:val="none"/>
              </w:rPr>
            </w:pPr>
          </w:p>
        </w:tc>
      </w:tr>
      <w:tr w14:paraId="6A834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1C15920">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sz w:val="20"/>
                <w:szCs w:val="20"/>
                <w:u w:val="none"/>
                <w:lang w:val="en-US"/>
              </w:rPr>
              <w:t>5</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73C723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111CC7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对生产单位超过单位产品能耗限额标准用能的处罚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698A642">
            <w:pPr>
              <w:jc w:val="both"/>
              <w:rPr>
                <w:rFonts w:hint="eastAsia" w:ascii="仿宋_GB2312" w:hAnsi="宋体" w:eastAsia="仿宋_GB2312" w:cs="仿宋_GB2312"/>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25A3187">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8C4982C">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投资节能和信息化股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7914E">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【法律】《中华人民共和国节约能源法》</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lang w:val="en-US" w:eastAsia="zh-CN"/>
              </w:rPr>
              <w:t>2018年修正</w:t>
            </w:r>
            <w:r>
              <w:rPr>
                <w:rFonts w:hint="eastAsia" w:eastAsia="仿宋_GB2312" w:cs="仿宋_GB2312"/>
                <w:snapToGrid w:val="0"/>
                <w:color w:val="000000"/>
                <w:sz w:val="18"/>
                <w:szCs w:val="18"/>
                <w:highlight w:val="none"/>
                <w:lang w:eastAsia="zh-CN"/>
              </w:rPr>
              <w:t>）</w:t>
            </w:r>
          </w:p>
          <w:p w14:paraId="285E9ADA">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第七十二条</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生产单位超过单位产品能耗限额标准用能，情节严重，经限期治理逾期不治理或者没有达到治理要求的，可以由管理节能工作的部门提出意见，报请本级人民政府按照国务院规定的权限责令停业整顿或者关闭。</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D3467">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w:t>
            </w:r>
            <w:r>
              <w:rPr>
                <w:rStyle w:val="8"/>
                <w:rFonts w:hAnsi="宋体"/>
                <w:highlight w:val="none"/>
                <w:lang w:val="en-US" w:eastAsia="zh-CN" w:bidi="ar"/>
              </w:rPr>
              <w:t>立案阶段责任：受案部门在对报案、控告、举报、群众扭送或者违法嫌疑人投案，以及其他行政主管部门、司法机关移送的案件，应当及时受理。</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2.调查阶段责任：受案部门对于立案的案件，指定专人负责调查，与当事人有直接利害关系的应当回避。调查时应出示执法证件，执法人员不得少于二人，执法人员应保守案件秘密。</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3.案件审查阶段责任：受案部门应当对案件违法事实、证据、调查取证程序、法律适用、处罚种类和幅度、当事人陈述和申辩理由等内容进行审查，提出处理意见（主要证据不足的，及时调查补充）。</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4.告知阶段责任：受案部门在做出行政处罚前，应当告知当事人违法事实以及依法享有的陈述、申辩的权利，拟作出责令停产停业、吊销许可证或执照、较大数额罚款的，可以要求听证的权利。</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5.决定阶段责任：受案部门根据案件审查情况决定是否予以行政处罚。依法给予行政处罚的，应当制作行政处罚决定书，载明违法事实和依据、处罚依据和内容、申请行政复议或提起行政诉讼的途径和期限等内容。</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6.送达阶段责任：行政处罚决定书应依法按时送达当事人。</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7.执行阶段责任：监督当事人在决定期限内履行义务；书面催告当事人及时履行处罚决定；依法申请人民法院强制执行。</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8.法律法规规定的其他责任。</w:t>
            </w:r>
            <w:r>
              <w:rPr>
                <w:rFonts w:hint="eastAsia" w:eastAsia="仿宋_GB2312" w:cs="仿宋_GB2312"/>
                <w:strike w:val="0"/>
                <w:dstrike w:val="0"/>
                <w:snapToGrid w:val="0"/>
                <w:color w:val="000000"/>
                <w:sz w:val="18"/>
                <w:szCs w:val="18"/>
                <w:highlight w:val="none"/>
                <w:lang w:eastAsia="zh-CN"/>
              </w:rPr>
              <w:t>（</w:t>
            </w:r>
            <w:r>
              <w:rPr>
                <w:rFonts w:hint="eastAsia" w:eastAsia="仿宋_GB2312" w:cs="仿宋_GB2312"/>
                <w:strike w:val="0"/>
                <w:dstrike w:val="0"/>
                <w:snapToGrid w:val="0"/>
                <w:color w:val="000000"/>
                <w:sz w:val="18"/>
                <w:szCs w:val="18"/>
                <w:highlight w:val="none"/>
                <w:lang w:val="en-US" w:eastAsia="zh-CN"/>
              </w:rPr>
              <w:t>有关股室</w:t>
            </w:r>
            <w:r>
              <w:rPr>
                <w:rFonts w:hint="eastAsia" w:eastAsia="仿宋_GB2312" w:cs="仿宋_GB2312"/>
                <w:strike w:val="0"/>
                <w:dstrike w:val="0"/>
                <w:snapToGrid w:val="0"/>
                <w:color w:val="000000"/>
                <w:sz w:val="18"/>
                <w:szCs w:val="18"/>
                <w:highlight w:val="none"/>
                <w:lang w:eastAsia="zh-CN"/>
              </w:rPr>
              <w:t>）</w:t>
            </w:r>
          </w:p>
        </w:tc>
        <w:tc>
          <w:tcPr>
            <w:tcW w:w="4950" w:type="dxa"/>
            <w:tcBorders>
              <w:top w:val="single" w:color="000000" w:sz="4" w:space="0"/>
              <w:left w:val="single" w:color="000000" w:sz="4" w:space="0"/>
              <w:bottom w:val="nil"/>
              <w:right w:val="single" w:color="000000" w:sz="4" w:space="0"/>
            </w:tcBorders>
            <w:shd w:val="clear" w:color="auto" w:fill="auto"/>
            <w:vAlign w:val="center"/>
          </w:tcPr>
          <w:p w14:paraId="39AEFE7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00A8B8D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69E2481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default" w:ascii="仿宋_GB2312" w:hAnsi="仿宋_GB2312" w:eastAsia="仿宋_GB2312" w:cs="仿宋_GB2312"/>
                <w:snapToGrid w:val="0"/>
                <w:color w:val="000000"/>
                <w:sz w:val="18"/>
                <w:szCs w:val="18"/>
                <w:highlight w:val="none"/>
                <w:lang w:val="en-US" w:eastAsia="zh-CN"/>
              </w:rPr>
              <w:t>第二十三条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行政处罚由县级以上地方人民政府具有行政处罚权的行政机关管辖。法律、行政法规另有规定的，从其规定。</w:t>
            </w:r>
            <w:r>
              <w:rPr>
                <w:rFonts w:hint="eastAsia" w:ascii="仿宋_GB2312" w:hAnsi="仿宋_GB2312" w:eastAsia="仿宋_GB2312" w:cs="仿宋_GB2312"/>
                <w:snapToGrid w:val="0"/>
                <w:color w:val="000000"/>
                <w:sz w:val="18"/>
                <w:szCs w:val="18"/>
                <w:highlight w:val="none"/>
                <w:lang w:val="en-US" w:eastAsia="zh-CN"/>
              </w:rPr>
              <w:t xml:space="preserve">  </w:t>
            </w:r>
          </w:p>
          <w:p w14:paraId="4626C0A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088B398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1A93C79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066691CE">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63D3FAB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4F47998B">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68D0EF6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31A90D9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7D4762F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.【法律】《中华人民共和国行政处罚法》第四十四条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行政机关在作出行政处罚决定之前，应当告知当事人拟作出的行政处罚内容及事实、理由、依据，并告知当事人依法享有的陈述、申辩、要求听证等权利。</w:t>
            </w:r>
          </w:p>
          <w:p w14:paraId="195DAD33">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.【法律】《中华人民共和国行政处罚法》第六十三条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行政机关拟作出下列行政处罚决定，应当告知当事人有要求听证的权利，当事人要求听证的，行政机关应当组织听证</w:t>
            </w:r>
            <w:r>
              <w:rPr>
                <w:rFonts w:hint="default" w:ascii="仿宋_GB2312" w:hAnsi="仿宋_GB2312" w:eastAsia="仿宋_GB2312" w:cs="仿宋_GB2312"/>
                <w:snapToGrid w:val="0"/>
                <w:color w:val="000000"/>
                <w:sz w:val="18"/>
                <w:szCs w:val="18"/>
                <w:highlight w:val="none"/>
                <w:lang w:val="en"/>
              </w:rPr>
              <w:t xml:space="preserve">  </w:t>
            </w:r>
          </w:p>
          <w:p w14:paraId="769D2B6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较大数额罚款；（二）没收较大数额违法所得、没收较大价值非法财物；（三）降低资质等级、吊销许可证件；（四）责令停产停业、责令关闭、限制从业；（五）其他较重的行政处罚；（六）法律、法规、规章规定的其他情形。</w:t>
            </w:r>
          </w:p>
          <w:p w14:paraId="229CFBB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当事人不承担行政机关组织听证的费用。</w:t>
            </w:r>
          </w:p>
          <w:p w14:paraId="5D80B235">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6BEBA5E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58553B5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5A292D5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31A4479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2FBA4218">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1000CF0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7249273D">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6AA877C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p>
          <w:p w14:paraId="507C2D8B">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434C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因不履行或不正确履行行政职责，有下列情形的，行政机关及相关工作人员应承担相应责任：</w:t>
            </w:r>
            <w:r>
              <w:rPr>
                <w:rStyle w:val="8"/>
                <w:rFonts w:hAnsi="宋体"/>
                <w:highlight w:val="none"/>
                <w:lang w:val="en-US" w:eastAsia="zh-CN" w:bidi="ar"/>
              </w:rPr>
              <w:br w:type="textWrapping"/>
            </w:r>
            <w:r>
              <w:rPr>
                <w:rStyle w:val="8"/>
                <w:rFonts w:hAnsi="宋体"/>
                <w:highlight w:val="none"/>
                <w:lang w:val="en-US" w:eastAsia="zh-CN" w:bidi="ar"/>
              </w:rPr>
              <w:t xml:space="preserve">  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2.擅自改变处罚幅度、范围的；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4.徇私舞弊、包庇、纵容用能违法行为的；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6.在行政处罚过程中发生腐败行为的或使用、损毁扣押的财物，对当事人造成损失的；</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r>
              <w:rPr>
                <w:rStyle w:val="8"/>
                <w:rFonts w:hAnsi="宋体"/>
                <w:highlight w:val="none"/>
                <w:lang w:val="en-US" w:eastAsia="zh-CN" w:bidi="ar"/>
              </w:rPr>
              <w:t xml:space="preserve">  7.其他违反法律法规、规章以及规范性文件规定的行为。</w:t>
            </w:r>
            <w:r>
              <w:rPr>
                <w:rFonts w:hint="eastAsia" w:eastAsia="仿宋_GB2312" w:cs="仿宋_GB2312"/>
                <w:snapToGrid w:val="0"/>
                <w:color w:val="000000"/>
                <w:sz w:val="18"/>
                <w:szCs w:val="18"/>
                <w:highlight w:val="none"/>
                <w:lang w:eastAsia="zh-CN"/>
              </w:rPr>
              <w:t>（机关纪委）</w:t>
            </w:r>
            <w:r>
              <w:rPr>
                <w:rStyle w:val="8"/>
                <w:rFonts w:hAnsi="宋体"/>
                <w:highlight w:val="none"/>
                <w:lang w:val="en-US" w:eastAsia="zh-CN" w:bidi="ar"/>
              </w:rPr>
              <w:br w:type="textWrapping"/>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6A7E9">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445D0FA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2BB9E63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3C34D59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72495DC5">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5D0450CE">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（一）违反规定向管理服务对象收取、摊派财物的；（二）在管理服务活动中故意刁难、吃拿卡要的；（三）在管理服务活动中态度恶劣粗暴，造成不良后果或者影响的；</w:t>
            </w:r>
            <w:r>
              <w:rPr>
                <w:rFonts w:hint="eastAsia" w:eastAsia="仿宋_GB2312" w:cs="仿宋_GB2312"/>
                <w:i w:val="0"/>
                <w:snapToGrid w:val="0"/>
                <w:color w:val="000000"/>
                <w:kern w:val="2"/>
                <w:sz w:val="18"/>
                <w:szCs w:val="18"/>
                <w:highlight w:val="none"/>
                <w:u w:val="none"/>
                <w:lang w:val="en-US" w:eastAsia="zh-CN" w:bidi="ar"/>
              </w:rPr>
              <w:t>（</w:t>
            </w:r>
            <w:r>
              <w:rPr>
                <w:rFonts w:hint="eastAsia" w:ascii="Times New Roman" w:hAnsi="Times New Roman" w:eastAsia="仿宋_GB2312" w:cs="仿宋_GB2312"/>
                <w:i w:val="0"/>
                <w:snapToGrid w:val="0"/>
                <w:color w:val="000000"/>
                <w:kern w:val="2"/>
                <w:sz w:val="18"/>
                <w:szCs w:val="18"/>
                <w:highlight w:val="none"/>
                <w:u w:val="none"/>
                <w:lang w:val="en-US" w:eastAsia="zh-CN" w:bidi="ar"/>
              </w:rPr>
              <w:t>四）不按照规定公开工作信息，侵犯管理服务对象知情权，造成不良后果或者影响的；（五）其他侵犯管理服务对象利益的行为，造成不良后果或者影响的。</w:t>
            </w:r>
          </w:p>
          <w:p w14:paraId="11CB71E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2859D36D">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3B5BE9AB">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　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11CF100C">
            <w:pPr>
              <w:keepNext w:val="0"/>
              <w:keepLines w:val="0"/>
              <w:widowControl/>
              <w:suppressLineNumbers w:val="0"/>
              <w:ind w:firstLine="360" w:firstLineChars="20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69CD3">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60CFB7F">
            <w:pPr>
              <w:jc w:val="both"/>
              <w:rPr>
                <w:rFonts w:hint="eastAsia" w:ascii="仿宋_GB2312" w:hAnsi="宋体" w:eastAsia="仿宋_GB2312" w:cs="仿宋_GB2312"/>
                <w:i w:val="0"/>
                <w:iCs w:val="0"/>
                <w:color w:val="000000"/>
                <w:sz w:val="20"/>
                <w:szCs w:val="20"/>
                <w:u w:val="none"/>
              </w:rPr>
            </w:pPr>
          </w:p>
        </w:tc>
      </w:tr>
      <w:tr w14:paraId="09C62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7D322A">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9BE401">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4D6D76">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848513">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58A65E4">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F4AD38">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1CA9F3">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23A2BA">
            <w:pPr>
              <w:jc w:val="both"/>
              <w:rPr>
                <w:rFonts w:hint="eastAsia" w:ascii="仿宋_GB2312" w:hAnsi="宋体" w:eastAsia="仿宋_GB2312" w:cs="仿宋_GB2312"/>
                <w:i w:val="0"/>
                <w:iCs w:val="0"/>
                <w:color w:val="000000"/>
                <w:sz w:val="20"/>
                <w:szCs w:val="20"/>
                <w:u w:val="none"/>
              </w:rPr>
            </w:pPr>
          </w:p>
        </w:tc>
        <w:tc>
          <w:tcPr>
            <w:tcW w:w="4950" w:type="dxa"/>
            <w:tcBorders>
              <w:top w:val="nil"/>
              <w:left w:val="single" w:color="000000" w:sz="4" w:space="0"/>
              <w:bottom w:val="single" w:color="000000" w:sz="4" w:space="0"/>
              <w:right w:val="single" w:color="000000" w:sz="4" w:space="0"/>
            </w:tcBorders>
            <w:shd w:val="clear" w:color="auto" w:fill="auto"/>
            <w:vAlign w:val="top"/>
          </w:tcPr>
          <w:p w14:paraId="328813C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85EDA8">
            <w:pPr>
              <w:jc w:val="both"/>
              <w:rPr>
                <w:rFonts w:hint="eastAsia" w:ascii="仿宋_GB2312" w:hAnsi="宋体" w:eastAsia="仿宋_GB2312" w:cs="仿宋_GB2312"/>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BAA92F">
            <w:pPr>
              <w:jc w:val="both"/>
              <w:rPr>
                <w:rFonts w:hint="eastAsia" w:ascii="仿宋_GB2312" w:hAnsi="宋体" w:eastAsia="仿宋_GB2312" w:cs="仿宋_GB2312"/>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09B6DF">
            <w:pPr>
              <w:jc w:val="both"/>
              <w:rPr>
                <w:rFonts w:hint="eastAsia" w:ascii="仿宋_GB2312" w:hAnsi="宋体" w:eastAsia="仿宋_GB2312" w:cs="仿宋_GB2312"/>
                <w:i w:val="0"/>
                <w:iCs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A98C55">
            <w:pPr>
              <w:jc w:val="both"/>
              <w:rPr>
                <w:rFonts w:hint="eastAsia" w:ascii="仿宋_GB2312" w:hAnsi="宋体" w:eastAsia="仿宋_GB2312" w:cs="仿宋_GB2312"/>
                <w:i w:val="0"/>
                <w:iCs w:val="0"/>
                <w:color w:val="000000"/>
                <w:sz w:val="20"/>
                <w:szCs w:val="20"/>
                <w:u w:val="none"/>
              </w:rPr>
            </w:pPr>
          </w:p>
        </w:tc>
      </w:tr>
      <w:tr w14:paraId="0CAA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DE8BA48">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sz w:val="20"/>
                <w:szCs w:val="20"/>
                <w:u w:val="none"/>
                <w:lang w:val="en-US"/>
              </w:rPr>
              <w:t>6</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7B4AC5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177E1F1">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对重点用能单位未按照规定设立能源管理岗位并报管理节能工作的部门和有关部门备案的处罚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66F0FB1">
            <w:pPr>
              <w:jc w:val="both"/>
              <w:rPr>
                <w:rFonts w:hint="eastAsia" w:ascii="仿宋_GB2312" w:hAnsi="宋体" w:eastAsia="仿宋_GB2312" w:cs="仿宋_GB2312"/>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60E344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41BAF1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投资节能和信息化股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42493">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eastAsia" w:eastAsia="仿宋_GB2312" w:cs="仿宋_GB2312"/>
                <w:snapToGrid w:val="0"/>
                <w:color w:val="000000"/>
                <w:sz w:val="18"/>
                <w:szCs w:val="18"/>
                <w:highlight w:val="none"/>
                <w:lang w:eastAsia="zh-C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【法律】《中华人民共和国节约能源法》</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lang w:val="en-US" w:eastAsia="zh-CN"/>
              </w:rPr>
              <w:t>2018年修正</w:t>
            </w:r>
            <w:r>
              <w:rPr>
                <w:rFonts w:hint="eastAsia" w:eastAsia="仿宋_GB2312" w:cs="仿宋_GB2312"/>
                <w:snapToGrid w:val="0"/>
                <w:color w:val="000000"/>
                <w:sz w:val="18"/>
                <w:szCs w:val="18"/>
                <w:highlight w:val="none"/>
                <w:lang w:eastAsia="zh-CN"/>
              </w:rPr>
              <w:t>）</w:t>
            </w:r>
          </w:p>
          <w:p w14:paraId="6F70EDC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第八十四条</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重点用能单位未按照本法规定设立能源管理岗位，聘任能源管理负责人，并报管理节能工作的部门和有关部门备案的，由管理节能工作的部门责令改正；拒不改正的，处一万元以上三万元以下罚款。</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563C92">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w:t>
            </w:r>
            <w:r>
              <w:rPr>
                <w:rStyle w:val="8"/>
                <w:rFonts w:hAnsi="宋体"/>
                <w:highlight w:val="none"/>
                <w:lang w:val="en-US" w:eastAsia="zh-CN" w:bidi="ar"/>
              </w:rPr>
              <w:t>立案阶段责任：受案部门在对报案、控告、举报、群众扭送或者违法嫌疑人投案，以及其他行政主管部门、司法机关移送的案件，应当及时受理。</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2.调查阶段责任：受案部门对于立案的案件，指定专人负责调查，与当事人有直接利害关系的应当回避。调查时应出示执法证件，执法人员不得少于二人，执法人员应保守案件秘密。</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3.案件审查阶段责任：受案部门应当对案件违法事实、证据、调查取证程序、法律适用、处罚种类和幅度、当事人陈述和申辩理由等内容进行审查，提出处理意见（主要证据不足的，及时调查补充）。</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4.告知阶段责任：受案部门在做出行政处罚前，应当告知当事人违法事实以及依法享有的陈述、申辩的权利，拟作出责令停产停业、吊销许可证或执照、较大数额罚款的，可以要求听证的权利。</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5.决定阶段责任：受案部门根据案件审查情况决定是否予以行政处罚。依法给予行政处罚的，应当制作行政处罚决定书，载明违法事实和依据、处罚依据和内容、申请行政复议或提起行政诉讼的途径和期限等内容。</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6.送达阶段责任：行政处罚决定书应依法按时送达当事人。</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7.执行阶段责任：监督当事人在决定期限内履行义务；书面催告当事人及时履行处罚决定；依法申请人民法院强制执行。</w:t>
            </w:r>
            <w:r>
              <w:rPr>
                <w:rFonts w:hint="eastAsia" w:eastAsia="仿宋_GB2312" w:cs="仿宋_GB2312"/>
                <w:snapToGrid w:val="0"/>
                <w:color w:val="000000"/>
                <w:sz w:val="18"/>
                <w:szCs w:val="18"/>
                <w:highlight w:val="none"/>
                <w:lang w:val="en-US" w:eastAsia="zh-CN"/>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8.法律法规规定的其他责任。</w:t>
            </w:r>
            <w:r>
              <w:rPr>
                <w:rFonts w:hint="eastAsia" w:eastAsia="仿宋_GB2312" w:cs="仿宋_GB2312"/>
                <w:strike w:val="0"/>
                <w:dstrike w:val="0"/>
                <w:snapToGrid w:val="0"/>
                <w:color w:val="000000"/>
                <w:sz w:val="18"/>
                <w:szCs w:val="18"/>
                <w:highlight w:val="none"/>
                <w:lang w:eastAsia="zh-CN"/>
              </w:rPr>
              <w:t>（</w:t>
            </w:r>
            <w:r>
              <w:rPr>
                <w:rFonts w:hint="eastAsia" w:eastAsia="仿宋_GB2312" w:cs="仿宋_GB2312"/>
                <w:strike w:val="0"/>
                <w:dstrike w:val="0"/>
                <w:snapToGrid w:val="0"/>
                <w:color w:val="000000"/>
                <w:sz w:val="18"/>
                <w:szCs w:val="18"/>
                <w:highlight w:val="none"/>
                <w:lang w:val="en-US" w:eastAsia="zh-CN"/>
              </w:rPr>
              <w:t>有关股室</w:t>
            </w:r>
            <w:r>
              <w:rPr>
                <w:rFonts w:hint="eastAsia" w:eastAsia="仿宋_GB2312" w:cs="仿宋_GB2312"/>
                <w:strike w:val="0"/>
                <w:dstrike w:val="0"/>
                <w:snapToGrid w:val="0"/>
                <w:color w:val="000000"/>
                <w:sz w:val="18"/>
                <w:szCs w:val="18"/>
                <w:highlight w:val="none"/>
                <w:lang w:eastAsia="zh-CN"/>
              </w:rPr>
              <w:t>）</w:t>
            </w:r>
          </w:p>
        </w:tc>
        <w:tc>
          <w:tcPr>
            <w:tcW w:w="4950" w:type="dxa"/>
            <w:tcBorders>
              <w:top w:val="single" w:color="000000" w:sz="4" w:space="0"/>
              <w:left w:val="single" w:color="000000" w:sz="4" w:space="0"/>
              <w:bottom w:val="nil"/>
              <w:right w:val="single" w:color="000000" w:sz="4" w:space="0"/>
            </w:tcBorders>
            <w:shd w:val="clear" w:color="auto" w:fill="auto"/>
            <w:vAlign w:val="center"/>
          </w:tcPr>
          <w:p w14:paraId="060FF28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（1996年中华人民共和国主席令第63号公布，2021年1月22日第十三届全国人民代表大会常务委员会第二十五次会议修订，自2021年7月15日起施行）</w:t>
            </w:r>
            <w:r>
              <w:rPr>
                <w:rFonts w:hint="eastAsia" w:ascii="仿宋_GB2312" w:hAnsi="仿宋_GB2312" w:eastAsia="仿宋_GB2312" w:cs="仿宋_GB2312"/>
                <w:snapToGrid w:val="0"/>
                <w:color w:val="000000"/>
                <w:sz w:val="18"/>
                <w:szCs w:val="18"/>
                <w:highlight w:val="none"/>
              </w:rPr>
              <w:t>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34EECC1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653D4B4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snapToGrid w:val="0"/>
                <w:color w:val="000000"/>
                <w:sz w:val="18"/>
                <w:szCs w:val="18"/>
                <w:highlight w:val="none"/>
                <w:lang w:eastAsia="zh-CN"/>
              </w:rPr>
              <w:t>第二十三条</w:t>
            </w:r>
            <w:r>
              <w:rPr>
                <w:rFonts w:hint="default" w:ascii="仿宋_GB2312" w:hAnsi="仿宋_GB2312" w:eastAsia="仿宋_GB2312" w:cs="仿宋_GB2312"/>
                <w:snapToGrid w:val="0"/>
                <w:color w:val="000000"/>
                <w:sz w:val="18"/>
                <w:szCs w:val="18"/>
                <w:highlight w:val="none"/>
                <w:lang w:val="en" w:eastAsia="zh-CN"/>
              </w:rPr>
              <w:t xml:space="preserve">  </w:t>
            </w:r>
            <w:r>
              <w:rPr>
                <w:rFonts w:hint="eastAsia" w:ascii="仿宋_GB2312" w:hAnsi="仿宋_GB2312" w:eastAsia="仿宋_GB2312" w:cs="仿宋_GB2312"/>
                <w:i w:val="0"/>
                <w:caps w:val="0"/>
                <w:snapToGrid w:val="0"/>
                <w:color w:val="000000"/>
                <w:spacing w:val="0"/>
                <w:kern w:val="2"/>
                <w:sz w:val="18"/>
                <w:szCs w:val="18"/>
                <w:highlight w:val="none"/>
                <w:lang w:val="en-US" w:eastAsia="zh-CN" w:bidi="ar"/>
              </w:rPr>
              <w:t xml:space="preserve">《行政处罚法》第二十三条  行政处罚由县级以上地方人民政府具有行政处罚权的行政机关管辖。法律、行政法规另有规定的，从其规定。  </w:t>
            </w:r>
          </w:p>
          <w:p w14:paraId="175889C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08E88A7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val="0"/>
                <w:snapToGrid w:val="0"/>
                <w:color w:val="FF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078B06C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71A4163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77A8EF8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1C8ED88A">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2F4D8ED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0239D41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2533E6F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第三十四条 行政机关可以依法制定行政处罚裁量基准，规范行使行政处罚裁量权。行政处罚裁量基准应当向社会公布。</w:t>
            </w:r>
          </w:p>
          <w:p w14:paraId="7BE35255">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.【法律】《中华人民共和国行政处罚法》第六十四条听证应当依照以下程序组织</w:t>
            </w:r>
            <w:r>
              <w:rPr>
                <w:rFonts w:hint="default" w:ascii="仿宋_GB2312" w:hAnsi="仿宋_GB2312" w:eastAsia="仿宋_GB2312" w:cs="仿宋_GB2312"/>
                <w:snapToGrid w:val="0"/>
                <w:color w:val="000000"/>
                <w:sz w:val="18"/>
                <w:szCs w:val="18"/>
                <w:highlight w:val="none"/>
                <w:lang w:val="en"/>
              </w:rPr>
              <w:t xml:space="preserve">  </w:t>
            </w:r>
          </w:p>
          <w:p w14:paraId="7E21D588">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p>
          <w:p w14:paraId="6A6E87C6">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749341FE">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2B2DC39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2CF9596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lang w:eastAsia="zh-C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064F15E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63555C8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1736034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23BA64E2">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6FAE997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FF271D">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因不履行或不正确履行行政职责，有下列情形的，行政机关及相关工作人员应承担相应责任</w:t>
            </w:r>
            <w:r>
              <w:rPr>
                <w:rFonts w:hint="default" w:eastAsia="仿宋_GB2312" w:cs="仿宋_GB2312"/>
                <w:snapToGrid w:val="0"/>
                <w:color w:val="000000"/>
                <w:sz w:val="18"/>
                <w:szCs w:val="18"/>
                <w:highlight w:val="none"/>
                <w:lang w:val="en"/>
              </w:rPr>
              <w:t xml:space="preserve">  </w:t>
            </w:r>
          </w:p>
          <w:p w14:paraId="0058A00E">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p>
          <w:p w14:paraId="10BB3F9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2.擅自改变处罚幅度、范围的；</w:t>
            </w:r>
            <w:r>
              <w:rPr>
                <w:rFonts w:hint="eastAsia" w:eastAsia="仿宋_GB2312" w:cs="仿宋_GB2312"/>
                <w:snapToGrid w:val="0"/>
                <w:color w:val="000000"/>
                <w:sz w:val="18"/>
                <w:szCs w:val="18"/>
                <w:highlight w:val="none"/>
                <w:lang w:eastAsia="zh-CN"/>
              </w:rPr>
              <w:t>（机关纪委）</w:t>
            </w:r>
          </w:p>
          <w:p w14:paraId="23B70A3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p>
          <w:p w14:paraId="2D98774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4.徇私舞弊、包庇、纵容用能违法行为的；</w:t>
            </w:r>
            <w:r>
              <w:rPr>
                <w:rFonts w:hint="eastAsia" w:eastAsia="仿宋_GB2312" w:cs="仿宋_GB2312"/>
                <w:snapToGrid w:val="0"/>
                <w:color w:val="000000"/>
                <w:sz w:val="18"/>
                <w:szCs w:val="18"/>
                <w:highlight w:val="none"/>
                <w:lang w:eastAsia="zh-CN"/>
              </w:rPr>
              <w:t>（机关纪委）</w:t>
            </w:r>
          </w:p>
          <w:p w14:paraId="2A44B807">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p>
          <w:p w14:paraId="2657F26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6.在行政处罚过程中发生腐败行为的或使用、损毁扣押的财物，对当事人造成损失的；</w:t>
            </w:r>
            <w:r>
              <w:rPr>
                <w:rFonts w:hint="eastAsia" w:eastAsia="仿宋_GB2312" w:cs="仿宋_GB2312"/>
                <w:snapToGrid w:val="0"/>
                <w:color w:val="000000"/>
                <w:sz w:val="18"/>
                <w:szCs w:val="18"/>
                <w:highlight w:val="none"/>
                <w:lang w:eastAsia="zh-CN"/>
              </w:rPr>
              <w:t>（机关纪委）</w:t>
            </w:r>
          </w:p>
          <w:p w14:paraId="6AFAF3E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7.其他违反法律法规、规章以及规范性文件规定的行为。</w:t>
            </w:r>
            <w:r>
              <w:rPr>
                <w:rFonts w:hint="eastAsia" w:eastAsia="仿宋_GB2312" w:cs="仿宋_GB2312"/>
                <w:snapToGrid w:val="0"/>
                <w:color w:val="000000"/>
                <w:sz w:val="18"/>
                <w:szCs w:val="18"/>
                <w:highlight w:val="none"/>
                <w:lang w:eastAsia="zh-CN"/>
              </w:rPr>
              <w:t>（机关纪委）</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E4884F">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
              </w:rPr>
            </w:pP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5BFA98F3">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w:t>
            </w:r>
            <w:r>
              <w:rPr>
                <w:rFonts w:hint="eastAsia" w:eastAsia="仿宋_GB2312" w:cs="仿宋_GB2312"/>
                <w:snapToGrid w:val="0"/>
                <w:color w:val="000000"/>
                <w:sz w:val="18"/>
                <w:szCs w:val="18"/>
                <w:highlight w:val="none"/>
                <w:lang w:eastAsia="zh-CN"/>
              </w:rPr>
              <w:t>（</w:t>
            </w:r>
            <w:r>
              <w:rPr>
                <w:rFonts w:hint="eastAsia" w:eastAsia="仿宋_GB2312" w:cs="仿宋_GB2312"/>
                <w:snapToGrid w:val="0"/>
                <w:color w:val="000000"/>
                <w:sz w:val="18"/>
                <w:szCs w:val="18"/>
                <w:highlight w:val="none"/>
              </w:rPr>
              <w:t>四）违反本法第二十条关于委托处罚的规定的；（五）执法人员未取得执法证件的。</w:t>
            </w:r>
          </w:p>
          <w:p w14:paraId="79311E5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0B8C261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589150FF">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366D045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w:t>
            </w:r>
            <w:r>
              <w:rPr>
                <w:rFonts w:hint="eastAsia" w:eastAsia="仿宋_GB2312" w:cs="仿宋_GB2312"/>
                <w:i w:val="0"/>
                <w:snapToGrid w:val="0"/>
                <w:color w:val="000000"/>
                <w:kern w:val="2"/>
                <w:sz w:val="18"/>
                <w:szCs w:val="18"/>
                <w:highlight w:val="none"/>
                <w:u w:val="none"/>
                <w:lang w:val="en-US" w:eastAsia="zh-CN" w:bidi="ar"/>
              </w:rPr>
              <w:t>（</w:t>
            </w:r>
            <w:r>
              <w:rPr>
                <w:rFonts w:hint="eastAsia" w:ascii="Times New Roman" w:hAnsi="Times New Roman" w:eastAsia="仿宋_GB2312" w:cs="仿宋_GB2312"/>
                <w:i w:val="0"/>
                <w:snapToGrid w:val="0"/>
                <w:color w:val="000000"/>
                <w:kern w:val="2"/>
                <w:sz w:val="18"/>
                <w:szCs w:val="18"/>
                <w:highlight w:val="none"/>
                <w:u w:val="none"/>
                <w:lang w:val="en-US" w:eastAsia="zh-CN" w:bidi="ar"/>
              </w:rPr>
              <w:t>二）在管理服务活动中故意刁难、吃拿卡要的；（三）在管理服务活动中态度恶劣粗暴，造成不良后果或者影响的；（四）不按照规定公开工作信息，侵犯管理服务对象知情权，造成不良后果或者影响的；（五）其他侵犯管理服务对象利益的行为，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194FA920">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0AFA0B48">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　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7B34297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48C81">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64C2673">
            <w:pPr>
              <w:jc w:val="both"/>
              <w:rPr>
                <w:rFonts w:hint="eastAsia" w:ascii="仿宋_GB2312" w:hAnsi="宋体" w:eastAsia="仿宋_GB2312" w:cs="仿宋_GB2312"/>
                <w:i w:val="0"/>
                <w:iCs w:val="0"/>
                <w:color w:val="000000"/>
                <w:sz w:val="20"/>
                <w:szCs w:val="20"/>
                <w:highlight w:val="none"/>
                <w:u w:val="none"/>
              </w:rPr>
            </w:pPr>
          </w:p>
        </w:tc>
      </w:tr>
      <w:tr w14:paraId="08F7F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A2D7AF8">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7886BF">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D6C599">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F60D97">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8A5AC6D">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1D9DA5">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36509E">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E52300">
            <w:pPr>
              <w:jc w:val="both"/>
              <w:rPr>
                <w:rFonts w:hint="eastAsia" w:ascii="仿宋_GB2312" w:hAnsi="宋体" w:eastAsia="仿宋_GB2312" w:cs="仿宋_GB2312"/>
                <w:i w:val="0"/>
                <w:iCs w:val="0"/>
                <w:color w:val="000000"/>
                <w:sz w:val="20"/>
                <w:szCs w:val="20"/>
                <w:u w:val="none"/>
              </w:rPr>
            </w:pPr>
          </w:p>
        </w:tc>
        <w:tc>
          <w:tcPr>
            <w:tcW w:w="4950" w:type="dxa"/>
            <w:tcBorders>
              <w:top w:val="nil"/>
              <w:left w:val="single" w:color="000000" w:sz="4" w:space="0"/>
              <w:bottom w:val="single" w:color="000000" w:sz="4" w:space="0"/>
              <w:right w:val="single" w:color="000000" w:sz="4" w:space="0"/>
            </w:tcBorders>
            <w:shd w:val="clear" w:color="auto" w:fill="auto"/>
            <w:vAlign w:val="top"/>
          </w:tcPr>
          <w:p w14:paraId="6A1BC7A9">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52660E">
            <w:pPr>
              <w:jc w:val="both"/>
              <w:rPr>
                <w:rFonts w:hint="eastAsia" w:ascii="仿宋_GB2312" w:hAnsi="宋体" w:eastAsia="仿宋_GB2312" w:cs="仿宋_GB2312"/>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B05EF8">
            <w:pPr>
              <w:jc w:val="both"/>
              <w:rPr>
                <w:rFonts w:hint="eastAsia" w:ascii="仿宋_GB2312" w:hAnsi="宋体" w:eastAsia="仿宋_GB2312" w:cs="仿宋_GB2312"/>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A36AAB">
            <w:pPr>
              <w:jc w:val="both"/>
              <w:rPr>
                <w:rFonts w:hint="eastAsia" w:ascii="仿宋_GB2312" w:hAnsi="宋体" w:eastAsia="仿宋_GB2312" w:cs="仿宋_GB2312"/>
                <w:i w:val="0"/>
                <w:iCs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8CC577">
            <w:pPr>
              <w:jc w:val="both"/>
              <w:rPr>
                <w:rFonts w:hint="eastAsia" w:ascii="仿宋_GB2312" w:hAnsi="宋体" w:eastAsia="仿宋_GB2312" w:cs="仿宋_GB2312"/>
                <w:i w:val="0"/>
                <w:iCs w:val="0"/>
                <w:color w:val="000000"/>
                <w:sz w:val="20"/>
                <w:szCs w:val="20"/>
                <w:u w:val="none"/>
              </w:rPr>
            </w:pPr>
          </w:p>
        </w:tc>
      </w:tr>
      <w:tr w14:paraId="28028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EB50D65">
            <w:pPr>
              <w:keepNext w:val="0"/>
              <w:keepLines w:val="0"/>
              <w:widowControl/>
              <w:suppressLineNumbers w:val="0"/>
              <w:jc w:val="both"/>
              <w:textAlignment w:val="center"/>
              <w:rPr>
                <w:rFonts w:hint="default" w:ascii="仿宋_GB2312" w:hAnsi="宋体" w:eastAsia="仿宋_GB2312" w:cs="仿宋_GB2312"/>
                <w:i w:val="0"/>
                <w:iCs w:val="0"/>
                <w:color w:val="000000"/>
                <w:sz w:val="20"/>
                <w:szCs w:val="20"/>
                <w:u w:val="none"/>
                <w:lang w:val="en-US"/>
              </w:rPr>
            </w:pPr>
            <w:r>
              <w:rPr>
                <w:rFonts w:hint="default" w:ascii="仿宋_GB2312" w:hAnsi="宋体" w:eastAsia="仿宋_GB2312" w:cs="仿宋_GB2312"/>
                <w:i w:val="0"/>
                <w:iCs w:val="0"/>
                <w:color w:val="000000"/>
                <w:sz w:val="20"/>
                <w:szCs w:val="20"/>
                <w:u w:val="none"/>
                <w:lang w:val="en-US"/>
              </w:rPr>
              <w:t>7</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52D2A1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1E2698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对无偿向本单位职工提供能源或者能源消费实行包费制的处罚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589559B">
            <w:pPr>
              <w:jc w:val="both"/>
              <w:rPr>
                <w:rFonts w:hint="eastAsia" w:ascii="仿宋_GB2312" w:hAnsi="宋体" w:eastAsia="仿宋_GB2312" w:cs="仿宋_GB2312"/>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F84B687">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4DB7A3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投资节能和信息化股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69825">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【法律】《中华人民共和国节约能源法》第十二条：县级以上人民政府管理节能工作的部门和有关部门应当在各自的职责范围内，加强对节能法律、法规和节能标准执行情况的监督检查，依法查处违法用能行为。</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第七十七条：违反本法规定，无偿向本单位职工提供能源或者对能源消费实行包费制的，由管理节能工作的部门责令限期改正；逾期不改正的，处五万元以上二十万元以下罚款。</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8C024">
            <w:pPr>
              <w:keepNext w:val="0"/>
              <w:keepLines w:val="0"/>
              <w:widowControl/>
              <w:suppressLineNumbers w:val="0"/>
              <w:jc w:val="left"/>
              <w:textAlignment w:val="center"/>
              <w:rPr>
                <w:rFonts w:hint="eastAsia" w:eastAsia="仿宋_GB2312" w:cs="仿宋_GB2312"/>
                <w:snapToGrid w:val="0"/>
                <w:color w:val="000000"/>
                <w:sz w:val="18"/>
                <w:szCs w:val="18"/>
                <w:highlight w:val="none"/>
                <w:lang w:val="en-US" w:eastAsia="zh-C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1.立案阶段责任：受案部门在对报案、控告、举报、群众扭送或者违法嫌疑人投案，以及其他行政主管部门、司法机关移送的案件，应当及时受理。</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2.调查阶段责任：受案部门对于立案的案件，指定专人负责调查，与当事人有直接利害关系的应当回避。调查时应出示执法证件，执法人员不得少于二人，执法人员应保守案件秘密。 </w:t>
            </w:r>
            <w:r>
              <w:rPr>
                <w:rFonts w:hint="eastAsia" w:eastAsia="仿宋_GB2312" w:cs="仿宋_GB2312"/>
                <w:snapToGrid w:val="0"/>
                <w:color w:val="000000"/>
                <w:sz w:val="18"/>
                <w:szCs w:val="18"/>
                <w:highlight w:val="none"/>
                <w:lang w:val="en-US" w:eastAsia="zh-CN"/>
              </w:rPr>
              <w:t>（投资节能和信息化股）</w:t>
            </w:r>
          </w:p>
          <w:p w14:paraId="0A9E0D1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3.案件审查阶段责任：受案部门应当对案件违法事实、证据、调查取证程序、法律适用、处罚种类和幅度、当事人陈述和申辩理由等内容进行审查，提出处理意见（主要证据不足的，及时调查补充）。</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4.告知阶段责任：受案部门在做出行政处罚前，应当告知当事人违法事实以及依法享有的陈述、申辩的权利，拟作出责令停产停业、吊销许可证或执照、较大数额罚款的，可以要求听证的权利。</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5.决定阶段责任：受案部门根据案件审查情况决定是否予以行政处罚。依法给予行政处罚的，应当制作行政处罚决定书，载明违法事实和依据、处罚依据和内容、申请行政复议或提起行政诉讼的途径和期限等内容。</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6.送达阶段责任：行政处罚决定书应依法按时送达当事人。</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7.执行阶段责任：监督当事人在决定期限内履行义务；书面催告当事人及时履行处罚决定；依法申请人民法院强制执行。</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8.法律法规规定的其他责任。</w:t>
            </w:r>
            <w:r>
              <w:rPr>
                <w:rFonts w:hint="eastAsia" w:eastAsia="仿宋_GB2312" w:cs="仿宋_GB2312"/>
                <w:strike w:val="0"/>
                <w:dstrike w:val="0"/>
                <w:snapToGrid w:val="0"/>
                <w:color w:val="000000"/>
                <w:sz w:val="18"/>
                <w:szCs w:val="18"/>
                <w:highlight w:val="none"/>
                <w:lang w:eastAsia="zh-CN"/>
              </w:rPr>
              <w:t>（</w:t>
            </w:r>
            <w:r>
              <w:rPr>
                <w:rFonts w:hint="eastAsia" w:eastAsia="仿宋_GB2312" w:cs="仿宋_GB2312"/>
                <w:strike w:val="0"/>
                <w:dstrike w:val="0"/>
                <w:snapToGrid w:val="0"/>
                <w:color w:val="000000"/>
                <w:sz w:val="18"/>
                <w:szCs w:val="18"/>
                <w:highlight w:val="none"/>
                <w:lang w:val="en-US" w:eastAsia="zh-CN"/>
              </w:rPr>
              <w:t>有关股室</w:t>
            </w:r>
            <w:r>
              <w:rPr>
                <w:rFonts w:hint="eastAsia" w:eastAsia="仿宋_GB2312" w:cs="仿宋_GB2312"/>
                <w:strike w:val="0"/>
                <w:dstrike w:val="0"/>
                <w:snapToGrid w:val="0"/>
                <w:color w:val="000000"/>
                <w:sz w:val="18"/>
                <w:szCs w:val="18"/>
                <w:highlight w:val="none"/>
                <w:lang w:eastAsia="zh-CN"/>
              </w:rPr>
              <w:t>）</w:t>
            </w:r>
          </w:p>
        </w:tc>
        <w:tc>
          <w:tcPr>
            <w:tcW w:w="4950" w:type="dxa"/>
            <w:tcBorders>
              <w:top w:val="single" w:color="000000" w:sz="4" w:space="0"/>
              <w:left w:val="single" w:color="000000" w:sz="4" w:space="0"/>
              <w:bottom w:val="nil"/>
              <w:right w:val="single" w:color="000000" w:sz="4" w:space="0"/>
            </w:tcBorders>
            <w:shd w:val="clear" w:color="auto" w:fill="auto"/>
            <w:vAlign w:val="center"/>
          </w:tcPr>
          <w:p w14:paraId="37ECC10D">
            <w:pPr>
              <w:keepNext w:val="0"/>
              <w:keepLines w:val="0"/>
              <w:pageBreakBefore w:val="0"/>
              <w:kinsoku/>
              <w:wordWrap/>
              <w:overflowPunct/>
              <w:topLinePunct w:val="0"/>
              <w:autoSpaceDE/>
              <w:autoSpaceDN/>
              <w:bidi w:val="0"/>
              <w:spacing w:line="280" w:lineRule="exact"/>
              <w:ind w:firstLine="400" w:firstLineChars="200"/>
              <w:rPr>
                <w:rFonts w:hint="eastAsia" w:ascii="仿宋_GB2312" w:hAnsi="仿宋_GB2312" w:eastAsia="仿宋_GB2312" w:cs="仿宋_GB2312"/>
                <w:snapToGrid w:val="0"/>
                <w:color w:val="000000"/>
                <w:sz w:val="18"/>
                <w:szCs w:val="18"/>
                <w:highlight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552C5B1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43CA7DB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default" w:ascii="仿宋_GB2312" w:hAnsi="仿宋_GB2312" w:eastAsia="仿宋_GB2312" w:cs="仿宋_GB2312"/>
                <w:snapToGrid w:val="0"/>
                <w:color w:val="000000"/>
                <w:sz w:val="18"/>
                <w:szCs w:val="18"/>
                <w:highlight w:val="none"/>
                <w:lang w:val="en-US" w:eastAsia="zh-CN"/>
              </w:rPr>
              <w:t>第二十三条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行政处罚由县级以上地方人民政府具有行政处罚权的行政机关管辖。法律、行政法规另有规定的，从其规定。</w:t>
            </w:r>
            <w:r>
              <w:rPr>
                <w:rFonts w:hint="eastAsia" w:ascii="仿宋_GB2312" w:hAnsi="仿宋_GB2312" w:eastAsia="仿宋_GB2312" w:cs="仿宋_GB2312"/>
                <w:snapToGrid w:val="0"/>
                <w:color w:val="000000"/>
                <w:sz w:val="18"/>
                <w:szCs w:val="18"/>
                <w:highlight w:val="none"/>
                <w:lang w:val="en-US" w:eastAsia="zh-CN"/>
              </w:rPr>
              <w:t xml:space="preserve">  </w:t>
            </w:r>
          </w:p>
          <w:p w14:paraId="373BDBC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35F714B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11CA261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76D8287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632FEED8">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7C69B351">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1C66BCE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75FA8A2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1DA59B7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.【法律】《中华人民共和国行政处罚法》第四十四条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行政机关在作出行政处罚决定之前，应当告知当事人拟作出的行政处罚内容及事实、理由、依据，并告知当事人依法享有的陈述、申辩、要求听证等权利。</w:t>
            </w:r>
          </w:p>
          <w:p w14:paraId="3DBD7F51">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.【法律】《中华人民共和国行政处罚法》第六十三条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行政机关拟作出下列行政处罚决定，应当告知当事人有要求听证的权利，当事人要求听证的，行政机关应当组织听证</w:t>
            </w:r>
            <w:r>
              <w:rPr>
                <w:rFonts w:hint="default" w:ascii="仿宋_GB2312" w:hAnsi="仿宋_GB2312" w:eastAsia="仿宋_GB2312" w:cs="仿宋_GB2312"/>
                <w:snapToGrid w:val="0"/>
                <w:color w:val="000000"/>
                <w:sz w:val="18"/>
                <w:szCs w:val="18"/>
                <w:highlight w:val="none"/>
                <w:lang w:val="en"/>
              </w:rPr>
              <w:t xml:space="preserve">  </w:t>
            </w:r>
          </w:p>
          <w:p w14:paraId="41119D3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较大数额罚款；（二）没收较大数额违法所得、没收较大价值非法财物；（三）降低资质等级、吊销许可证件；（四）责令停产停业、责令关闭、限制从业；（五）其他较重的行政处罚；（六）法律、法规、规章规定的其他情形。</w:t>
            </w:r>
          </w:p>
          <w:p w14:paraId="7B3016E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当事人不承担行政机关组织听证的费用。</w:t>
            </w:r>
          </w:p>
          <w:p w14:paraId="678DFA32">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598B92C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5FD5438E">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48B40CD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53D0ED4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2AB51B8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47559FC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42D7404A">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008D271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p>
          <w:p w14:paraId="4BD7314A">
            <w:pPr>
              <w:keepNext w:val="0"/>
              <w:keepLines w:val="0"/>
              <w:widowControl/>
              <w:suppressLineNumbers w:val="0"/>
              <w:jc w:val="left"/>
              <w:textAlignment w:val="center"/>
              <w:rPr>
                <w:rFonts w:hint="eastAsia" w:ascii="仿宋_GB2312" w:hAnsi="宋体" w:eastAsia="仿宋_GB2312" w:cs="仿宋_GB2312"/>
                <w:i w:val="0"/>
                <w:iCs w:val="0"/>
                <w:color w:val="000000"/>
                <w:kern w:val="0"/>
                <w:sz w:val="20"/>
                <w:szCs w:val="20"/>
                <w:highlight w:val="none"/>
                <w:u w:val="none"/>
                <w:lang w:val="en-US" w:eastAsia="zh-CN" w:bidi="ar"/>
              </w:rPr>
            </w:pPr>
          </w:p>
          <w:p w14:paraId="3F7E7EB3">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7C1B9">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因不履行或不正确履行行政职责，有下列情形的，行政机关及相关工作人员应承担相应责任</w:t>
            </w:r>
            <w:r>
              <w:rPr>
                <w:rFonts w:hint="default" w:eastAsia="仿宋_GB2312" w:cs="仿宋_GB2312"/>
                <w:snapToGrid w:val="0"/>
                <w:color w:val="000000"/>
                <w:sz w:val="18"/>
                <w:szCs w:val="18"/>
                <w:highlight w:val="none"/>
                <w:lang w:val="en"/>
              </w:rPr>
              <w:t xml:space="preserve">  </w:t>
            </w:r>
          </w:p>
          <w:p w14:paraId="5671F4B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p>
          <w:p w14:paraId="1435E79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2.擅自改变处罚幅度、范围的；</w:t>
            </w:r>
            <w:r>
              <w:rPr>
                <w:rFonts w:hint="eastAsia" w:eastAsia="仿宋_GB2312" w:cs="仿宋_GB2312"/>
                <w:snapToGrid w:val="0"/>
                <w:color w:val="000000"/>
                <w:sz w:val="18"/>
                <w:szCs w:val="18"/>
                <w:highlight w:val="none"/>
                <w:lang w:eastAsia="zh-CN"/>
              </w:rPr>
              <w:t>（机关纪委）</w:t>
            </w:r>
          </w:p>
          <w:p w14:paraId="120AC5B6">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p>
          <w:p w14:paraId="129DABA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4.徇私舞弊、包庇、纵容用能违法行为的；</w:t>
            </w:r>
            <w:r>
              <w:rPr>
                <w:rFonts w:hint="eastAsia" w:eastAsia="仿宋_GB2312" w:cs="仿宋_GB2312"/>
                <w:snapToGrid w:val="0"/>
                <w:color w:val="000000"/>
                <w:sz w:val="18"/>
                <w:szCs w:val="18"/>
                <w:highlight w:val="none"/>
                <w:lang w:eastAsia="zh-CN"/>
              </w:rPr>
              <w:t>（机关纪委）</w:t>
            </w:r>
          </w:p>
          <w:p w14:paraId="3426BC2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p>
          <w:p w14:paraId="2032D4F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6.在行政处罚过程中发生腐败行为的或使用、损毁扣押的财物，对当事人造成损失的；</w:t>
            </w:r>
            <w:r>
              <w:rPr>
                <w:rFonts w:hint="eastAsia" w:eastAsia="仿宋_GB2312" w:cs="仿宋_GB2312"/>
                <w:snapToGrid w:val="0"/>
                <w:color w:val="000000"/>
                <w:sz w:val="18"/>
                <w:szCs w:val="18"/>
                <w:highlight w:val="none"/>
                <w:lang w:eastAsia="zh-CN"/>
              </w:rPr>
              <w:t>（机关纪委）</w:t>
            </w:r>
          </w:p>
          <w:p w14:paraId="79A7A1F9">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7.其他违反法律法规、规章以及规范性文件规定的行为。</w:t>
            </w:r>
            <w:r>
              <w:rPr>
                <w:rFonts w:hint="eastAsia" w:eastAsia="仿宋_GB2312" w:cs="仿宋_GB2312"/>
                <w:snapToGrid w:val="0"/>
                <w:color w:val="000000"/>
                <w:sz w:val="18"/>
                <w:szCs w:val="18"/>
                <w:highlight w:val="none"/>
                <w:lang w:eastAsia="zh-CN"/>
              </w:rPr>
              <w:t>（机关纪委）</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0E86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
              </w:rPr>
            </w:pP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65C45563">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52028B85">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4D222E0C">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2C0C675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2327CAA5">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二）在管理服务活动中故意刁难、吃拿卡要的；（三）在管理服务活动中态度恶劣粗暴，造成不良后果或者影响的；（四）不按照规定公开工作信息，侵犯管理服务对象知情权，造成不良后果或者影响的；（五）其他侵犯管理服务对象利益的行为，造成不良后果或者影响的。</w:t>
            </w:r>
          </w:p>
          <w:p w14:paraId="1423217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6803E700">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72516FE4">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　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4E6A9F6C">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85DAB">
            <w:pPr>
              <w:keepNext w:val="0"/>
              <w:keepLines w:val="0"/>
              <w:widowControl/>
              <w:suppressLineNumbers w:val="0"/>
              <w:jc w:val="left"/>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A3414FA">
            <w:pPr>
              <w:jc w:val="both"/>
              <w:rPr>
                <w:rFonts w:hint="eastAsia" w:ascii="仿宋_GB2312" w:hAnsi="宋体" w:eastAsia="仿宋_GB2312" w:cs="仿宋_GB2312"/>
                <w:i w:val="0"/>
                <w:iCs w:val="0"/>
                <w:color w:val="000000"/>
                <w:sz w:val="20"/>
                <w:szCs w:val="20"/>
                <w:u w:val="none"/>
              </w:rPr>
            </w:pPr>
          </w:p>
        </w:tc>
      </w:tr>
      <w:tr w14:paraId="621B3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7A9973">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26F586">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3F75F5">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DC5EFB">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1078DF">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04C09BA">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82DB72">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765FC3">
            <w:pPr>
              <w:jc w:val="both"/>
              <w:rPr>
                <w:rFonts w:hint="eastAsia" w:ascii="仿宋_GB2312" w:hAnsi="宋体" w:eastAsia="仿宋_GB2312" w:cs="仿宋_GB2312"/>
                <w:i w:val="0"/>
                <w:iCs w:val="0"/>
                <w:color w:val="000000"/>
                <w:sz w:val="20"/>
                <w:szCs w:val="20"/>
                <w:u w:val="none"/>
              </w:rPr>
            </w:pPr>
          </w:p>
        </w:tc>
        <w:tc>
          <w:tcPr>
            <w:tcW w:w="4950" w:type="dxa"/>
            <w:tcBorders>
              <w:top w:val="nil"/>
              <w:left w:val="single" w:color="000000" w:sz="4" w:space="0"/>
              <w:bottom w:val="single" w:color="000000" w:sz="4" w:space="0"/>
              <w:right w:val="single" w:color="000000" w:sz="4" w:space="0"/>
            </w:tcBorders>
            <w:shd w:val="clear" w:color="auto" w:fill="auto"/>
            <w:vAlign w:val="top"/>
          </w:tcPr>
          <w:p w14:paraId="231C418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EF511A">
            <w:pPr>
              <w:jc w:val="both"/>
              <w:rPr>
                <w:rFonts w:hint="eastAsia" w:ascii="仿宋_GB2312" w:hAnsi="宋体" w:eastAsia="仿宋_GB2312" w:cs="仿宋_GB2312"/>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2DD42E">
            <w:pPr>
              <w:jc w:val="both"/>
              <w:rPr>
                <w:rFonts w:hint="eastAsia" w:ascii="仿宋_GB2312" w:hAnsi="宋体" w:eastAsia="仿宋_GB2312" w:cs="仿宋_GB2312"/>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8AE4DD">
            <w:pPr>
              <w:jc w:val="both"/>
              <w:rPr>
                <w:rFonts w:hint="eastAsia" w:ascii="仿宋_GB2312" w:hAnsi="宋体" w:eastAsia="仿宋_GB2312" w:cs="仿宋_GB2312"/>
                <w:i w:val="0"/>
                <w:iCs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5F3C14">
            <w:pPr>
              <w:jc w:val="both"/>
              <w:rPr>
                <w:rFonts w:hint="eastAsia" w:ascii="仿宋_GB2312" w:hAnsi="宋体" w:eastAsia="仿宋_GB2312" w:cs="仿宋_GB2312"/>
                <w:i w:val="0"/>
                <w:iCs w:val="0"/>
                <w:color w:val="000000"/>
                <w:sz w:val="20"/>
                <w:szCs w:val="20"/>
                <w:u w:val="none"/>
              </w:rPr>
            </w:pPr>
          </w:p>
        </w:tc>
      </w:tr>
      <w:tr w14:paraId="58A41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83"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3142502B">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sz w:val="20"/>
                <w:szCs w:val="20"/>
                <w:u w:val="none"/>
                <w:lang w:val="en-US"/>
              </w:rPr>
              <w:t>8</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7C66D05">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75F08017">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对未按照规定报送能源利用状况报告或者报告内容不实的处罚</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35330F85">
            <w:pPr>
              <w:jc w:val="both"/>
              <w:rPr>
                <w:rFonts w:hint="eastAsia" w:ascii="仿宋_GB2312" w:hAnsi="宋体" w:eastAsia="仿宋_GB2312" w:cs="仿宋_GB2312"/>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14A8C9B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top"/>
          </w:tcPr>
          <w:p w14:paraId="06DC7DA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投资节能和信息化股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CBDF">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【法律】《中华人民共和国节约能源法》第十二条：县级以上人民政府管理节能工作的部门和有关部门应当在各自的职责范围内，加强对节能法律、法规和节能标准执行情况的监督检查，依法查处违法用能行为。</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第八十二条：重点用能单位未按照本法规定报送能源利用状况报告或者报告内容不实的，由管理节能工作的部门责令限期改正；逾期不改正的，处一万元以上五万元以下罚款。</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1748">
            <w:pPr>
              <w:keepNext w:val="0"/>
              <w:keepLines w:val="0"/>
              <w:widowControl/>
              <w:suppressLineNumbers w:val="0"/>
              <w:jc w:val="left"/>
              <w:textAlignment w:val="center"/>
              <w:rPr>
                <w:rFonts w:hint="eastAsia" w:eastAsia="仿宋_GB2312" w:cs="仿宋_GB2312"/>
                <w:snapToGrid w:val="0"/>
                <w:color w:val="000000"/>
                <w:sz w:val="18"/>
                <w:szCs w:val="18"/>
                <w:highlight w:val="none"/>
                <w:lang w:val="en-US" w:eastAsia="zh-C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1.立案阶段责任：受案部门在对报案、控告、举报、群众扭送或者违法嫌疑人投案，以及其他行政主管部门、司法机关移送的案件，应当及时受理。</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2.调查阶段责任：受案部门对于立案的案件，指定专人负责调查，与当事人有直接利害关系的应当回避。调查时应出示执法证件，执法人员不得少于二人，执法人员应保守案件秘密。 </w:t>
            </w:r>
            <w:r>
              <w:rPr>
                <w:rFonts w:hint="eastAsia" w:eastAsia="仿宋_GB2312" w:cs="仿宋_GB2312"/>
                <w:snapToGrid w:val="0"/>
                <w:color w:val="000000"/>
                <w:sz w:val="18"/>
                <w:szCs w:val="18"/>
                <w:highlight w:val="none"/>
                <w:lang w:val="en-US" w:eastAsia="zh-CN"/>
              </w:rPr>
              <w:t>（投资节能和信息化股）</w:t>
            </w:r>
          </w:p>
          <w:p w14:paraId="21CDE13C">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3.案件审查阶段责任：受案部门应当对案件违法事实、证据、调查取证程序、法律适用、处罚种类和幅度、当事人陈述和申辩理由等内容进行审查，提出处理意见（主要证据不足的，及时调查补充）。</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4.告知阶段责任：受案部门在做出行政处罚前，应当告知当事人违法事实以及依法享有的陈述、申辩的权利，拟作出责令停产停业、吊销许可证或执照、较大数额罚款的，可以要求听证的权利。</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5.决定阶段责任：受案部门根据案件审查情况决定是否予以行政处罚。依法给予行政处罚的，应当制作行政处罚决定书，载明违法事实和依据、处罚依据和内容、申请行政复议或提起行政诉讼的途径和期限等内容。</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6.送达阶段责任：行政处罚决定书应依法按时送达当事人。</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7.执行阶段责任：监督当事人在决定期限内履行义务；书面催告当事人及时履行处罚决定；依法申请人民法院强制执行。</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8.法律法规规定的其他责任。</w:t>
            </w:r>
            <w:r>
              <w:rPr>
                <w:rFonts w:hint="eastAsia" w:eastAsia="仿宋_GB2312" w:cs="仿宋_GB2312"/>
                <w:strike w:val="0"/>
                <w:dstrike w:val="0"/>
                <w:snapToGrid w:val="0"/>
                <w:color w:val="000000"/>
                <w:sz w:val="18"/>
                <w:szCs w:val="18"/>
                <w:highlight w:val="none"/>
                <w:lang w:eastAsia="zh-CN"/>
              </w:rPr>
              <w:t>（</w:t>
            </w:r>
            <w:r>
              <w:rPr>
                <w:rFonts w:hint="eastAsia" w:eastAsia="仿宋_GB2312" w:cs="仿宋_GB2312"/>
                <w:strike w:val="0"/>
                <w:dstrike w:val="0"/>
                <w:snapToGrid w:val="0"/>
                <w:color w:val="000000"/>
                <w:sz w:val="18"/>
                <w:szCs w:val="18"/>
                <w:highlight w:val="none"/>
                <w:lang w:val="en-US" w:eastAsia="zh-CN"/>
              </w:rPr>
              <w:t>有关股室</w:t>
            </w:r>
            <w:r>
              <w:rPr>
                <w:rFonts w:hint="eastAsia" w:eastAsia="仿宋_GB2312" w:cs="仿宋_GB2312"/>
                <w:strike w:val="0"/>
                <w:dstrike w:val="0"/>
                <w:snapToGrid w:val="0"/>
                <w:color w:val="000000"/>
                <w:sz w:val="18"/>
                <w:szCs w:val="18"/>
                <w:highlight w:val="none"/>
                <w:lang w:eastAsia="zh-CN"/>
              </w:rPr>
              <w:t>）</w:t>
            </w:r>
          </w:p>
        </w:tc>
        <w:tc>
          <w:tcPr>
            <w:tcW w:w="4950" w:type="dxa"/>
            <w:tcBorders>
              <w:top w:val="single" w:color="000000" w:sz="4" w:space="0"/>
              <w:left w:val="single" w:color="000000" w:sz="4" w:space="0"/>
              <w:bottom w:val="nil"/>
              <w:right w:val="single" w:color="000000" w:sz="4" w:space="0"/>
            </w:tcBorders>
            <w:shd w:val="clear" w:color="auto" w:fill="auto"/>
            <w:vAlign w:val="center"/>
          </w:tcPr>
          <w:p w14:paraId="740194A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（1996年中华人民共和国主席令第63号公布，2021年1月22日第十三届全国人民代表大会常务委员会第二十五次会议修订，自2021年7月15日起施行）</w:t>
            </w:r>
            <w:r>
              <w:rPr>
                <w:rFonts w:hint="eastAsia" w:ascii="仿宋_GB2312" w:hAnsi="仿宋_GB2312" w:eastAsia="仿宋_GB2312" w:cs="仿宋_GB2312"/>
                <w:snapToGrid w:val="0"/>
                <w:color w:val="000000"/>
                <w:sz w:val="18"/>
                <w:szCs w:val="18"/>
                <w:highlight w:val="none"/>
              </w:rPr>
              <w:t>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6BA5D5A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24F57DD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snapToGrid w:val="0"/>
                <w:color w:val="000000"/>
                <w:sz w:val="18"/>
                <w:szCs w:val="18"/>
                <w:highlight w:val="none"/>
                <w:lang w:eastAsia="zh-CN"/>
              </w:rPr>
              <w:t>第二十三条</w:t>
            </w:r>
            <w:r>
              <w:rPr>
                <w:rFonts w:hint="default" w:ascii="仿宋_GB2312" w:hAnsi="仿宋_GB2312" w:eastAsia="仿宋_GB2312" w:cs="仿宋_GB2312"/>
                <w:snapToGrid w:val="0"/>
                <w:color w:val="000000"/>
                <w:sz w:val="18"/>
                <w:szCs w:val="18"/>
                <w:highlight w:val="none"/>
                <w:lang w:val="en" w:eastAsia="zh-CN"/>
              </w:rPr>
              <w:t xml:space="preserve">  </w:t>
            </w:r>
            <w:r>
              <w:rPr>
                <w:rFonts w:hint="eastAsia" w:ascii="仿宋_GB2312" w:hAnsi="仿宋_GB2312" w:eastAsia="仿宋_GB2312" w:cs="仿宋_GB2312"/>
                <w:i w:val="0"/>
                <w:caps w:val="0"/>
                <w:snapToGrid w:val="0"/>
                <w:color w:val="000000"/>
                <w:spacing w:val="0"/>
                <w:kern w:val="2"/>
                <w:sz w:val="18"/>
                <w:szCs w:val="18"/>
                <w:highlight w:val="none"/>
                <w:lang w:val="en-US" w:eastAsia="zh-CN" w:bidi="ar"/>
              </w:rPr>
              <w:t xml:space="preserve">《行政处罚法》第二十三条  行政处罚由县级以上地方人民政府具有行政处罚权的行政机关管辖。法律、行政法规另有规定的，从其规定。  </w:t>
            </w:r>
          </w:p>
          <w:p w14:paraId="6E3BC78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55D40ACE">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val="0"/>
                <w:snapToGrid w:val="0"/>
                <w:color w:val="FF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623AF9D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2AEFF03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0BB4232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33FC5732">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41F71298">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1BDFAB8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7AB2C3B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第三十四条 行政机关可以依法制定行政处罚裁量基准，规范行使行政处罚裁量权。行政处罚裁量基准应当向社会公布。</w:t>
            </w:r>
          </w:p>
          <w:p w14:paraId="627583BC">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.【法律】《中华人民共和国行政处罚法》第六十四条听证应当依照以下程序组织</w:t>
            </w:r>
            <w:r>
              <w:rPr>
                <w:rFonts w:hint="default" w:ascii="仿宋_GB2312" w:hAnsi="仿宋_GB2312" w:eastAsia="仿宋_GB2312" w:cs="仿宋_GB2312"/>
                <w:snapToGrid w:val="0"/>
                <w:color w:val="000000"/>
                <w:sz w:val="18"/>
                <w:szCs w:val="18"/>
                <w:highlight w:val="none"/>
                <w:lang w:val="en"/>
              </w:rPr>
              <w:t xml:space="preserve">  </w:t>
            </w:r>
          </w:p>
          <w:p w14:paraId="4A6ADD2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p>
          <w:p w14:paraId="150055A0">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62F52AC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5F541E8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43FB904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lang w:eastAsia="zh-C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3D6F0EB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08ECAC2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15408BA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50D14070">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3C94C968">
            <w:pPr>
              <w:keepNext w:val="0"/>
              <w:keepLines w:val="0"/>
              <w:widowControl/>
              <w:suppressLineNumbers w:val="0"/>
              <w:jc w:val="both"/>
              <w:textAlignment w:val="center"/>
              <w:rPr>
                <w:rFonts w:hint="eastAsia" w:ascii="仿宋_GB2312" w:hAnsi="宋体" w:eastAsia="仿宋_GB2312" w:cs="仿宋_GB2312"/>
                <w:i w:val="0"/>
                <w:iCs w:val="0"/>
                <w:color w:val="000000"/>
                <w:kern w:val="0"/>
                <w:sz w:val="20"/>
                <w:szCs w:val="20"/>
                <w:highlight w:val="none"/>
                <w:u w:val="none"/>
                <w:lang w:val="en-US" w:eastAsia="zh-CN" w:bidi="ar"/>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p>
          <w:p w14:paraId="619EABD7">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CCEC">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因不履行或不正确履行行政职责，有下列情形的，行政机关及相关工作人员应承担相应责任</w:t>
            </w:r>
            <w:r>
              <w:rPr>
                <w:rFonts w:hint="default" w:eastAsia="仿宋_GB2312" w:cs="仿宋_GB2312"/>
                <w:snapToGrid w:val="0"/>
                <w:color w:val="000000"/>
                <w:sz w:val="18"/>
                <w:szCs w:val="18"/>
                <w:highlight w:val="none"/>
                <w:lang w:val="en"/>
              </w:rPr>
              <w:t xml:space="preserve">  </w:t>
            </w:r>
          </w:p>
          <w:p w14:paraId="37D546A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p>
          <w:p w14:paraId="6BEAAB1C">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2.擅自改变处罚幅度、范围的；</w:t>
            </w:r>
            <w:r>
              <w:rPr>
                <w:rFonts w:hint="eastAsia" w:eastAsia="仿宋_GB2312" w:cs="仿宋_GB2312"/>
                <w:snapToGrid w:val="0"/>
                <w:color w:val="000000"/>
                <w:sz w:val="18"/>
                <w:szCs w:val="18"/>
                <w:highlight w:val="none"/>
                <w:lang w:eastAsia="zh-CN"/>
              </w:rPr>
              <w:t>（机关纪委）</w:t>
            </w:r>
          </w:p>
          <w:p w14:paraId="2635408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p>
          <w:p w14:paraId="49633C6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4.徇私舞弊、包庇、纵容用能违法行为的；</w:t>
            </w:r>
            <w:r>
              <w:rPr>
                <w:rFonts w:hint="eastAsia" w:eastAsia="仿宋_GB2312" w:cs="仿宋_GB2312"/>
                <w:snapToGrid w:val="0"/>
                <w:color w:val="000000"/>
                <w:sz w:val="18"/>
                <w:szCs w:val="18"/>
                <w:highlight w:val="none"/>
                <w:lang w:eastAsia="zh-CN"/>
              </w:rPr>
              <w:t>（机关纪委）</w:t>
            </w:r>
          </w:p>
          <w:p w14:paraId="5271FD5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p>
          <w:p w14:paraId="129AF83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6.在行政处罚过程中发生腐败行为的或使用、损毁扣押的财物，对当事人造成损失的；</w:t>
            </w:r>
            <w:r>
              <w:rPr>
                <w:rFonts w:hint="eastAsia" w:eastAsia="仿宋_GB2312" w:cs="仿宋_GB2312"/>
                <w:snapToGrid w:val="0"/>
                <w:color w:val="000000"/>
                <w:sz w:val="18"/>
                <w:szCs w:val="18"/>
                <w:highlight w:val="none"/>
                <w:lang w:eastAsia="zh-CN"/>
              </w:rPr>
              <w:t>（机关纪委）</w:t>
            </w:r>
          </w:p>
          <w:p w14:paraId="51833094">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7.其他违反法律法规、规章以及规范性文件规定的行为。</w:t>
            </w:r>
            <w:r>
              <w:rPr>
                <w:rFonts w:hint="eastAsia" w:eastAsia="仿宋_GB2312" w:cs="仿宋_GB2312"/>
                <w:snapToGrid w:val="0"/>
                <w:color w:val="000000"/>
                <w:sz w:val="18"/>
                <w:szCs w:val="18"/>
                <w:highlight w:val="none"/>
                <w:lang w:eastAsia="zh-CN"/>
              </w:rPr>
              <w:t>（机关纪委）</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655E">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2357F9DF">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1AD71A2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6EC31E4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483DE6E1">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164F626C">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二）在管理服务活动中故意刁难、吃拿卡要的；（三）在管理服务活动中态度恶劣粗暴，造成不良后果或者影响的；（四）不按照规定公开工作信息，侵犯管理服务对象知情权，造成不良后果或者影响的；（五）其他侵犯管理服务对象利益的行为，造成不良后果或者影响的。</w:t>
            </w:r>
          </w:p>
          <w:p w14:paraId="766BA55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505ACD91">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032669BE">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　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76DCF08F">
            <w:pPr>
              <w:keepNext w:val="0"/>
              <w:keepLines w:val="0"/>
              <w:widowControl/>
              <w:suppressLineNumbers w:val="0"/>
              <w:ind w:firstLine="360" w:firstLineChars="20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4F95">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top"/>
          </w:tcPr>
          <w:p w14:paraId="511D2BB2">
            <w:pPr>
              <w:jc w:val="both"/>
              <w:rPr>
                <w:rFonts w:hint="eastAsia" w:ascii="仿宋_GB2312" w:hAnsi="宋体" w:eastAsia="仿宋_GB2312" w:cs="仿宋_GB2312"/>
                <w:i w:val="0"/>
                <w:iCs w:val="0"/>
                <w:color w:val="000000"/>
                <w:sz w:val="20"/>
                <w:szCs w:val="20"/>
                <w:highlight w:val="none"/>
                <w:u w:val="none"/>
              </w:rPr>
            </w:pPr>
          </w:p>
        </w:tc>
      </w:tr>
      <w:tr w14:paraId="604DF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246F90B">
            <w:pPr>
              <w:keepNext w:val="0"/>
              <w:keepLines w:val="0"/>
              <w:widowControl/>
              <w:suppressLineNumbers w:val="0"/>
              <w:jc w:val="both"/>
              <w:textAlignment w:val="center"/>
              <w:rPr>
                <w:rFonts w:hint="default" w:ascii="仿宋_GB2312" w:hAnsi="宋体" w:eastAsia="仿宋_GB2312" w:cs="仿宋_GB2312"/>
                <w:i w:val="0"/>
                <w:iCs w:val="0"/>
                <w:color w:val="000000"/>
                <w:sz w:val="20"/>
                <w:szCs w:val="20"/>
                <w:u w:val="none"/>
                <w:lang w:val="en-US"/>
              </w:rPr>
            </w:pPr>
            <w:r>
              <w:rPr>
                <w:rFonts w:hint="default" w:ascii="仿宋_GB2312" w:hAnsi="宋体" w:eastAsia="仿宋_GB2312" w:cs="仿宋_GB2312"/>
                <w:i w:val="0"/>
                <w:iCs w:val="0"/>
                <w:color w:val="000000"/>
                <w:sz w:val="20"/>
                <w:szCs w:val="20"/>
                <w:u w:val="none"/>
                <w:lang w:val="en-US"/>
              </w:rPr>
              <w:t>9</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B1DC5B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DAC74B1">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对固定资产投资项目建设单位开工建设不符合强制性节能标准的项目或者将该项目投入生产、使用的处罚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70ACCE9">
            <w:pPr>
              <w:jc w:val="both"/>
              <w:rPr>
                <w:rFonts w:hint="eastAsia" w:ascii="仿宋_GB2312" w:hAnsi="宋体" w:eastAsia="仿宋_GB2312" w:cs="仿宋_GB2312"/>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B2076B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37AD0C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投资节能和信息化股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2106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lang w:val="en-US" w:eastAsia="zh-CN"/>
              </w:rPr>
              <w:t>1.</w:t>
            </w:r>
            <w:r>
              <w:rPr>
                <w:rFonts w:hint="eastAsia" w:eastAsia="仿宋_GB2312" w:cs="仿宋_GB2312"/>
                <w:snapToGrid w:val="0"/>
                <w:color w:val="000000"/>
                <w:sz w:val="18"/>
                <w:szCs w:val="18"/>
                <w:highlight w:val="none"/>
              </w:rPr>
              <w:t>【法律】《中华人民共和国节约能源法》第十五条</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国家实行固定资产投资项目节能评估和审查制度。不符合强制性节能标准的项目，建设单位不得开工建设；已经建成的，不得投入生产、使用。政府投资项目不符合强制性节能标准的，依法负责项目审批的机关不得批准建设。具体办法由国务院管理节能工作的部门会同国务院有关部门制定。</w:t>
            </w:r>
          </w:p>
          <w:p w14:paraId="104F92D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第六十八条第二款</w:t>
            </w:r>
            <w:r>
              <w:rPr>
                <w:rFonts w:hint="default" w:eastAsia="仿宋_GB2312" w:cs="仿宋_GB2312"/>
                <w:snapToGrid w:val="0"/>
                <w:color w:val="000000"/>
                <w:sz w:val="18"/>
                <w:szCs w:val="18"/>
                <w:highlight w:val="none"/>
                <w:lang w:val="en"/>
              </w:rPr>
              <w:t xml:space="preserve">  </w:t>
            </w:r>
            <w:r>
              <w:rPr>
                <w:rFonts w:hint="eastAsia" w:eastAsia="仿宋_GB2312" w:cs="仿宋_GB2312"/>
                <w:snapToGrid w:val="0"/>
                <w:color w:val="000000"/>
                <w:sz w:val="18"/>
                <w:szCs w:val="18"/>
                <w:highlight w:val="none"/>
              </w:rPr>
              <w:t>固定资产投资项目建设单位开工建设不符合强制性节能标准的项目或者将该项目投入生产、使用的，由管理节能工作的部门责令停止建设或者停止生产、使用，限期改造；不能改造或者逾期不改造的生产性项目，由管理节能工作的部门报请本级人民政府按照国务院规定的权限责令关闭。</w:t>
            </w:r>
            <w:r>
              <w:rPr>
                <w:rFonts w:hint="eastAsia" w:eastAsia="仿宋_GB2312" w:cs="仿宋_GB2312"/>
                <w:snapToGrid w:val="0"/>
                <w:color w:val="000000"/>
                <w:sz w:val="18"/>
                <w:szCs w:val="18"/>
                <w:highlight w:val="none"/>
                <w:lang w:eastAsia="zh-CN"/>
              </w:rPr>
              <w:t>（南宁只引用此条）</w:t>
            </w:r>
          </w:p>
          <w:p w14:paraId="5476F743">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snapToGrid w:val="0"/>
                <w:color w:val="000000"/>
                <w:sz w:val="18"/>
                <w:szCs w:val="18"/>
                <w:highlight w:val="none"/>
                <w:lang w:val="en-US" w:eastAsia="zh-CN"/>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【部门规章】《固定资产投资项目节能审查和碳排放评价办法》（2025年7月9日经国家发展改革委第21次委务会通过 2025年7月17日国家发展改革委令第31号公布 自2025年9月1日起施行)）第二十四条  对未按本办法规定进行节能审查，或节能审查未获通过，擅自开工建设或擅自投入生产、使用的固定资产投资项目，由管理节能工作的部门责令停止建设或停止生产、使用，限期整改。对经认定完成整改的项目不再出具节能审查意见，由有权限的节能审查机关依据实际情况出具相关证明。不能整改、整改不到位或逾期不整改的生产性项目，由管理节能工作的部门报请本级人民政府按照国务院规定的权限责令关闭，并依法追究有关责任人的责任。</w:t>
            </w:r>
          </w:p>
          <w:p w14:paraId="6C02367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第二十五条  以拆分项目、提供虚假材料等不正当手段通过节能审查的固定资产投资项目，由节能审查机关撤销项目的节能审查意见。项目已开工建设或投入生产、使用的，按本办法第二十四条有关规定进行处罚。</w:t>
            </w:r>
          </w:p>
          <w:p w14:paraId="501ED1E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第二十六条  项目已投入生产、使用，发生本办法第十八条规定的重大变动，或存在单位产品综合能耗和碳排放、年实际综合能源消费量或碳排放总量高于节能审查批复水平10%等未落实节能审查意见要求的，由管理节能工作的部门责令建设单位限期整改。不能整改、整改不到位或逾期不整改的，由管理节能工作的部门按照法律法规的有关规定进行处罚。</w:t>
            </w:r>
          </w:p>
          <w:p w14:paraId="1E62EAE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第二十七条  未按本办法规定进行节能审查验收或验收不合格，擅自投入生产、使用的固定资产投资项目，以及以提供虚假材料等不正当手段通过节能审查验收的固定资产投资项目，由管理节能工作的部门责令建设单位限期整改。不能整改、整改不到位或逾期不整改的，由管理节能工作的部门按照法律法规的有关规定进行处罚。</w:t>
            </w:r>
          </w:p>
          <w:p w14:paraId="6AB7E091">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第二十八条  从事节能咨询、评审等节能服务的机构提供节能审查虚假信息或咨询评估意见严重失实的，由管理节能工作的部门责令改正，没收违法所得，并按照法律法规的有关规定处罚款。</w:t>
            </w:r>
          </w:p>
          <w:p w14:paraId="648DAEA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第二十九条  管理节能工作的部门对建设单位、节能服务机构等的违法违规信息进行归集和记录，将违法违规行为及其处理信息纳入全国信用信息共享平台和投资项目在线审批监管平台，在</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信用中国</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网站向社会公开。对列入严重失信主体名单的，依法依规实施联合惩戒措施。</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D3DB7">
            <w:pPr>
              <w:keepNext w:val="0"/>
              <w:keepLines w:val="0"/>
              <w:widowControl/>
              <w:suppressLineNumbers w:val="0"/>
              <w:jc w:val="left"/>
              <w:textAlignment w:val="center"/>
              <w:rPr>
                <w:rFonts w:hint="eastAsia" w:eastAsia="仿宋_GB2312" w:cs="仿宋_GB2312"/>
                <w:snapToGrid w:val="0"/>
                <w:color w:val="000000"/>
                <w:sz w:val="18"/>
                <w:szCs w:val="18"/>
                <w:highlight w:val="none"/>
                <w:lang w:val="en-US" w:eastAsia="zh-C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1.立案阶段责任：受案部门在对报案、控告、举报、群众扭送或者违法嫌疑人投案，以及其他行政主管部门、司法机关移送的案件，应当及时受理。</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2.调查阶段责任：受案部门对于立案的案件，指定专人负责调查，与当事人有直接利害关系的应当回避。调查时应出示执法证件，执法人员不得少于二人，执法人员应保守案件秘密。 </w:t>
            </w:r>
            <w:r>
              <w:rPr>
                <w:rFonts w:hint="eastAsia" w:eastAsia="仿宋_GB2312" w:cs="仿宋_GB2312"/>
                <w:snapToGrid w:val="0"/>
                <w:color w:val="000000"/>
                <w:sz w:val="18"/>
                <w:szCs w:val="18"/>
                <w:highlight w:val="none"/>
                <w:lang w:val="en-US" w:eastAsia="zh-CN"/>
              </w:rPr>
              <w:t>（投资节能和信息化股）</w:t>
            </w:r>
          </w:p>
          <w:p w14:paraId="26BA9A7B">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3.案件审查阶段责任：受案部门应当对案件违法事实、证据、调查取证程序、法律适用、处罚种类和幅度、当事人陈述和申辩理由等内容进行审查，提出处理意见（主要证据不足的，及时调查补充）。</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4.告知阶段责任：受案部门在做出行政处罚前，应当告知当事人违法事实以及依法享有的陈述、申辩的权利，拟作出责令停产停业、吊销许可证或执照、较大数额罚款的，可以要求听证的权利。</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5.决定阶段责任：受案部门根据案件审查情况决定是否予以行政处罚。依法给予行政处罚的，应当制作行政处罚决定书，载明违法事实和依据、处罚依据和内容、申请行政复议或提起行政诉讼的途径和期限等内容。</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6.送达阶段责任：行政处罚决定书应依法按时送达当事人。</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7.执行阶段责任：监督当事人在决定期限内履行义务；书面催告当事人及时履行处罚决定；依法申请人民法院强制执行。</w:t>
            </w:r>
            <w:r>
              <w:rPr>
                <w:rFonts w:hint="eastAsia" w:eastAsia="仿宋_GB2312" w:cs="仿宋_GB2312"/>
                <w:snapToGrid w:val="0"/>
                <w:color w:val="000000"/>
                <w:sz w:val="18"/>
                <w:szCs w:val="18"/>
                <w:highlight w:val="none"/>
                <w:lang w:val="en-US" w:eastAsia="zh-CN"/>
              </w:rPr>
              <w:t>（投资节能和信息化股）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8.法律法规规定的其他责任。</w:t>
            </w:r>
            <w:r>
              <w:rPr>
                <w:rFonts w:hint="eastAsia" w:eastAsia="仿宋_GB2312" w:cs="仿宋_GB2312"/>
                <w:strike w:val="0"/>
                <w:dstrike w:val="0"/>
                <w:snapToGrid w:val="0"/>
                <w:color w:val="000000"/>
                <w:sz w:val="18"/>
                <w:szCs w:val="18"/>
                <w:highlight w:val="none"/>
                <w:lang w:eastAsia="zh-CN"/>
              </w:rPr>
              <w:t>（</w:t>
            </w:r>
            <w:r>
              <w:rPr>
                <w:rFonts w:hint="eastAsia" w:eastAsia="仿宋_GB2312" w:cs="仿宋_GB2312"/>
                <w:strike w:val="0"/>
                <w:dstrike w:val="0"/>
                <w:snapToGrid w:val="0"/>
                <w:color w:val="000000"/>
                <w:sz w:val="18"/>
                <w:szCs w:val="18"/>
                <w:highlight w:val="none"/>
                <w:lang w:val="en-US" w:eastAsia="zh-CN"/>
              </w:rPr>
              <w:t>有关股室</w:t>
            </w:r>
            <w:r>
              <w:rPr>
                <w:rFonts w:hint="eastAsia" w:eastAsia="仿宋_GB2312" w:cs="仿宋_GB2312"/>
                <w:strike w:val="0"/>
                <w:dstrike w:val="0"/>
                <w:snapToGrid w:val="0"/>
                <w:color w:val="000000"/>
                <w:sz w:val="18"/>
                <w:szCs w:val="18"/>
                <w:highlight w:val="none"/>
                <w:lang w:eastAsia="zh-CN"/>
              </w:rPr>
              <w:t>）</w:t>
            </w:r>
          </w:p>
        </w:tc>
        <w:tc>
          <w:tcPr>
            <w:tcW w:w="4950" w:type="dxa"/>
            <w:tcBorders>
              <w:top w:val="single" w:color="000000" w:sz="4" w:space="0"/>
              <w:left w:val="single" w:color="000000" w:sz="4" w:space="0"/>
              <w:bottom w:val="nil"/>
              <w:right w:val="single" w:color="000000" w:sz="4" w:space="0"/>
            </w:tcBorders>
            <w:shd w:val="clear" w:color="auto" w:fill="auto"/>
            <w:vAlign w:val="center"/>
          </w:tcPr>
          <w:p w14:paraId="616F8CB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（1996年中华人民共和国主席令第63号公布，2021年1月22日第十三届全国人民代表大会常务委员会第二十五次会议修订，自2021年7月15日起施行）</w:t>
            </w:r>
            <w:r>
              <w:rPr>
                <w:rFonts w:hint="eastAsia" w:ascii="仿宋_GB2312" w:hAnsi="仿宋_GB2312" w:eastAsia="仿宋_GB2312" w:cs="仿宋_GB2312"/>
                <w:snapToGrid w:val="0"/>
                <w:color w:val="000000"/>
                <w:sz w:val="18"/>
                <w:szCs w:val="18"/>
                <w:highlight w:val="none"/>
              </w:rPr>
              <w:t>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36A61A4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70C4646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snapToGrid w:val="0"/>
                <w:color w:val="000000"/>
                <w:sz w:val="18"/>
                <w:szCs w:val="18"/>
                <w:highlight w:val="none"/>
                <w:lang w:eastAsia="zh-CN"/>
              </w:rPr>
              <w:t>第二十三条</w:t>
            </w:r>
            <w:r>
              <w:rPr>
                <w:rFonts w:hint="default" w:ascii="仿宋_GB2312" w:hAnsi="仿宋_GB2312" w:eastAsia="仿宋_GB2312" w:cs="仿宋_GB2312"/>
                <w:snapToGrid w:val="0"/>
                <w:color w:val="000000"/>
                <w:sz w:val="18"/>
                <w:szCs w:val="18"/>
                <w:highlight w:val="none"/>
                <w:lang w:val="en" w:eastAsia="zh-CN"/>
              </w:rPr>
              <w:t xml:space="preserve">  </w:t>
            </w:r>
            <w:r>
              <w:rPr>
                <w:rFonts w:hint="eastAsia" w:ascii="仿宋_GB2312" w:hAnsi="仿宋_GB2312" w:eastAsia="仿宋_GB2312" w:cs="仿宋_GB2312"/>
                <w:i w:val="0"/>
                <w:caps w:val="0"/>
                <w:snapToGrid w:val="0"/>
                <w:color w:val="000000"/>
                <w:spacing w:val="0"/>
                <w:kern w:val="2"/>
                <w:sz w:val="18"/>
                <w:szCs w:val="18"/>
                <w:highlight w:val="none"/>
                <w:lang w:val="en-US" w:eastAsia="zh-CN" w:bidi="ar"/>
              </w:rPr>
              <w:t xml:space="preserve">《行政处罚法》第二十三条  行政处罚由县级以上地方人民政府具有行政处罚权的行政机关管辖。法律、行政法规另有规定的，从其规定。  </w:t>
            </w:r>
          </w:p>
          <w:p w14:paraId="0314FF9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2240548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val="0"/>
                <w:snapToGrid w:val="0"/>
                <w:color w:val="FF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2F949D38">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02BBDBD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779B9EF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422E86B6">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18F373C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6702956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46E3C4E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第三十四条 行政机关可以依法制定行政处罚裁量基准，规范行使行政处罚裁量权。行政处罚裁量基准应当向社会公布。</w:t>
            </w:r>
          </w:p>
          <w:p w14:paraId="4575FB2E">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.【法律】《中华人民共和国行政处罚法》第六十四条听证应当依照以下程序组织</w:t>
            </w:r>
            <w:r>
              <w:rPr>
                <w:rFonts w:hint="default" w:ascii="仿宋_GB2312" w:hAnsi="仿宋_GB2312" w:eastAsia="仿宋_GB2312" w:cs="仿宋_GB2312"/>
                <w:snapToGrid w:val="0"/>
                <w:color w:val="000000"/>
                <w:sz w:val="18"/>
                <w:szCs w:val="18"/>
                <w:highlight w:val="none"/>
                <w:lang w:val="en"/>
              </w:rPr>
              <w:t xml:space="preserve">  </w:t>
            </w:r>
          </w:p>
          <w:p w14:paraId="4F72D3A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p>
          <w:p w14:paraId="1292661B">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46012D1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6CFA990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50AEC4D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lang w:eastAsia="zh-C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6F43B80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535B5C6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2449368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00D465F6">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72589BD0">
            <w:pPr>
              <w:keepNext w:val="0"/>
              <w:keepLines w:val="0"/>
              <w:widowControl/>
              <w:suppressLineNumbers w:val="0"/>
              <w:jc w:val="both"/>
              <w:textAlignment w:val="center"/>
              <w:rPr>
                <w:rFonts w:hint="eastAsia" w:ascii="仿宋_GB2312" w:hAnsi="宋体" w:eastAsia="仿宋_GB2312" w:cs="仿宋_GB2312"/>
                <w:i w:val="0"/>
                <w:iCs w:val="0"/>
                <w:color w:val="000000"/>
                <w:kern w:val="0"/>
                <w:sz w:val="20"/>
                <w:szCs w:val="20"/>
                <w:highlight w:val="none"/>
                <w:u w:val="none"/>
                <w:lang w:val="en-US" w:eastAsia="zh-CN" w:bidi="ar"/>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p>
          <w:p w14:paraId="6775FF8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5D456">
            <w:pPr>
              <w:keepNext w:val="0"/>
              <w:keepLines w:val="0"/>
              <w:pageBreakBefore w:val="0"/>
              <w:widowControl/>
              <w:kinsoku/>
              <w:wordWrap/>
              <w:overflowPunct/>
              <w:topLinePunct w:val="0"/>
              <w:autoSpaceDE/>
              <w:autoSpaceDN/>
              <w:bidi w:val="0"/>
              <w:adjustRightInd w:val="0"/>
              <w:snapToGrid w:val="0"/>
              <w:spacing w:line="280" w:lineRule="exact"/>
              <w:ind w:firstLine="200" w:firstLineChars="1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因不履行或不正确履行行政职责，有下列情形的，行政机关及相关工作人员应承担相应责任</w:t>
            </w:r>
            <w:r>
              <w:rPr>
                <w:rFonts w:hint="default" w:eastAsia="仿宋_GB2312" w:cs="仿宋_GB2312"/>
                <w:snapToGrid w:val="0"/>
                <w:color w:val="000000"/>
                <w:sz w:val="18"/>
                <w:szCs w:val="18"/>
                <w:highlight w:val="none"/>
                <w:lang w:val="en"/>
              </w:rPr>
              <w:t xml:space="preserve">  </w:t>
            </w:r>
          </w:p>
          <w:p w14:paraId="06EA9267">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p>
          <w:p w14:paraId="0E528715">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2.擅自改变处罚幅度、范围的；</w:t>
            </w:r>
            <w:r>
              <w:rPr>
                <w:rFonts w:hint="eastAsia" w:eastAsia="仿宋_GB2312" w:cs="仿宋_GB2312"/>
                <w:snapToGrid w:val="0"/>
                <w:color w:val="000000"/>
                <w:sz w:val="18"/>
                <w:szCs w:val="18"/>
                <w:highlight w:val="none"/>
                <w:lang w:eastAsia="zh-CN"/>
              </w:rPr>
              <w:t>（机关纪委）</w:t>
            </w:r>
          </w:p>
          <w:p w14:paraId="646EB84F">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p>
          <w:p w14:paraId="3C2F62B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4.徇私舞弊、包庇、纵容用能违法行为的；</w:t>
            </w:r>
            <w:r>
              <w:rPr>
                <w:rFonts w:hint="eastAsia" w:eastAsia="仿宋_GB2312" w:cs="仿宋_GB2312"/>
                <w:snapToGrid w:val="0"/>
                <w:color w:val="000000"/>
                <w:sz w:val="18"/>
                <w:szCs w:val="18"/>
                <w:highlight w:val="none"/>
                <w:lang w:eastAsia="zh-CN"/>
              </w:rPr>
              <w:t>（机关纪委）</w:t>
            </w:r>
          </w:p>
          <w:p w14:paraId="6C0FA3C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p>
          <w:p w14:paraId="0DB64A1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6.在行政处罚过程中发生腐败行为的或使用、损毁扣押的财物，对当事人造成损失的；</w:t>
            </w:r>
            <w:r>
              <w:rPr>
                <w:rFonts w:hint="eastAsia" w:eastAsia="仿宋_GB2312" w:cs="仿宋_GB2312"/>
                <w:snapToGrid w:val="0"/>
                <w:color w:val="000000"/>
                <w:sz w:val="18"/>
                <w:szCs w:val="18"/>
                <w:highlight w:val="none"/>
                <w:lang w:eastAsia="zh-CN"/>
              </w:rPr>
              <w:t>（机关纪委）</w:t>
            </w:r>
          </w:p>
          <w:p w14:paraId="0F56A5A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7.其他违反法律法规、规章以及规范性文件规定的行为。</w:t>
            </w:r>
            <w:r>
              <w:rPr>
                <w:rFonts w:hint="eastAsia" w:eastAsia="仿宋_GB2312" w:cs="仿宋_GB2312"/>
                <w:snapToGrid w:val="0"/>
                <w:color w:val="000000"/>
                <w:sz w:val="18"/>
                <w:szCs w:val="18"/>
                <w:highlight w:val="none"/>
                <w:lang w:eastAsia="zh-CN"/>
              </w:rPr>
              <w:t>（机关纪委）</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BAD0F">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7152248C">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441B788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26A78075">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2A85AF05">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23AD99D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二）在管理服务活动中故意刁难、吃拿卡要的；（三）在管理服务活动中态度恶劣粗暴，造成不良后果或者影响的；（四）不按照规定公开工作信息，侵犯管理服务对象知情权，造成不良后果或者影响的；（五）其他侵犯管理服务对象利益的行为，造成不良后果或者影响的。</w:t>
            </w:r>
          </w:p>
          <w:p w14:paraId="3546605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3241607E">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1202E5CD">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　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3503FAB5">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115AD">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3F8D55A">
            <w:pPr>
              <w:jc w:val="both"/>
              <w:rPr>
                <w:rFonts w:hint="eastAsia" w:ascii="仿宋_GB2312" w:hAnsi="宋体" w:eastAsia="仿宋_GB2312" w:cs="仿宋_GB2312"/>
                <w:i w:val="0"/>
                <w:iCs w:val="0"/>
                <w:color w:val="000000"/>
                <w:sz w:val="20"/>
                <w:szCs w:val="20"/>
                <w:highlight w:val="none"/>
                <w:u w:val="none"/>
              </w:rPr>
            </w:pPr>
          </w:p>
        </w:tc>
      </w:tr>
      <w:tr w14:paraId="39D9A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282197">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3752E2">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CB0257">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E6AB37D">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6E23EAB">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B76D03">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C81AFC8">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17C598">
            <w:pPr>
              <w:jc w:val="both"/>
              <w:rPr>
                <w:rFonts w:hint="eastAsia" w:ascii="仿宋_GB2312" w:hAnsi="宋体" w:eastAsia="仿宋_GB2312" w:cs="仿宋_GB2312"/>
                <w:i w:val="0"/>
                <w:iCs w:val="0"/>
                <w:color w:val="000000"/>
                <w:sz w:val="20"/>
                <w:szCs w:val="20"/>
                <w:u w:val="none"/>
              </w:rPr>
            </w:pPr>
          </w:p>
        </w:tc>
        <w:tc>
          <w:tcPr>
            <w:tcW w:w="4950" w:type="dxa"/>
            <w:tcBorders>
              <w:top w:val="nil"/>
              <w:left w:val="single" w:color="000000" w:sz="4" w:space="0"/>
              <w:bottom w:val="single" w:color="000000" w:sz="4" w:space="0"/>
              <w:right w:val="single" w:color="000000" w:sz="4" w:space="0"/>
            </w:tcBorders>
            <w:shd w:val="clear" w:color="auto" w:fill="auto"/>
            <w:vAlign w:val="top"/>
          </w:tcPr>
          <w:p w14:paraId="6DD8A1B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412050">
            <w:pPr>
              <w:jc w:val="both"/>
              <w:rPr>
                <w:rFonts w:hint="eastAsia" w:ascii="仿宋_GB2312" w:hAnsi="宋体" w:eastAsia="仿宋_GB2312" w:cs="仿宋_GB2312"/>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D19571">
            <w:pPr>
              <w:jc w:val="both"/>
              <w:rPr>
                <w:rFonts w:hint="eastAsia" w:ascii="仿宋_GB2312" w:hAnsi="宋体" w:eastAsia="仿宋_GB2312" w:cs="仿宋_GB2312"/>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22D45A9">
            <w:pPr>
              <w:jc w:val="both"/>
              <w:rPr>
                <w:rFonts w:hint="eastAsia" w:ascii="仿宋_GB2312" w:hAnsi="宋体" w:eastAsia="仿宋_GB2312" w:cs="仿宋_GB2312"/>
                <w:i w:val="0"/>
                <w:iCs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8A8E32">
            <w:pPr>
              <w:jc w:val="both"/>
              <w:rPr>
                <w:rFonts w:hint="eastAsia" w:ascii="仿宋_GB2312" w:hAnsi="宋体" w:eastAsia="仿宋_GB2312" w:cs="仿宋_GB2312"/>
                <w:i w:val="0"/>
                <w:iCs w:val="0"/>
                <w:color w:val="000000"/>
                <w:sz w:val="20"/>
                <w:szCs w:val="20"/>
                <w:u w:val="none"/>
              </w:rPr>
            </w:pPr>
          </w:p>
        </w:tc>
      </w:tr>
      <w:tr w14:paraId="7D1E6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7558FC5">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B1D546A">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FCBB58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对节能服务机构提供虚假信息的处罚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2CC9C54">
            <w:pPr>
              <w:jc w:val="both"/>
              <w:rPr>
                <w:rFonts w:hint="eastAsia" w:ascii="仿宋_GB2312" w:hAnsi="宋体" w:eastAsia="仿宋_GB2312" w:cs="仿宋_GB2312"/>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96E01E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95B48F1">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投资节能和信息化股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0EEC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【法律】《中华人民共和国节约能源法》第十二条：县级以上人民政府管理节能工作的部门和有关部门应当在各自的职责范围内，加强对节能法律、法规和节能标准执行情况的监督检查，依法查处违法用能行为。</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第七十六条：从事节能咨询、设计、评估、检测、审计、认证等服务的机构提供虚假信息的，由管理节能工作的部门责令改正，没收违法所得，并处五万元以上十万元以下罚款。</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09F9C">
            <w:pPr>
              <w:keepNext w:val="0"/>
              <w:keepLines w:val="0"/>
              <w:widowControl/>
              <w:suppressLineNumbers w:val="0"/>
              <w:jc w:val="both"/>
              <w:textAlignment w:val="center"/>
              <w:rPr>
                <w:rStyle w:val="8"/>
                <w:rFonts w:hAnsi="宋体"/>
                <w:highlight w:val="none"/>
                <w:lang w:val="en-US" w:eastAsia="zh-CN" w:bidi="ar"/>
              </w:rPr>
            </w:pP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1.</w:t>
            </w:r>
            <w:r>
              <w:rPr>
                <w:rStyle w:val="9"/>
                <w:rFonts w:hAnsi="宋体"/>
                <w:highlight w:val="none"/>
                <w:lang w:val="en-US" w:eastAsia="zh-CN" w:bidi="ar"/>
              </w:rPr>
              <w:t>立案阶段责任：发现根据举报控告的违法行为或者上报移送的违法案件以及涉嫌违反《中华人民共和国节约能源法》等相关规定的违法行为，及时制止并予以审查，决定是否立案。</w:t>
            </w:r>
            <w:r>
              <w:rPr>
                <w:rStyle w:val="8"/>
                <w:rFonts w:hAnsi="宋体"/>
                <w:highlight w:val="none"/>
                <w:lang w:val="en-US" w:eastAsia="zh-CN" w:bidi="ar"/>
              </w:rPr>
              <w:t>（投资节能和信息化股）</w:t>
            </w:r>
          </w:p>
          <w:p w14:paraId="03C07B36">
            <w:pPr>
              <w:keepNext w:val="0"/>
              <w:keepLines w:val="0"/>
              <w:widowControl/>
              <w:suppressLineNumbers w:val="0"/>
              <w:ind w:firstLine="200" w:firstLineChars="100"/>
              <w:jc w:val="both"/>
              <w:textAlignment w:val="center"/>
              <w:rPr>
                <w:rFonts w:hint="eastAsia" w:ascii="仿宋_GB2312" w:hAnsi="宋体" w:eastAsia="仿宋_GB2312" w:cs="仿宋_GB2312"/>
                <w:i w:val="0"/>
                <w:iCs w:val="0"/>
                <w:color w:val="000000"/>
                <w:sz w:val="20"/>
                <w:szCs w:val="20"/>
                <w:highlight w:val="none"/>
                <w:u w:val="none"/>
              </w:rPr>
            </w:pPr>
            <w:r>
              <w:rPr>
                <w:rStyle w:val="8"/>
                <w:rFonts w:hAnsi="宋体"/>
                <w:highlight w:val="none"/>
                <w:lang w:val="en-US" w:eastAsia="zh-CN" w:bidi="ar"/>
              </w:rPr>
              <w:t>2.</w:t>
            </w:r>
            <w:r>
              <w:rPr>
                <w:rStyle w:val="9"/>
                <w:rFonts w:hAnsi="宋体"/>
                <w:highlight w:val="none"/>
                <w:lang w:val="en-US" w:eastAsia="zh-CN" w:bidi="ar"/>
              </w:rPr>
              <w:t>调查阶段责任：指定专人负责；依法回避；两人以上出示执法证件；制作笔录、收集证据；允许辩解陈述；保守有关秘密。</w:t>
            </w:r>
            <w:r>
              <w:rPr>
                <w:rStyle w:val="8"/>
                <w:rFonts w:hAnsi="宋体"/>
                <w:highlight w:val="none"/>
                <w:lang w:val="en-US" w:eastAsia="zh-CN" w:bidi="ar"/>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3.</w:t>
            </w:r>
            <w:r>
              <w:rPr>
                <w:rStyle w:val="9"/>
                <w:rFonts w:hAnsi="宋体"/>
                <w:highlight w:val="none"/>
                <w:lang w:val="en-US" w:eastAsia="zh-CN" w:bidi="ar"/>
              </w:rPr>
              <w:t>审查阶段责任：审理案件调查报告，对案件违法事实、证据、调查取证程序、法律适用、处罚种类和幅度、当事人陈述和申辩理由等方面进行审查，提出处理意见（主要证据不足时，以适当的方式补充调查）。</w:t>
            </w:r>
            <w:r>
              <w:rPr>
                <w:rStyle w:val="8"/>
                <w:rFonts w:hAnsi="宋体"/>
                <w:highlight w:val="none"/>
                <w:lang w:val="en-US" w:eastAsia="zh-CN" w:bidi="ar"/>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4.</w:t>
            </w:r>
            <w:r>
              <w:rPr>
                <w:rStyle w:val="9"/>
                <w:rFonts w:hAnsi="宋体"/>
                <w:highlight w:val="none"/>
                <w:lang w:val="en-US" w:eastAsia="zh-CN" w:bidi="ar"/>
              </w:rPr>
              <w:t>告知阶段责任：做出行政处罚决定前，应制作《行政处罚告知书》，送达当事人，告知违法事实及其享有的陈述、申辩等权利。拟作出责令停产停业、吊销许可证或执照、较大数额罚款的，当事人要求听证的，应当组织听证。</w:t>
            </w:r>
            <w:r>
              <w:rPr>
                <w:rStyle w:val="8"/>
                <w:rFonts w:hAnsi="宋体"/>
                <w:highlight w:val="none"/>
                <w:lang w:val="en-US" w:eastAsia="zh-CN" w:bidi="ar"/>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5.</w:t>
            </w:r>
            <w:r>
              <w:rPr>
                <w:rStyle w:val="9"/>
                <w:rFonts w:hAnsi="宋体"/>
                <w:highlight w:val="none"/>
                <w:lang w:val="en-US" w:eastAsia="zh-CN" w:bidi="ar"/>
              </w:rPr>
              <w:t>决定阶段责任：根据审查情况决定是否予以行政处罚；依法需要给予行政处罚的，应制作行政处罚决定书，载明违法事实和证据、处罚依据和内容、申请行政复议或提起行政诉讼的途径和期限等内容（逾期不履行处罚决定的后果）；符合集体研究的，由集体讨论决定，并按时办结。</w:t>
            </w:r>
            <w:r>
              <w:rPr>
                <w:rStyle w:val="8"/>
                <w:rFonts w:hAnsi="宋体"/>
                <w:highlight w:val="none"/>
                <w:lang w:val="en-US" w:eastAsia="zh-CN" w:bidi="ar"/>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6.</w:t>
            </w:r>
            <w:r>
              <w:rPr>
                <w:rStyle w:val="9"/>
                <w:rFonts w:hAnsi="宋体"/>
                <w:highlight w:val="none"/>
                <w:lang w:val="en-US" w:eastAsia="zh-CN" w:bidi="ar"/>
              </w:rPr>
              <w:t>送达阶段责任：行政处罚决定书按法律规定的方式送达当事人。</w:t>
            </w:r>
            <w:r>
              <w:rPr>
                <w:rStyle w:val="8"/>
                <w:rFonts w:hAnsi="宋体"/>
                <w:highlight w:val="none"/>
                <w:lang w:val="en-US" w:eastAsia="zh-CN" w:bidi="ar"/>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7.</w:t>
            </w:r>
            <w:r>
              <w:rPr>
                <w:rStyle w:val="9"/>
                <w:rFonts w:hAnsi="宋体"/>
                <w:highlight w:val="none"/>
                <w:lang w:val="en-US" w:eastAsia="zh-CN" w:bidi="ar"/>
              </w:rPr>
              <w:t>执行阶段责任：监督当事人在决定期限内履行义务；书面催告当事人及时履行处罚决定；依法申请人民法院强制执行。</w:t>
            </w:r>
            <w:r>
              <w:rPr>
                <w:rStyle w:val="8"/>
                <w:rFonts w:hAnsi="宋体"/>
                <w:highlight w:val="none"/>
                <w:lang w:val="en-US" w:eastAsia="zh-CN" w:bidi="ar"/>
              </w:rPr>
              <w:t>（投资节能和信息化股）</w:t>
            </w:r>
            <w:r>
              <w:rPr>
                <w:rStyle w:val="8"/>
                <w:rFonts w:hAnsi="宋体"/>
                <w:highlight w:val="none"/>
                <w:lang w:val="en-US" w:eastAsia="zh-CN" w:bidi="ar"/>
              </w:rPr>
              <w:br w:type="textWrapping"/>
            </w:r>
            <w:r>
              <w:rPr>
                <w:rStyle w:val="8"/>
                <w:rFonts w:hAnsi="宋体"/>
                <w:highlight w:val="none"/>
                <w:lang w:val="en-US" w:eastAsia="zh-CN" w:bidi="ar"/>
              </w:rPr>
              <w:t xml:space="preserve">  8.</w:t>
            </w:r>
            <w:r>
              <w:rPr>
                <w:rStyle w:val="9"/>
                <w:rFonts w:hAnsi="宋体"/>
                <w:highlight w:val="none"/>
                <w:lang w:val="en-US" w:eastAsia="zh-CN" w:bidi="ar"/>
              </w:rPr>
              <w:t>其他法律法规规章文件规定应履行的责任。（相关股室）</w:t>
            </w:r>
          </w:p>
        </w:tc>
        <w:tc>
          <w:tcPr>
            <w:tcW w:w="4950" w:type="dxa"/>
            <w:tcBorders>
              <w:top w:val="single" w:color="000000" w:sz="4" w:space="0"/>
              <w:left w:val="single" w:color="000000" w:sz="4" w:space="0"/>
              <w:bottom w:val="nil"/>
              <w:right w:val="single" w:color="000000" w:sz="4" w:space="0"/>
            </w:tcBorders>
            <w:shd w:val="clear" w:color="auto" w:fill="auto"/>
            <w:vAlign w:val="center"/>
          </w:tcPr>
          <w:p w14:paraId="4E5D9D04">
            <w:pPr>
              <w:keepNext w:val="0"/>
              <w:keepLines w:val="0"/>
              <w:pageBreakBefore w:val="0"/>
              <w:kinsoku/>
              <w:wordWrap/>
              <w:overflowPunct/>
              <w:topLinePunct w:val="0"/>
              <w:autoSpaceDE/>
              <w:autoSpaceDN/>
              <w:bidi w:val="0"/>
              <w:spacing w:line="280" w:lineRule="exact"/>
              <w:ind w:firstLine="400" w:firstLineChars="200"/>
              <w:rPr>
                <w:rFonts w:hint="eastAsia" w:ascii="仿宋_GB2312" w:hAnsi="仿宋_GB2312" w:eastAsia="仿宋_GB2312" w:cs="仿宋_GB2312"/>
                <w:snapToGrid w:val="0"/>
                <w:color w:val="000000"/>
                <w:sz w:val="18"/>
                <w:szCs w:val="18"/>
                <w:highlight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（1996年中华人民共和国主席令第63号公布，2021年1月22日第十三届全国人民代表大会常务委员会第二十五次会议修订，自2021年7月15日起施行）</w:t>
            </w:r>
            <w:r>
              <w:rPr>
                <w:rFonts w:hint="eastAsia" w:ascii="仿宋_GB2312" w:hAnsi="仿宋_GB2312" w:eastAsia="仿宋_GB2312" w:cs="仿宋_GB2312"/>
                <w:snapToGrid w:val="0"/>
                <w:color w:val="000000"/>
                <w:sz w:val="18"/>
                <w:szCs w:val="18"/>
                <w:highlight w:val="none"/>
              </w:rPr>
              <w:t>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4525F728">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3A15F4C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snapToGrid w:val="0"/>
                <w:color w:val="000000"/>
                <w:sz w:val="18"/>
                <w:szCs w:val="18"/>
                <w:highlight w:val="none"/>
                <w:lang w:eastAsia="zh-CN"/>
              </w:rPr>
              <w:t>第二十三条</w:t>
            </w:r>
            <w:r>
              <w:rPr>
                <w:rFonts w:hint="default" w:ascii="仿宋_GB2312" w:hAnsi="仿宋_GB2312" w:eastAsia="仿宋_GB2312" w:cs="仿宋_GB2312"/>
                <w:snapToGrid w:val="0"/>
                <w:color w:val="000000"/>
                <w:sz w:val="18"/>
                <w:szCs w:val="18"/>
                <w:highlight w:val="none"/>
                <w:lang w:val="en" w:eastAsia="zh-CN"/>
              </w:rPr>
              <w:t xml:space="preserve">  </w:t>
            </w:r>
            <w:r>
              <w:rPr>
                <w:rFonts w:hint="eastAsia" w:ascii="仿宋_GB2312" w:hAnsi="仿宋_GB2312" w:eastAsia="仿宋_GB2312" w:cs="仿宋_GB2312"/>
                <w:i w:val="0"/>
                <w:caps w:val="0"/>
                <w:snapToGrid w:val="0"/>
                <w:color w:val="000000"/>
                <w:spacing w:val="0"/>
                <w:kern w:val="2"/>
                <w:sz w:val="18"/>
                <w:szCs w:val="18"/>
                <w:highlight w:val="none"/>
                <w:lang w:val="en-US" w:eastAsia="zh-CN" w:bidi="ar"/>
              </w:rPr>
              <w:t xml:space="preserve">《行政处罚法》第二十三条  行政处罚由县级以上地方人民政府具有行政处罚权的行政机关管辖。法律、行政法规另有规定的，从其规定。  </w:t>
            </w:r>
          </w:p>
          <w:p w14:paraId="47B5632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165ABFC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val="0"/>
                <w:snapToGrid w:val="0"/>
                <w:color w:val="FF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2CE9D87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662C5F1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48C1F8D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316487D7">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5E5C6AD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3E2669C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1C7A911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第三十四条 行政机关可以依法制定行政处罚裁量基准，规范行使行政处罚裁量权。行政处罚裁量基准应当向社会公布。</w:t>
            </w:r>
          </w:p>
          <w:p w14:paraId="3CF313D2">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.【法律】《中华人民共和国行政处罚法》第六十四条听证应当依照以下程序组织</w:t>
            </w:r>
            <w:r>
              <w:rPr>
                <w:rFonts w:hint="default" w:ascii="仿宋_GB2312" w:hAnsi="仿宋_GB2312" w:eastAsia="仿宋_GB2312" w:cs="仿宋_GB2312"/>
                <w:snapToGrid w:val="0"/>
                <w:color w:val="000000"/>
                <w:sz w:val="18"/>
                <w:szCs w:val="18"/>
                <w:highlight w:val="none"/>
                <w:lang w:val="en"/>
              </w:rPr>
              <w:t xml:space="preserve">  </w:t>
            </w:r>
          </w:p>
          <w:p w14:paraId="51FAC63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p>
          <w:p w14:paraId="26160CC2">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5F6AE97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2E27F75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1489814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lang w:eastAsia="zh-C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3D330B7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39DDD88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0FEF398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63F7919C">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6364301C">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9F9CA">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因不履行或不正确履行行政职责，有下列情形的，行政机关及相关工作人员应承担相应责任</w:t>
            </w:r>
            <w:r>
              <w:rPr>
                <w:rFonts w:hint="default" w:eastAsia="仿宋_GB2312" w:cs="仿宋_GB2312"/>
                <w:snapToGrid w:val="0"/>
                <w:color w:val="000000"/>
                <w:sz w:val="18"/>
                <w:szCs w:val="18"/>
                <w:highlight w:val="none"/>
                <w:lang w:val="en"/>
              </w:rPr>
              <w:t xml:space="preserve">  </w:t>
            </w:r>
          </w:p>
          <w:p w14:paraId="2D42FC9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p>
          <w:p w14:paraId="26360B0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2.擅自改变处罚幅度、范围的；</w:t>
            </w:r>
            <w:r>
              <w:rPr>
                <w:rFonts w:hint="eastAsia" w:eastAsia="仿宋_GB2312" w:cs="仿宋_GB2312"/>
                <w:snapToGrid w:val="0"/>
                <w:color w:val="000000"/>
                <w:sz w:val="18"/>
                <w:szCs w:val="18"/>
                <w:highlight w:val="none"/>
                <w:lang w:eastAsia="zh-CN"/>
              </w:rPr>
              <w:t>（机关纪委）</w:t>
            </w:r>
          </w:p>
          <w:p w14:paraId="2B53A70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p>
          <w:p w14:paraId="61A41A9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4.徇私舞弊、包庇、纵容用能违法行为的；</w:t>
            </w:r>
            <w:r>
              <w:rPr>
                <w:rFonts w:hint="eastAsia" w:eastAsia="仿宋_GB2312" w:cs="仿宋_GB2312"/>
                <w:snapToGrid w:val="0"/>
                <w:color w:val="000000"/>
                <w:sz w:val="18"/>
                <w:szCs w:val="18"/>
                <w:highlight w:val="none"/>
                <w:lang w:eastAsia="zh-CN"/>
              </w:rPr>
              <w:t>（机关纪委）</w:t>
            </w:r>
          </w:p>
          <w:p w14:paraId="65BA3495">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p>
          <w:p w14:paraId="6AB8760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6.在行政处罚过程中发生腐败行为的或使用、损毁扣押的财物，对当事人造成损失的；</w:t>
            </w:r>
            <w:r>
              <w:rPr>
                <w:rFonts w:hint="eastAsia" w:eastAsia="仿宋_GB2312" w:cs="仿宋_GB2312"/>
                <w:snapToGrid w:val="0"/>
                <w:color w:val="000000"/>
                <w:sz w:val="18"/>
                <w:szCs w:val="18"/>
                <w:highlight w:val="none"/>
                <w:lang w:eastAsia="zh-CN"/>
              </w:rPr>
              <w:t>（机关纪委）</w:t>
            </w:r>
          </w:p>
          <w:p w14:paraId="5C717D42">
            <w:pPr>
              <w:keepNext w:val="0"/>
              <w:keepLines w:val="0"/>
              <w:widowControl/>
              <w:suppressLineNumbers w:val="0"/>
              <w:ind w:firstLine="360" w:firstLineChars="20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7.其他违反法律法规、规章以及规范性文件规定的行为。</w:t>
            </w:r>
            <w:r>
              <w:rPr>
                <w:rFonts w:hint="eastAsia" w:eastAsia="仿宋_GB2312" w:cs="仿宋_GB2312"/>
                <w:snapToGrid w:val="0"/>
                <w:color w:val="000000"/>
                <w:sz w:val="18"/>
                <w:szCs w:val="18"/>
                <w:highlight w:val="none"/>
                <w:lang w:eastAsia="zh-CN"/>
              </w:rPr>
              <w:t>（机关纪委）</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F7C22">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1A30FD53">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01CD3311">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4415863A">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402347C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3174259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（二）在管理服务活动中故意刁难、吃拿卡要的；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（三）在管理服务活动中态度恶劣粗暴，造成不良后果或者影响的；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（四）不按照规定公开工作信息，侵犯管理服务对象知情权，造成不良后果或者影响的；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（五）其他侵犯管理服务对象利益的行为，造成不良后果或者影响的。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5CA7FAF8">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060B0399">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　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2966CEC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8AB34">
            <w:pPr>
              <w:keepNext w:val="0"/>
              <w:keepLines w:val="0"/>
              <w:widowControl/>
              <w:suppressLineNumbers w:val="0"/>
              <w:jc w:val="center"/>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7FC8787">
            <w:pPr>
              <w:jc w:val="both"/>
              <w:rPr>
                <w:rFonts w:hint="eastAsia" w:ascii="仿宋_GB2312" w:hAnsi="宋体" w:eastAsia="仿宋_GB2312" w:cs="仿宋_GB2312"/>
                <w:i w:val="0"/>
                <w:iCs w:val="0"/>
                <w:color w:val="000000"/>
                <w:sz w:val="20"/>
                <w:szCs w:val="20"/>
                <w:u w:val="none"/>
              </w:rPr>
            </w:pPr>
          </w:p>
        </w:tc>
      </w:tr>
      <w:tr w14:paraId="17160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629968">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D67526">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4AFA62">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4B3E2A">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7D2FAF3">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916B70">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FF35D8">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907497">
            <w:pPr>
              <w:jc w:val="both"/>
              <w:rPr>
                <w:rFonts w:hint="eastAsia" w:ascii="仿宋_GB2312" w:hAnsi="宋体" w:eastAsia="仿宋_GB2312" w:cs="仿宋_GB2312"/>
                <w:i w:val="0"/>
                <w:iCs w:val="0"/>
                <w:color w:val="000000"/>
                <w:sz w:val="20"/>
                <w:szCs w:val="20"/>
                <w:u w:val="none"/>
              </w:rPr>
            </w:pPr>
          </w:p>
        </w:tc>
        <w:tc>
          <w:tcPr>
            <w:tcW w:w="4950" w:type="dxa"/>
            <w:tcBorders>
              <w:top w:val="nil"/>
              <w:left w:val="single" w:color="000000" w:sz="4" w:space="0"/>
              <w:bottom w:val="single" w:color="000000" w:sz="4" w:space="0"/>
              <w:right w:val="single" w:color="000000" w:sz="4" w:space="0"/>
            </w:tcBorders>
            <w:shd w:val="clear" w:color="auto" w:fill="auto"/>
            <w:vAlign w:val="top"/>
          </w:tcPr>
          <w:p w14:paraId="2086CE69">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424883">
            <w:pPr>
              <w:jc w:val="both"/>
              <w:rPr>
                <w:rFonts w:hint="eastAsia" w:ascii="仿宋_GB2312" w:hAnsi="宋体" w:eastAsia="仿宋_GB2312" w:cs="仿宋_GB2312"/>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8B94AC">
            <w:pPr>
              <w:jc w:val="both"/>
              <w:rPr>
                <w:rFonts w:hint="eastAsia" w:ascii="仿宋_GB2312" w:hAnsi="宋体" w:eastAsia="仿宋_GB2312" w:cs="仿宋_GB2312"/>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25CED5">
            <w:pPr>
              <w:jc w:val="both"/>
              <w:rPr>
                <w:rFonts w:hint="eastAsia" w:ascii="仿宋_GB2312" w:hAnsi="宋体" w:eastAsia="仿宋_GB2312" w:cs="仿宋_GB2312"/>
                <w:i w:val="0"/>
                <w:iCs w:val="0"/>
                <w:color w:val="000000"/>
                <w:sz w:val="20"/>
                <w:szCs w:val="20"/>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F931EF">
            <w:pPr>
              <w:jc w:val="both"/>
              <w:rPr>
                <w:rFonts w:hint="eastAsia" w:ascii="仿宋_GB2312" w:hAnsi="宋体" w:eastAsia="仿宋_GB2312" w:cs="仿宋_GB2312"/>
                <w:i w:val="0"/>
                <w:iCs w:val="0"/>
                <w:color w:val="000000"/>
                <w:sz w:val="20"/>
                <w:szCs w:val="20"/>
                <w:u w:val="none"/>
              </w:rPr>
            </w:pPr>
          </w:p>
        </w:tc>
      </w:tr>
      <w:tr w14:paraId="37C4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F864">
            <w:pPr>
              <w:widowControl/>
              <w:adjustRightInd w:val="0"/>
              <w:snapToGrid w:val="0"/>
              <w:spacing w:line="300" w:lineRule="exact"/>
              <w:jc w:val="center"/>
              <w:rPr>
                <w:rFonts w:hint="default" w:eastAsia="仿宋_GB2312" w:cs="仿宋_GB2312" w:asciiTheme="minorHAnsi" w:hAnsiTheme="minorHAnsi"/>
                <w:snapToGrid w:val="0"/>
                <w:color w:val="auto"/>
                <w:kern w:val="2"/>
                <w:sz w:val="20"/>
                <w:szCs w:val="20"/>
                <w:lang w:val="en-US" w:eastAsia="zh-CN" w:bidi="ar-SA"/>
              </w:rPr>
            </w:pPr>
            <w:r>
              <w:rPr>
                <w:rFonts w:hint="default" w:eastAsia="仿宋_GB2312" w:cs="仿宋_GB2312"/>
                <w:snapToGrid w:val="0"/>
                <w:color w:val="auto"/>
                <w:kern w:val="2"/>
                <w:sz w:val="20"/>
                <w:szCs w:val="20"/>
                <w:lang w:val="en-US" w:eastAsia="zh-CN" w:bidi="ar-SA"/>
              </w:rPr>
              <w:t>1</w:t>
            </w:r>
            <w:r>
              <w:rPr>
                <w:rFonts w:hint="eastAsia" w:eastAsia="仿宋_GB2312" w:cs="仿宋_GB2312"/>
                <w:snapToGrid w:val="0"/>
                <w:color w:val="auto"/>
                <w:kern w:val="2"/>
                <w:sz w:val="20"/>
                <w:szCs w:val="20"/>
                <w:lang w:val="en-US" w:eastAsia="zh-CN" w:bidi="ar-SA"/>
              </w:rPr>
              <w:t>1</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169E1">
            <w:pPr>
              <w:widowControl/>
              <w:adjustRightInd w:val="0"/>
              <w:snapToGrid w:val="0"/>
              <w:spacing w:line="300" w:lineRule="exact"/>
              <w:jc w:val="center"/>
              <w:rPr>
                <w:rFonts w:hint="eastAsia" w:eastAsia="仿宋_GB2312" w:cs="仿宋_GB2312" w:asciiTheme="minorHAnsi" w:hAnsiTheme="minorHAnsi"/>
                <w:snapToGrid w:val="0"/>
                <w:color w:val="auto"/>
                <w:kern w:val="2"/>
                <w:sz w:val="20"/>
                <w:szCs w:val="20"/>
                <w:lang w:val="en-US" w:eastAsia="zh-CN" w:bidi="ar-SA"/>
              </w:rPr>
            </w:pPr>
            <w:r>
              <w:rPr>
                <w:rFonts w:hint="eastAsia" w:eastAsia="仿宋_GB2312" w:cs="仿宋_GB2312"/>
                <w:snapToGrid w:val="0"/>
                <w:color w:val="auto"/>
                <w:sz w:val="20"/>
                <w:szCs w:val="20"/>
              </w:rPr>
              <w:t>其他行政权力</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3840">
            <w:pPr>
              <w:widowControl/>
              <w:adjustRightInd w:val="0"/>
              <w:snapToGrid w:val="0"/>
              <w:spacing w:line="300" w:lineRule="exact"/>
              <w:jc w:val="center"/>
              <w:rPr>
                <w:rFonts w:hint="eastAsia" w:eastAsia="仿宋_GB2312" w:cs="仿宋_GB2312" w:asciiTheme="minorHAnsi" w:hAnsiTheme="minorHAnsi"/>
                <w:snapToGrid w:val="0"/>
                <w:color w:val="auto"/>
                <w:kern w:val="2"/>
                <w:sz w:val="20"/>
                <w:szCs w:val="20"/>
                <w:lang w:val="en-US" w:eastAsia="zh-CN" w:bidi="ar-SA"/>
              </w:rPr>
            </w:pPr>
            <w:r>
              <w:rPr>
                <w:rFonts w:hint="eastAsia" w:eastAsia="仿宋_GB2312" w:cs="仿宋_GB2312"/>
                <w:snapToGrid w:val="0"/>
                <w:color w:val="auto"/>
                <w:sz w:val="20"/>
                <w:szCs w:val="20"/>
              </w:rPr>
              <w:t>民用爆炸物品安全生产许可证新增或延续及安全生产的品种和能力、生产地址变更初审转报</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572F">
            <w:pPr>
              <w:jc w:val="both"/>
              <w:rPr>
                <w:rFonts w:hint="eastAsia" w:ascii="仿宋_GB2312" w:hAnsi="宋体" w:eastAsia="仿宋_GB2312" w:cs="仿宋_GB2312"/>
                <w:i w:val="0"/>
                <w:iCs w:val="0"/>
                <w:color w:val="auto"/>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4D8D">
            <w:pPr>
              <w:keepNext w:val="0"/>
              <w:keepLines w:val="0"/>
              <w:widowControl/>
              <w:suppressLineNumbers w:val="0"/>
              <w:jc w:val="both"/>
              <w:textAlignment w:val="center"/>
              <w:rPr>
                <w:rFonts w:hint="eastAsia" w:ascii="仿宋_GB2312" w:hAnsi="宋体" w:eastAsia="仿宋_GB2312" w:cs="仿宋_GB2312"/>
                <w:i w:val="0"/>
                <w:iCs w:val="0"/>
                <w:color w:val="auto"/>
                <w:kern w:val="2"/>
                <w:sz w:val="20"/>
                <w:szCs w:val="20"/>
                <w:u w:val="none"/>
                <w:lang w:val="en-US" w:eastAsia="zh-CN" w:bidi="ar-SA"/>
              </w:rPr>
            </w:pPr>
            <w:r>
              <w:rPr>
                <w:rFonts w:hint="eastAsia" w:ascii="仿宋_GB2312" w:hAnsi="宋体" w:eastAsia="仿宋_GB2312" w:cs="仿宋_GB2312"/>
                <w:i w:val="0"/>
                <w:iCs w:val="0"/>
                <w:color w:val="auto"/>
                <w:kern w:val="0"/>
                <w:sz w:val="20"/>
                <w:szCs w:val="20"/>
                <w:u w:val="none"/>
                <w:lang w:val="en-US" w:eastAsia="zh-CN" w:bidi="ar"/>
              </w:rPr>
              <w:t>融水县科技工贸和信息化局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5C07">
            <w:pPr>
              <w:keepNext w:val="0"/>
              <w:keepLines w:val="0"/>
              <w:widowControl/>
              <w:suppressLineNumbers w:val="0"/>
              <w:jc w:val="both"/>
              <w:textAlignment w:val="center"/>
              <w:rPr>
                <w:rFonts w:hint="eastAsia" w:ascii="仿宋_GB2312" w:hAnsi="宋体" w:eastAsia="仿宋_GB2312" w:cs="仿宋_GB2312"/>
                <w:i w:val="0"/>
                <w:iCs w:val="0"/>
                <w:color w:val="auto"/>
                <w:kern w:val="2"/>
                <w:sz w:val="20"/>
                <w:szCs w:val="20"/>
                <w:u w:val="none"/>
                <w:lang w:val="en-US" w:eastAsia="zh-CN" w:bidi="ar-SA"/>
              </w:rPr>
            </w:pPr>
            <w:r>
              <w:rPr>
                <w:rFonts w:hint="eastAsia" w:ascii="仿宋_GB2312" w:hAnsi="宋体" w:eastAsia="仿宋_GB2312" w:cs="仿宋_GB2312"/>
                <w:i w:val="0"/>
                <w:iCs w:val="0"/>
                <w:color w:val="auto"/>
                <w:kern w:val="0"/>
                <w:sz w:val="20"/>
                <w:szCs w:val="20"/>
                <w:u w:val="none"/>
                <w:lang w:val="en-US" w:eastAsia="zh-CN" w:bidi="ar"/>
              </w:rPr>
              <w:t>工业股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EF83">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1.【行政法规】《民用爆炸物品安全管理条例》（2006年国务院令第466号发布，2014年国务院令第653号修改）第三条：国家对民用爆炸物品的生产、销售、购买、运输和爆破作业实行许可证制度。</w:t>
            </w:r>
          </w:p>
          <w:p w14:paraId="2E123D8F">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第十三条：取得《民用爆炸物品生产许可证》的企业应当在基本建设完成后，向省、自治区、直辖市人民政府民用爆炸物品行业主管部门申请安全生产许可。省、自治区、直辖市人民政府民用爆炸物品行业主管部门主管部门应当依照《安全生产许可证条例》的规定对其进行查验，对符合条件的，核发《民用爆炸物品安全生产许可证》。民用爆炸物品生产企业取得《民用爆炸物品安全生产许可证》后，方可生产民用爆炸物品。</w:t>
            </w:r>
          </w:p>
          <w:p w14:paraId="4D562E8A">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2.【部门规章】《民用爆炸物品安全生产许可实施办法》（2015年工业和信息化部令第30号）第三条：省、自治区、直辖市人民政府民用爆炸物品行业主管部门（以下简称省级民爆行业主管部门）负责民用爆炸物品生产企业安全生产许可的审批和监督管理。</w:t>
            </w:r>
          </w:p>
          <w:p w14:paraId="4DB46C4C">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为方便申请人，省级民爆行业主管部门可委托设区的市或者县级人民政府民用爆炸物品行业主管部门（以下简称初审机关）承担本行政区内民用爆炸物品生产企业安全生产许可申请的受理、初审工作。</w:t>
            </w:r>
          </w:p>
          <w:p w14:paraId="5D217E05">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第十一条：省级民爆行业主管部门自收到申请之日起45日内审查完毕。由初审机关初审的，初审机关应当自受理申请之日起20日内完成对申请材料的审查及必要的安全生产条件核查，并将下列材料报送省级民爆行业主管部门：</w:t>
            </w:r>
          </w:p>
          <w:p w14:paraId="78A37C69">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（一）《民用爆炸物品安全生产许可证申请审批表》；</w:t>
            </w:r>
          </w:p>
          <w:p w14:paraId="2F267365">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（二）企业提交的全部申请材料；</w:t>
            </w:r>
          </w:p>
          <w:p w14:paraId="71358FEA">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（三）对申请企业安全生产条件的初审意见。</w:t>
            </w:r>
          </w:p>
          <w:p w14:paraId="4FE098E5">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第十二条：《民用爆炸物品安全生产许可证》有效期为3年。有效期届满需要继续从事民用爆炸物品生产活动的，应当在有效期届满前3个月向省级民爆行业主管部门或者初审机关申请延续。经省级民爆行业主管部门审查，符合民用爆炸物品安全生产许可条件的，应当在有效期届满前准予延续，并向社会公布；不符合民用爆炸物品安全生产许可条件的，不予延续，书面通知申请人并说明理由。</w:t>
            </w:r>
          </w:p>
          <w:p w14:paraId="5F65F21E">
            <w:pPr>
              <w:adjustRightInd w:val="0"/>
              <w:snapToGrid w:val="0"/>
              <w:spacing w:line="300" w:lineRule="exact"/>
              <w:ind w:firstLine="400" w:firstLineChars="200"/>
              <w:jc w:val="left"/>
              <w:rPr>
                <w:rFonts w:hint="eastAsia" w:eastAsia="仿宋_GB2312" w:cs="仿宋_GB2312" w:asciiTheme="minorHAnsi" w:hAnsiTheme="minorHAnsi"/>
                <w:snapToGrid w:val="0"/>
                <w:color w:val="auto"/>
                <w:kern w:val="2"/>
                <w:sz w:val="20"/>
                <w:szCs w:val="20"/>
                <w:lang w:val="en-US" w:eastAsia="zh-CN" w:bidi="ar-SA"/>
              </w:rPr>
            </w:pPr>
            <w:r>
              <w:rPr>
                <w:rFonts w:hint="eastAsia" w:eastAsia="仿宋_GB2312" w:cs="仿宋_GB2312"/>
                <w:snapToGrid w:val="0"/>
                <w:color w:val="auto"/>
                <w:sz w:val="20"/>
                <w:szCs w:val="20"/>
              </w:rPr>
              <w:t>第十三条第二款：安全生产的品种和能力、生产地址发生变更的，企业应当依照本办法重新申请办理《民用爆炸物品安全生产许可证》。重新核发的《民用爆炸物品安全生产许可证》有效期不变。</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8E33">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1.受理责任：公示应当提交的材料，当场一次性告知补正材料，依法受理或不予受理（不予受理应当告知理由）。</w:t>
            </w:r>
          </w:p>
          <w:p w14:paraId="46D4C280">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2.审查责任：审查申请材料。</w:t>
            </w:r>
          </w:p>
          <w:p w14:paraId="53C8ADF9">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3.决定责任：作出初审意见决定，法定告知（不予同意的应当书面告知理由）。</w:t>
            </w:r>
          </w:p>
          <w:p w14:paraId="53DC9E09">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4.送达责任：准予同意的，将初审意见和申请人全部材料报送上级行政机关；不予同意的，送达不予同意决定书。</w:t>
            </w:r>
          </w:p>
          <w:p w14:paraId="06B5C4C6">
            <w:pPr>
              <w:widowControl/>
              <w:adjustRightInd w:val="0"/>
              <w:snapToGrid w:val="0"/>
              <w:spacing w:line="300" w:lineRule="exact"/>
              <w:ind w:firstLine="400" w:firstLineChars="200"/>
              <w:jc w:val="left"/>
              <w:rPr>
                <w:rFonts w:eastAsia="仿宋_GB2312" w:cs="仿宋_GB2312"/>
                <w:snapToGrid w:val="0"/>
                <w:color w:val="auto"/>
                <w:sz w:val="20"/>
                <w:szCs w:val="20"/>
              </w:rPr>
            </w:pPr>
            <w:r>
              <w:rPr>
                <w:rFonts w:hint="eastAsia" w:eastAsia="仿宋_GB2312" w:cs="仿宋_GB2312"/>
                <w:snapToGrid w:val="0"/>
                <w:color w:val="auto"/>
                <w:sz w:val="20"/>
                <w:szCs w:val="20"/>
              </w:rPr>
              <w:t>5.监管责任：建立实施监督检查的运行机制和管理制度，开展定期和不定期检查，依法采取相关处置措施。</w:t>
            </w:r>
          </w:p>
          <w:p w14:paraId="4E9FACB0">
            <w:pPr>
              <w:widowControl/>
              <w:adjustRightInd w:val="0"/>
              <w:snapToGrid w:val="0"/>
              <w:spacing w:line="300" w:lineRule="exact"/>
              <w:ind w:firstLine="400" w:firstLineChars="200"/>
              <w:jc w:val="left"/>
              <w:rPr>
                <w:rFonts w:hint="eastAsia" w:eastAsia="仿宋_GB2312" w:cs="仿宋_GB2312" w:asciiTheme="minorHAnsi" w:hAnsiTheme="minorHAnsi"/>
                <w:snapToGrid w:val="0"/>
                <w:color w:val="auto"/>
                <w:kern w:val="2"/>
                <w:sz w:val="20"/>
                <w:szCs w:val="20"/>
                <w:lang w:val="en-US" w:eastAsia="zh-CN" w:bidi="ar-SA"/>
              </w:rPr>
            </w:pPr>
            <w:r>
              <w:rPr>
                <w:rFonts w:hint="eastAsia" w:eastAsia="仿宋_GB2312" w:cs="仿宋_GB2312"/>
                <w:snapToGrid w:val="0"/>
                <w:color w:val="auto"/>
                <w:sz w:val="20"/>
                <w:szCs w:val="20"/>
              </w:rPr>
              <w:t>6.其他法律法规规章文件规定应履行的责任。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4FA5">
            <w:pPr>
              <w:widowControl/>
              <w:adjustRightInd w:val="0"/>
              <w:snapToGrid w:val="0"/>
              <w:spacing w:line="300" w:lineRule="exact"/>
              <w:ind w:firstLine="400" w:firstLineChars="200"/>
              <w:rPr>
                <w:rFonts w:eastAsia="仿宋_GB2312" w:cs="仿宋_GB2312"/>
                <w:snapToGrid w:val="0"/>
                <w:color w:val="auto"/>
                <w:sz w:val="20"/>
                <w:szCs w:val="20"/>
              </w:rPr>
            </w:pPr>
            <w:r>
              <w:rPr>
                <w:rFonts w:hint="eastAsia" w:eastAsia="仿宋_GB2312" w:cs="仿宋_GB2312"/>
                <w:snapToGrid w:val="0"/>
                <w:color w:val="auto"/>
                <w:sz w:val="20"/>
                <w:szCs w:val="20"/>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14:paraId="2D06DB7F">
            <w:pPr>
              <w:widowControl/>
              <w:adjustRightInd w:val="0"/>
              <w:snapToGrid w:val="0"/>
              <w:spacing w:line="300" w:lineRule="exact"/>
              <w:ind w:firstLine="400" w:firstLineChars="200"/>
              <w:rPr>
                <w:rFonts w:eastAsia="仿宋_GB2312" w:cs="仿宋_GB2312"/>
                <w:snapToGrid w:val="0"/>
                <w:color w:val="auto"/>
                <w:sz w:val="20"/>
                <w:szCs w:val="20"/>
              </w:rPr>
            </w:pPr>
            <w:r>
              <w:rPr>
                <w:rFonts w:hint="eastAsia" w:eastAsia="仿宋_GB2312" w:cs="仿宋_GB2312"/>
                <w:snapToGrid w:val="0"/>
                <w:color w:val="auto"/>
                <w:sz w:val="20"/>
                <w:szCs w:val="20"/>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14:paraId="242E4843">
            <w:pPr>
              <w:widowControl/>
              <w:adjustRightInd w:val="0"/>
              <w:snapToGrid w:val="0"/>
              <w:spacing w:line="300" w:lineRule="exact"/>
              <w:ind w:firstLine="400" w:firstLineChars="200"/>
              <w:rPr>
                <w:rFonts w:eastAsia="仿宋_GB2312" w:cs="仿宋_GB2312"/>
                <w:snapToGrid w:val="0"/>
                <w:color w:val="auto"/>
                <w:sz w:val="20"/>
                <w:szCs w:val="20"/>
              </w:rPr>
            </w:pPr>
            <w:r>
              <w:rPr>
                <w:rFonts w:hint="eastAsia" w:eastAsia="仿宋_GB2312" w:cs="仿宋_GB2312"/>
                <w:snapToGrid w:val="0"/>
                <w:color w:val="auto"/>
                <w:sz w:val="20"/>
                <w:szCs w:val="20"/>
              </w:rPr>
              <w:t>2.【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14:paraId="234F6699">
            <w:pPr>
              <w:widowControl/>
              <w:adjustRightInd w:val="0"/>
              <w:snapToGrid w:val="0"/>
              <w:spacing w:line="300" w:lineRule="exact"/>
              <w:ind w:firstLine="400" w:firstLineChars="200"/>
              <w:rPr>
                <w:rFonts w:eastAsia="仿宋_GB2312" w:cs="仿宋_GB2312"/>
                <w:snapToGrid w:val="0"/>
                <w:color w:val="auto"/>
                <w:sz w:val="20"/>
                <w:szCs w:val="20"/>
              </w:rPr>
            </w:pPr>
            <w:r>
              <w:rPr>
                <w:rFonts w:hint="eastAsia" w:eastAsia="仿宋_GB2312" w:cs="仿宋_GB2312"/>
                <w:snapToGrid w:val="0"/>
                <w:color w:val="auto"/>
                <w:sz w:val="20"/>
                <w:szCs w:val="20"/>
              </w:rPr>
              <w:t>3.【法律】《中华人民共和国行政许可法》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w:t>
            </w:r>
          </w:p>
          <w:p w14:paraId="71D72369">
            <w:pPr>
              <w:widowControl/>
              <w:adjustRightInd w:val="0"/>
              <w:snapToGrid w:val="0"/>
              <w:spacing w:line="300" w:lineRule="exact"/>
              <w:ind w:firstLine="400" w:firstLineChars="200"/>
              <w:rPr>
                <w:rFonts w:eastAsia="仿宋_GB2312" w:cs="仿宋_GB2312"/>
                <w:snapToGrid w:val="0"/>
                <w:color w:val="auto"/>
                <w:sz w:val="20"/>
                <w:szCs w:val="20"/>
              </w:rPr>
            </w:pPr>
            <w:r>
              <w:rPr>
                <w:rFonts w:hint="eastAsia" w:eastAsia="仿宋_GB2312" w:cs="仿宋_GB2312"/>
                <w:snapToGrid w:val="0"/>
                <w:color w:val="auto"/>
                <w:sz w:val="20"/>
                <w:szCs w:val="20"/>
              </w:rPr>
              <w:t>4.【法律】《中华人民共和国行政许可法》第三十四条：依法应当先经下级行政机关审查后报上级机关决定的行政许可，下级机关应当在法定期限内将初步审查意见和全部申请材料直接报送上级行政机关。上级行政机关不得要求申请人重复提供申请材料。</w:t>
            </w:r>
          </w:p>
          <w:p w14:paraId="38093685">
            <w:pPr>
              <w:widowControl/>
              <w:adjustRightInd w:val="0"/>
              <w:snapToGrid w:val="0"/>
              <w:spacing w:line="300" w:lineRule="exact"/>
              <w:ind w:firstLine="400" w:firstLineChars="200"/>
              <w:jc w:val="center"/>
              <w:rPr>
                <w:rFonts w:hint="eastAsia" w:eastAsia="仿宋_GB2312" w:cs="仿宋_GB2312" w:asciiTheme="minorHAnsi" w:hAnsiTheme="minorHAnsi"/>
                <w:snapToGrid w:val="0"/>
                <w:color w:val="auto"/>
                <w:kern w:val="2"/>
                <w:sz w:val="20"/>
                <w:szCs w:val="20"/>
                <w:lang w:val="en-US" w:eastAsia="zh-CN" w:bidi="ar-SA"/>
              </w:rPr>
            </w:pPr>
            <w:r>
              <w:rPr>
                <w:rFonts w:hint="eastAsia" w:eastAsia="仿宋_GB2312" w:cs="仿宋_GB2312"/>
                <w:snapToGrid w:val="0"/>
                <w:color w:val="auto"/>
                <w:sz w:val="20"/>
                <w:szCs w:val="20"/>
              </w:rPr>
              <w:t>5.【法律】《中华人民共和国行政许可法》第六十一条：行政机关应当建立健全监督制度，通过核查反映被许可人从事行政许可事项活动情况的有关材料，履行监督责任。行政机关依法对被许可人从事行政许可事项的活动进行监督检查时，应当将监督检查的情况和处理结果予以记录，由监督检查人员签字后归档。公众有权查阅行政机关监督检查记录。行政机关应当创造条件，实现与被许可人、其他有关行政机关的计算机档案系统互联，核查被许可人从事行政许可事项活动情况。</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3B97">
            <w:pPr>
              <w:keepNext w:val="0"/>
              <w:keepLines w:val="0"/>
              <w:widowControl/>
              <w:suppressLineNumbers w:val="0"/>
              <w:jc w:val="both"/>
              <w:textAlignment w:val="center"/>
              <w:rPr>
                <w:rFonts w:hint="eastAsia" w:ascii="仿宋_GB2312" w:hAnsi="宋体" w:eastAsia="仿宋_GB2312" w:cs="仿宋_GB2312"/>
                <w:i w:val="0"/>
                <w:iCs w:val="0"/>
                <w:color w:val="auto"/>
                <w:kern w:val="0"/>
                <w:sz w:val="20"/>
                <w:szCs w:val="20"/>
                <w:u w:val="none"/>
                <w:lang w:val="en-US" w:eastAsia="zh-CN" w:bidi="ar"/>
              </w:rPr>
            </w:pPr>
            <w:r>
              <w:rPr>
                <w:rFonts w:hint="eastAsia" w:ascii="仿宋_GB2312" w:hAnsi="宋体" w:eastAsia="仿宋_GB2312" w:cs="仿宋_GB2312"/>
                <w:i w:val="0"/>
                <w:iCs w:val="0"/>
                <w:color w:val="auto"/>
                <w:kern w:val="0"/>
                <w:sz w:val="20"/>
                <w:szCs w:val="20"/>
                <w:u w:val="none"/>
                <w:lang w:val="en-US" w:eastAsia="zh-CN" w:bidi="ar"/>
              </w:rPr>
              <w:t>因不履行或不正确履行行政职责，有下列情形的行政机关及相关工作人员应承担相应的责任：1.对符合法定条件的申请不予受理、审查的；2.对不符合有关法律法规的，予以审查审核同意的；3.未严格审查申报材料，造成纠纷或财产损失的；4.监管不力或怠于履行职责的；5.擅自增设、变更审查程序或核准条件的；6.在审查监管中滥用职权、玩忽职守、徇私舞弊，造成较大影响的；7.其他违反法律法规规定的行为。</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DD11">
            <w:pPr>
              <w:keepNext w:val="0"/>
              <w:keepLines w:val="0"/>
              <w:widowControl/>
              <w:suppressLineNumbers w:val="0"/>
              <w:jc w:val="both"/>
              <w:textAlignment w:val="center"/>
              <w:rPr>
                <w:rFonts w:hint="eastAsia" w:ascii="仿宋_GB2312" w:hAnsi="宋体" w:eastAsia="仿宋_GB2312" w:cs="仿宋_GB2312"/>
                <w:i w:val="0"/>
                <w:iCs w:val="0"/>
                <w:color w:val="auto"/>
                <w:kern w:val="0"/>
                <w:sz w:val="20"/>
                <w:szCs w:val="20"/>
                <w:u w:val="none"/>
                <w:lang w:val="en-US" w:eastAsia="zh-CN" w:bidi="ar"/>
              </w:rPr>
            </w:pPr>
            <w:r>
              <w:rPr>
                <w:rFonts w:hint="eastAsia" w:ascii="仿宋_GB2312" w:hAnsi="宋体" w:eastAsia="仿宋_GB2312" w:cs="仿宋_GB2312"/>
                <w:i w:val="0"/>
                <w:iCs w:val="0"/>
                <w:color w:val="auto"/>
                <w:kern w:val="0"/>
                <w:sz w:val="20"/>
                <w:szCs w:val="20"/>
                <w:u w:val="none"/>
                <w:lang w:val="en-US" w:eastAsia="zh-CN" w:bidi="ar"/>
              </w:rPr>
              <w:t xml:space="preserve">1.【法律】《中华人民共和国行政许可法》（2003年主席令第七号公布）第七十二条：“行政机关及其工作人员违反本法的规定，有下列情形之一的，由其上级行政机关或者监察机关责令改正；情节严重的，对直接负责的主管人员和其他直接责任人员依法给予行政处分：（一）对符合法定条件的行政许可申请不予受理的；（二）不在办公场所公示依法应当公示的材料的；（三）在受理、审查、决定行政许可过程中，未向申请人、利害关系人履行法定告知义务的；（四）申请人提交的申请材料不齐全、不符合法定形式，不一次告知申请人必须补正的全部内容的；（五）未依法说明不受理行政许可申请或者不予行政许可的理由的；（六）依法应当举行听证而不举行听证的。” </w:t>
            </w:r>
          </w:p>
          <w:p w14:paraId="4A25F629">
            <w:pPr>
              <w:keepNext w:val="0"/>
              <w:keepLines w:val="0"/>
              <w:widowControl/>
              <w:suppressLineNumbers w:val="0"/>
              <w:jc w:val="both"/>
              <w:textAlignment w:val="center"/>
              <w:rPr>
                <w:rFonts w:hint="eastAsia" w:ascii="仿宋_GB2312" w:hAnsi="宋体" w:eastAsia="仿宋_GB2312" w:cs="仿宋_GB2312"/>
                <w:i w:val="0"/>
                <w:iCs w:val="0"/>
                <w:color w:val="auto"/>
                <w:kern w:val="0"/>
                <w:sz w:val="20"/>
                <w:szCs w:val="20"/>
                <w:u w:val="none"/>
                <w:lang w:val="en-US" w:eastAsia="zh-CN" w:bidi="ar"/>
              </w:rPr>
            </w:pPr>
            <w:r>
              <w:rPr>
                <w:rFonts w:hint="eastAsia" w:ascii="仿宋_GB2312" w:hAnsi="宋体" w:eastAsia="仿宋_GB2312" w:cs="仿宋_GB2312"/>
                <w:i w:val="0"/>
                <w:iCs w:val="0"/>
                <w:color w:val="auto"/>
                <w:kern w:val="0"/>
                <w:sz w:val="20"/>
                <w:szCs w:val="20"/>
                <w:u w:val="none"/>
                <w:lang w:val="en-US" w:eastAsia="zh-CN" w:bidi="ar"/>
              </w:rPr>
              <w:t>2.【法律】《中华人民共和国行政许可法》（2003年主席令第七号公布）第七十四条：“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三）依法应当根据招标、拍卖结果或者考试成绩择优作出准予行政许可决定，未经招标、拍卖或者考试，或者不根据招标、拍卖结果或者考试成绩择优作出准予行政许可决定的。”</w:t>
            </w:r>
          </w:p>
          <w:p w14:paraId="3A14FF1D">
            <w:pPr>
              <w:keepNext w:val="0"/>
              <w:keepLines w:val="0"/>
              <w:widowControl/>
              <w:suppressLineNumbers w:val="0"/>
              <w:jc w:val="both"/>
              <w:textAlignment w:val="center"/>
              <w:rPr>
                <w:rFonts w:hint="eastAsia" w:ascii="仿宋_GB2312" w:hAnsi="宋体" w:eastAsia="仿宋_GB2312" w:cs="仿宋_GB2312"/>
                <w:i w:val="0"/>
                <w:iCs w:val="0"/>
                <w:color w:val="auto"/>
                <w:kern w:val="0"/>
                <w:sz w:val="20"/>
                <w:szCs w:val="20"/>
                <w:u w:val="none"/>
                <w:lang w:val="en-US" w:eastAsia="zh-CN" w:bidi="ar"/>
              </w:rPr>
            </w:pPr>
            <w:r>
              <w:rPr>
                <w:rFonts w:hint="eastAsia" w:ascii="仿宋_GB2312" w:hAnsi="宋体" w:eastAsia="仿宋_GB2312" w:cs="仿宋_GB2312"/>
                <w:i w:val="0"/>
                <w:iCs w:val="0"/>
                <w:color w:val="auto"/>
                <w:kern w:val="0"/>
                <w:sz w:val="20"/>
                <w:szCs w:val="20"/>
                <w:u w:val="none"/>
                <w:lang w:val="en-US" w:eastAsia="zh-CN" w:bidi="ar"/>
              </w:rPr>
              <w:t>3.【法规】《行政机关公务员处分条例》（国务院令第495号）第二十一条　有下列行为之一的，给予警告或者记过处分；情节较重的，给予记大过或者降级处分；情节严重的，给予撤职处分：（一）在行政许可工作中违反法定权限、条件和程序设定或者实施行政许可的；</w:t>
            </w:r>
          </w:p>
          <w:p w14:paraId="73A5C04B">
            <w:pPr>
              <w:keepNext w:val="0"/>
              <w:keepLines w:val="0"/>
              <w:widowControl/>
              <w:suppressLineNumbers w:val="0"/>
              <w:jc w:val="both"/>
              <w:textAlignment w:val="center"/>
              <w:rPr>
                <w:rFonts w:hint="eastAsia" w:ascii="仿宋_GB2312" w:hAnsi="宋体" w:eastAsia="仿宋_GB2312" w:cs="仿宋_GB2312"/>
                <w:i w:val="0"/>
                <w:iCs w:val="0"/>
                <w:color w:val="auto"/>
                <w:kern w:val="0"/>
                <w:sz w:val="20"/>
                <w:szCs w:val="20"/>
                <w:u w:val="none"/>
                <w:lang w:val="en-US" w:eastAsia="zh-CN" w:bidi="ar"/>
              </w:rPr>
            </w:pPr>
            <w:r>
              <w:rPr>
                <w:rFonts w:hint="eastAsia" w:ascii="仿宋_GB2312" w:hAnsi="宋体" w:eastAsia="仿宋_GB2312" w:cs="仿宋_GB2312"/>
                <w:i w:val="0"/>
                <w:iCs w:val="0"/>
                <w:color w:val="auto"/>
                <w:kern w:val="0"/>
                <w:sz w:val="20"/>
                <w:szCs w:val="20"/>
                <w:u w:val="none"/>
                <w:lang w:val="en-US" w:eastAsia="zh-CN" w:bidi="ar"/>
              </w:rPr>
              <w:t>4.【法律】《公务员法》第一百零四条 公务员主管部门的工作人员，违反本法规定，滥用职权、玩忽职守、徇私舞弊，构成犯罪的，依法追究刑事责任；尚不构成犯罪的，给予处分。</w:t>
            </w:r>
          </w:p>
          <w:p w14:paraId="2BF6DC2A">
            <w:pPr>
              <w:keepNext w:val="0"/>
              <w:keepLines w:val="0"/>
              <w:widowControl/>
              <w:suppressLineNumbers w:val="0"/>
              <w:jc w:val="both"/>
              <w:textAlignment w:val="center"/>
              <w:rPr>
                <w:rFonts w:hint="eastAsia" w:ascii="仿宋_GB2312" w:hAnsi="宋体" w:eastAsia="仿宋_GB2312" w:cs="仿宋_GB2312"/>
                <w:i w:val="0"/>
                <w:iCs w:val="0"/>
                <w:color w:val="auto"/>
                <w:kern w:val="0"/>
                <w:sz w:val="20"/>
                <w:szCs w:val="20"/>
                <w:u w:val="none"/>
                <w:lang w:val="en-US" w:eastAsia="zh-CN" w:bidi="ar"/>
              </w:rPr>
            </w:pPr>
            <w:r>
              <w:rPr>
                <w:rFonts w:hint="eastAsia" w:ascii="仿宋_GB2312" w:hAnsi="宋体" w:eastAsia="仿宋_GB2312" w:cs="仿宋_GB2312"/>
                <w:i w:val="0"/>
                <w:iCs w:val="0"/>
                <w:color w:val="auto"/>
                <w:kern w:val="0"/>
                <w:sz w:val="20"/>
                <w:szCs w:val="20"/>
                <w:u w:val="none"/>
                <w:lang w:val="en-US" w:eastAsia="zh-CN" w:bidi="ar"/>
              </w:rPr>
              <w:t>5.【法规】《行政机关公务员处分条例》（国务院令第495号）第二十三条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D89B">
            <w:pPr>
              <w:keepNext w:val="0"/>
              <w:keepLines w:val="0"/>
              <w:widowControl/>
              <w:suppressLineNumbers w:val="0"/>
              <w:ind w:firstLine="227" w:firstLineChars="0"/>
              <w:jc w:val="both"/>
              <w:textAlignment w:val="center"/>
              <w:rPr>
                <w:rFonts w:hint="eastAsia" w:ascii="仿宋_GB2312" w:hAnsi="宋体" w:eastAsia="仿宋_GB2312" w:cs="仿宋_GB2312"/>
                <w:i w:val="0"/>
                <w:iCs w:val="0"/>
                <w:color w:val="auto"/>
                <w:kern w:val="0"/>
                <w:sz w:val="20"/>
                <w:szCs w:val="20"/>
                <w:u w:val="none"/>
                <w:lang w:val="en-US" w:eastAsia="zh-CN" w:bidi="ar"/>
              </w:rPr>
            </w:pPr>
            <w:r>
              <w:rPr>
                <w:rFonts w:hint="eastAsia" w:ascii="仿宋_GB2312" w:hAnsi="宋体" w:eastAsia="仿宋_GB2312" w:cs="仿宋_GB2312"/>
                <w:i w:val="0"/>
                <w:iCs w:val="0"/>
                <w:color w:val="auto"/>
                <w:kern w:val="0"/>
                <w:sz w:val="20"/>
                <w:szCs w:val="20"/>
                <w:u w:val="none"/>
                <w:lang w:val="en-US" w:eastAsia="zh-CN" w:bidi="ar"/>
              </w:rPr>
              <w:t>法律法规规章规定的免责情形。</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5858">
            <w:pPr>
              <w:jc w:val="center"/>
              <w:rPr>
                <w:rFonts w:hint="eastAsia" w:ascii="仿宋_GB2312" w:hAnsi="宋体" w:eastAsia="仿宋_GB2312" w:cs="仿宋_GB2312"/>
                <w:i w:val="0"/>
                <w:iCs w:val="0"/>
                <w:color w:val="auto"/>
                <w:sz w:val="20"/>
                <w:szCs w:val="20"/>
                <w:u w:val="none"/>
              </w:rPr>
            </w:pPr>
          </w:p>
        </w:tc>
      </w:tr>
      <w:tr w14:paraId="3ADF6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029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1</w:t>
            </w:r>
            <w:r>
              <w:rPr>
                <w:rFonts w:hint="eastAsia" w:ascii="Times New Roman" w:hAnsi="Times New Roman" w:eastAsia="宋体" w:cs="Times New Roman"/>
                <w:i w:val="0"/>
                <w:iCs w:val="0"/>
                <w:color w:val="auto"/>
                <w:kern w:val="0"/>
                <w:sz w:val="20"/>
                <w:szCs w:val="20"/>
                <w:u w:val="none"/>
                <w:lang w:val="en-US" w:eastAsia="zh-CN" w:bidi="ar"/>
              </w:rPr>
              <w:t>2</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A2C3">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其他行政权力</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8F04">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民用爆炸物品安全生产许可证企业名称、注册地址、法定代表人、登记类型的变更初审转报</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6D82">
            <w:pPr>
              <w:jc w:val="both"/>
              <w:rPr>
                <w:rFonts w:hint="eastAsia" w:ascii="仿宋_GB2312" w:hAnsi="宋体" w:eastAsia="仿宋_GB2312" w:cs="仿宋_GB2312"/>
                <w:i w:val="0"/>
                <w:iCs w:val="0"/>
                <w:color w:val="auto"/>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3A99">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融水县科技工贸和信息化局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E722">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工业股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1C80">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 xml:space="preserve">  1.【行政法规】《民用爆炸物品安全管理条例》（2006年国务院令第466号发布，2014年国务院令第653号修改）第三条：国家对民用爆炸物品的生产、销售、购买、运输和爆破作业实行许可证制度。</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第十三条：取得《民用爆炸物品生产许可证》的企业应当在基本建设完成后，向省、自治区、直辖市人民政府民用爆炸物品行业主管部门申请安全生产许可。省、自治区、直辖市人民政府民用爆炸物品行业主管部门主管部门应当依照《安全生产许可证条例》的规定对其进行查验，对符合条件的，核发《民用爆炸物品安全生产许可证》。民用爆炸物品生产企业取得《民用爆炸物品安全生产许可证》后，方可生产民用爆炸物品。</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2.【部门规章】《民用爆炸物品安全生产许可实施办法》（2015年工业和信息化部令第30号）第三条：省、自治区、直辖市人民政府民用爆炸物品行业主管部门（以下简称省级民爆行业主管部门）负责民用爆炸物品生产企业安全生产许可的审批和监督管理。</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为方便申请人，省级民爆行业主管部门可委托设区的市或者县级人民政府民用爆炸物品行业主管部门（以下简称初审机关）承担本行政区内民用爆炸物品生产企业安全生产许可申请的受理、初审工作。</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第十三条：《民用爆炸物品安全生产许可证》有效期内，企业名称、注册地址、法定代表人、登记类型发生变更的，企业应当自《民用爆炸物品生产许可证》变更之日起20日内向省级民爆行业主管部门提出《民用爆炸物品安全生产许可证》变更申请，省级民爆行业主管部门应当在10日内完成变更手续，并将结果告知初审机关。</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CF5DD">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 xml:space="preserve">  1.受理责任：公示应当提交的材料，当场一次性告知补正材料，依法受理或不予受理（不予受理应当告知理由）。</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2.审查责任：审查申请材料。</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3.决定责任：作出初审意见决定，法定告知（不予同意的应当书面告知理由）。</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4.送达责任：准予同意的，将初审意见和申请人全部材料报送上级行政机关；不予同意的，送达不予同意决定书。</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C657">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 xml:space="preserve">  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2.【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3.【法律】《中华人民共和国行政许可法》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4.【法律】《中华人民共和国行政许可法》第三十四条：依法应当先经下级行政机关审查后报上级机关决定的行政许可，下级机关应当在法定期限内将初步审查意见和全部申请材料直接报送上级行政机关。上级行政机关不得要求申请人重复提供申请材料。</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5.【法律】《中华人民共和国行政许可法》第六十一条：行政机关应当建立健全监督制度，通过核查反映被许可人从事行政许可事项活动情况的有关材料，履行监督责任。行政机关依法对被许可人从事行政许可事项的活动进行监督检查时，应当将监督检查的情况和处理结果予以记录，由监督检查人员签字后归档。公众有权查阅行政机关监督检查记录。行政机关应当创造条件，实现与被许可人、其他有关行政机关的计算机档案系统互联，核查被许可人从事行政许可事项活动情况。</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ED0F">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 xml:space="preserve">  因不履行或不正确履行行政职责，有下列情形的行政机关及相关工作人员应承担相应的责任：</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1.对符合法定条件的申请不予受理、审查的；</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2.对不符合有关法律法规的，予以审查审核同意的；</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3.未严格审查申报材料，造成纠纷或财产损失的；</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4.监管不力或怠于履行职责的；</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5.擅自增设、变更审查程序或核准条件的；</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6.在审查监管中滥用职权、玩忽职守、徇私舞弊，造成较大影响的；</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7.其他违反法律法规规定的行为。</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9D33">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 xml:space="preserve">  1.【法律】《中华人民共和国行政许可法》（2003年主席令第七号公布）第七十二条：“行政机关及其工作人员违反本法的规定，有下列情形之一的，由其上级行政机关或者监察机关责令改正；情节严重的，对直接负责的主管人员和其他直接责任人员依法给予行政处分：（一）对符合法定条件的行政许可申请不予受理的；（二）不在办公场所公示依法应当公示的材料的；（三）在受理、审查、决定行政许可过程中，未向申请人、利害关系人履行法定告知义务的；（四）申请人提交的申请材料不齐全、不符合法定形式，不一次告知申请人必须补正的全部内容的；（五）未依法说明不受理行政许可申请或者不予行政许可的理由的；（六）依法应当举行听证而不举行听证的。”</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2.【法律】《中华人民共和国行政许可法》（2003年主席令第七号公布）第七十四条：“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三）依法应当根据招标、拍卖结果或者考试成绩择优作出准予行政许可决定，未经招标、拍卖或者考试，或者不根据招标、拍卖结果或者考试成绩择优作出准予行政许可决定的。”</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3.【法规】《行政机关公务员处分条例》（国务院令第495号）第二十一条　有下列行为之一的，给予警告或者记过处分；情节较重的，给予记大过或者降级处分；情节严重的，给予撤职处分：（一）在行政许可工作中违反法定权限、条件和程序设定或者实施行政许可的；</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4.【法律】《公务员法》第一百零四条 公务员主管部门的工作人员，违反本法规定，滥用职权、玩忽职守、徇私舞弊，构成犯罪的，依法追究刑事责任；尚不构成犯罪的，给予处分。</w:t>
            </w:r>
            <w:r>
              <w:rPr>
                <w:rFonts w:hint="eastAsia" w:ascii="仿宋_GB2312" w:hAnsi="宋体" w:eastAsia="仿宋_GB2312" w:cs="仿宋_GB2312"/>
                <w:i w:val="0"/>
                <w:iCs w:val="0"/>
                <w:color w:val="auto"/>
                <w:kern w:val="0"/>
                <w:sz w:val="20"/>
                <w:szCs w:val="20"/>
                <w:u w:val="none"/>
                <w:lang w:val="en-US" w:eastAsia="zh-CN" w:bidi="ar"/>
              </w:rPr>
              <w:br w:type="textWrapping"/>
            </w:r>
            <w:r>
              <w:rPr>
                <w:rFonts w:hint="eastAsia" w:ascii="仿宋_GB2312" w:hAnsi="宋体" w:eastAsia="仿宋_GB2312" w:cs="仿宋_GB2312"/>
                <w:i w:val="0"/>
                <w:iCs w:val="0"/>
                <w:color w:val="auto"/>
                <w:kern w:val="0"/>
                <w:sz w:val="20"/>
                <w:szCs w:val="20"/>
                <w:u w:val="none"/>
                <w:lang w:val="en-US" w:eastAsia="zh-CN" w:bidi="ar"/>
              </w:rPr>
              <w:t xml:space="preserve">  5.【法规】《行政机关公务员处分条例》（国务院令第495号）第二十三条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863D">
            <w:pPr>
              <w:keepNext w:val="0"/>
              <w:keepLines w:val="0"/>
              <w:widowControl/>
              <w:suppressLineNumbers w:val="0"/>
              <w:jc w:val="both"/>
              <w:textAlignment w:val="center"/>
              <w:rPr>
                <w:rFonts w:hint="eastAsia" w:ascii="仿宋_GB2312" w:hAnsi="宋体" w:eastAsia="仿宋_GB2312" w:cs="仿宋_GB2312"/>
                <w:i w:val="0"/>
                <w:iCs w:val="0"/>
                <w:color w:val="auto"/>
                <w:sz w:val="20"/>
                <w:szCs w:val="20"/>
                <w:u w:val="none"/>
              </w:rPr>
            </w:pPr>
            <w:r>
              <w:rPr>
                <w:rFonts w:hint="eastAsia" w:ascii="仿宋_GB2312" w:hAnsi="宋体" w:eastAsia="仿宋_GB2312" w:cs="仿宋_GB2312"/>
                <w:i w:val="0"/>
                <w:iCs w:val="0"/>
                <w:color w:val="auto"/>
                <w:kern w:val="0"/>
                <w:sz w:val="20"/>
                <w:szCs w:val="20"/>
                <w:u w:val="none"/>
                <w:lang w:val="en-US" w:eastAsia="zh-CN" w:bidi="ar"/>
              </w:rPr>
              <w:t xml:space="preserve"> 法律法规规章规定的免责情形。</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28C7">
            <w:pPr>
              <w:jc w:val="center"/>
              <w:rPr>
                <w:rFonts w:hint="eastAsia" w:ascii="仿宋_GB2312" w:hAnsi="宋体" w:eastAsia="仿宋_GB2312" w:cs="仿宋_GB2312"/>
                <w:i w:val="0"/>
                <w:iCs w:val="0"/>
                <w:color w:val="auto"/>
                <w:sz w:val="20"/>
                <w:szCs w:val="20"/>
                <w:u w:val="none"/>
              </w:rPr>
            </w:pPr>
          </w:p>
        </w:tc>
      </w:tr>
      <w:tr w14:paraId="2386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65F883AD">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Times New Roman" w:hAnsi="Times New Roman" w:eastAsia="宋体" w:cs="Times New Roman"/>
                <w:i w:val="0"/>
                <w:iCs w:val="0"/>
                <w:color w:val="000000"/>
                <w:kern w:val="0"/>
                <w:sz w:val="20"/>
                <w:szCs w:val="20"/>
                <w:u w:val="none"/>
                <w:lang w:val="en-US" w:eastAsia="zh-CN" w:bidi="ar"/>
              </w:rPr>
              <w:t>3</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1C92300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行政许可</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4D7B002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企业、事业单位、社会团体等投资建设的固定资产投资项目核准（技术改造类）</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6F2C0B3">
            <w:pPr>
              <w:jc w:val="both"/>
              <w:rPr>
                <w:rFonts w:hint="eastAsia" w:ascii="仿宋_GB2312" w:hAnsi="宋体" w:eastAsia="仿宋_GB2312" w:cs="仿宋_GB2312"/>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316DB4B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融水苗族自治县科技工贸和信息化局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top"/>
          </w:tcPr>
          <w:p w14:paraId="2C2E4DA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投资节能和信息化股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0F5B">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企业投资项目核准和备案管理条例》（国务院令第673号，2016年12月14日发布，自2017年2月1日起施行)第三条对关系国家安全、涉及全国重大生产力布局、战略性资源开发和重大公共利益等项目，实行核准管理。具体项目范围以及核准机关、核准权限依照政府核准的投资项目目录执行。第四条除涉及国家秘密的项目外，项目核准、备案通过国家建立的项目在线监管平台（以下简称在线平台）办理。第二十二条事业单位、社会团体等非企业组织在中国境内投资建设的固定资产投资项目适用本条例，但通过预算安排的固定资产投资项目除外。</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2.《国务院关于投资体制改革的决定》（国发〔2004〕20号，2004 年7月16日发布）第二条第一款二、转变政府管理职能，确立企业的投资主体地位（一）改革项目审批制度，落实企业投资自主权。对于企业不使用政府投资建设的项目，一律不再实行审批制，区别不同情况实行核准制和备案制。其中，政府仅对重大项目和限制类项目从维护社会公共利益角度进行核准，其他项目无论规模大小，均改为备案制。</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3.《国务院关于发布政府核准的投资项目目录（2016年本）的通知》（国发〔2016〕72号，2016年12月12日发布，自发布之日起执行）第一条企业投资建设本目录内的固定资产投资项目，须按照规定报送有关项目核准机关核准。企业投资建设本目录外的项目，实行备案管理。事业单位、社会团体等投资建设的项目，按照本目录执行。</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4.《政府核准的投资项目目录》(广西壮族自治区2017年本，桂政发（2017）17号，2017年3月24日发布，自印发之日起执行）第一条政府投资主管部门包括发展改革部门和工业和信息化部门，企业投资建设本目录内的固定资产投资项目，属于基本建设的，由发展改革部门核准；属于技术改造的，由工业和信息化部门核准。    5.《广西壮族自治区人民政府办公厅关于印发广西投资项目在线并联审批监管平台运行管理暂行办法的通知》（桂政办发〔2017〕6号，2017年1月6日发布，自发布之日起施行）。第三条在线平台适用于我区实行审批制的政府投资项目、核准制或备案制的企业投资项目。</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C9A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受理责任：公示依法应当提交的材料；申报材料不齐全或者不符合有关要求的，项目核准机关应当在收到申报材料后5个工作日内一次告知项目单位补正。项目核准机关受理或者不予受理申报材料，都应当出具加盖本机关专用印章并注明日期的书面凭证。（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2.审查责任：审查申请材料，提出审查意见。对于涉及有关行业主管部门职能的项目，商请有关行业主管部门出具书面审查意见。对需要进行评估论证的重点问题委托有资质的咨询机构进行评估论证，对于可能会对公共利益造成重大影响的项目，应采取适当方式征求公众意见。对于特别重大的项目，可以实行专家评议制度。（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3.决定责任：10个工作日内作出行政许可或者不予行政许可决定，法定告知(不予许可的应当书面告知理由)；按时办结。 （投资节能和信息化股）  </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4．送达责任：及时制发决定文件，通知申请人领取；信息公开。（投资节能和信息化股）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5．监管责任：加强项目核准工作的监督管理，建立实施监督检查的运行机制和管理制度，开展定期和不定期检查，依法采取相应处置措施。（投资节能和信息化股）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6．其他法律法规规章文件规定应履行的责任。（相关股室）</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CE7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（1996年中华人民共和国主席令第63号公布，2021年1月22日第十三届全国人民代表大会常务委员会第二十五次会议修订，自2021年7月15日起施行）</w:t>
            </w:r>
            <w:r>
              <w:rPr>
                <w:rFonts w:hint="eastAsia" w:ascii="仿宋_GB2312" w:hAnsi="仿宋_GB2312" w:eastAsia="仿宋_GB2312" w:cs="仿宋_GB2312"/>
                <w:snapToGrid w:val="0"/>
                <w:color w:val="000000"/>
                <w:sz w:val="18"/>
                <w:szCs w:val="18"/>
                <w:highlight w:val="none"/>
              </w:rPr>
              <w:t>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5B9E157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2B04E9A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snapToGrid w:val="0"/>
                <w:color w:val="000000"/>
                <w:sz w:val="18"/>
                <w:szCs w:val="18"/>
                <w:highlight w:val="none"/>
                <w:lang w:eastAsia="zh-CN"/>
              </w:rPr>
              <w:t>第二十三条</w:t>
            </w:r>
            <w:r>
              <w:rPr>
                <w:rFonts w:hint="default" w:ascii="仿宋_GB2312" w:hAnsi="仿宋_GB2312" w:eastAsia="仿宋_GB2312" w:cs="仿宋_GB2312"/>
                <w:snapToGrid w:val="0"/>
                <w:color w:val="000000"/>
                <w:sz w:val="18"/>
                <w:szCs w:val="18"/>
                <w:highlight w:val="none"/>
                <w:lang w:val="en" w:eastAsia="zh-CN"/>
              </w:rPr>
              <w:t xml:space="preserve">  </w:t>
            </w:r>
            <w:r>
              <w:rPr>
                <w:rFonts w:hint="eastAsia" w:ascii="仿宋_GB2312" w:hAnsi="仿宋_GB2312" w:eastAsia="仿宋_GB2312" w:cs="仿宋_GB2312"/>
                <w:i w:val="0"/>
                <w:caps w:val="0"/>
                <w:snapToGrid w:val="0"/>
                <w:color w:val="000000"/>
                <w:spacing w:val="0"/>
                <w:kern w:val="2"/>
                <w:sz w:val="18"/>
                <w:szCs w:val="18"/>
                <w:highlight w:val="none"/>
                <w:lang w:val="en-US" w:eastAsia="zh-CN" w:bidi="ar"/>
              </w:rPr>
              <w:t xml:space="preserve">《行政处罚法》第二十三条  行政处罚由县级以上地方人民政府具有行政处罚权的行政机关管辖。法律、行政法规另有规定的，从其规定。  </w:t>
            </w:r>
          </w:p>
          <w:p w14:paraId="19E61C97">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20CE69B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val="0"/>
                <w:snapToGrid w:val="0"/>
                <w:color w:val="FF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7C7778D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6A6F22B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0D846ED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2F37BFA0">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3DCA19A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036025BB">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5CB0A72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第三十四条 行政机关可以依法制定行政处罚裁量基准，规范行使行政处罚裁量权。行政处罚裁量基准应当向社会公布。</w:t>
            </w:r>
          </w:p>
          <w:p w14:paraId="1DC776A5">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.【法律】《中华人民共和国行政处罚法》第六十四条听证应当依照以下程序组织</w:t>
            </w:r>
            <w:r>
              <w:rPr>
                <w:rFonts w:hint="default" w:ascii="仿宋_GB2312" w:hAnsi="仿宋_GB2312" w:eastAsia="仿宋_GB2312" w:cs="仿宋_GB2312"/>
                <w:snapToGrid w:val="0"/>
                <w:color w:val="000000"/>
                <w:sz w:val="18"/>
                <w:szCs w:val="18"/>
                <w:highlight w:val="none"/>
                <w:lang w:val="en"/>
              </w:rPr>
              <w:t xml:space="preserve">  </w:t>
            </w:r>
          </w:p>
          <w:p w14:paraId="50C2232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p>
          <w:p w14:paraId="4A7A8FD7">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20A3392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712400C9">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41B8D15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lang w:eastAsia="zh-C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0326A70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75775F5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14B38CC4">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1FF54805">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5E2AE32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78576">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
              </w:rPr>
            </w:pPr>
            <w:r>
              <w:rPr>
                <w:rFonts w:hint="eastAsia" w:eastAsia="仿宋_GB2312" w:cs="仿宋_GB2312"/>
                <w:snapToGrid w:val="0"/>
                <w:color w:val="000000"/>
                <w:sz w:val="18"/>
                <w:szCs w:val="18"/>
                <w:highlight w:val="none"/>
              </w:rPr>
              <w:t>因不履行或不正确履行行政职责，有下列情形的，行政机关及相关工作人员应承担相应责任</w:t>
            </w:r>
            <w:r>
              <w:rPr>
                <w:rFonts w:hint="default" w:eastAsia="仿宋_GB2312" w:cs="仿宋_GB2312"/>
                <w:snapToGrid w:val="0"/>
                <w:color w:val="000000"/>
                <w:sz w:val="18"/>
                <w:szCs w:val="18"/>
                <w:highlight w:val="none"/>
                <w:lang w:val="en"/>
              </w:rPr>
              <w:t xml:space="preserve">  </w:t>
            </w:r>
          </w:p>
          <w:p w14:paraId="78813653">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p>
          <w:p w14:paraId="537FC80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2.擅自改变处罚幅度、范围的；</w:t>
            </w:r>
            <w:r>
              <w:rPr>
                <w:rFonts w:hint="eastAsia" w:eastAsia="仿宋_GB2312" w:cs="仿宋_GB2312"/>
                <w:snapToGrid w:val="0"/>
                <w:color w:val="000000"/>
                <w:sz w:val="18"/>
                <w:szCs w:val="18"/>
                <w:highlight w:val="none"/>
                <w:lang w:eastAsia="zh-CN"/>
              </w:rPr>
              <w:t>（机关纪委）</w:t>
            </w:r>
          </w:p>
          <w:p w14:paraId="0CAC9E62">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p>
          <w:p w14:paraId="7FCC52BE">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4.徇私舞弊、包庇、纵容用能违法行为的；</w:t>
            </w:r>
            <w:r>
              <w:rPr>
                <w:rFonts w:hint="eastAsia" w:eastAsia="仿宋_GB2312" w:cs="仿宋_GB2312"/>
                <w:snapToGrid w:val="0"/>
                <w:color w:val="000000"/>
                <w:sz w:val="18"/>
                <w:szCs w:val="18"/>
                <w:highlight w:val="none"/>
                <w:lang w:eastAsia="zh-CN"/>
              </w:rPr>
              <w:t>（机关纪委）</w:t>
            </w:r>
          </w:p>
          <w:p w14:paraId="2F56430C">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p>
          <w:p w14:paraId="5CFBBAA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6.在行政处罚过程中发生腐败行为的或使用、损毁扣押的财物，对当事人造成损失的；</w:t>
            </w:r>
            <w:r>
              <w:rPr>
                <w:rFonts w:hint="eastAsia" w:eastAsia="仿宋_GB2312" w:cs="仿宋_GB2312"/>
                <w:snapToGrid w:val="0"/>
                <w:color w:val="000000"/>
                <w:sz w:val="18"/>
                <w:szCs w:val="18"/>
                <w:highlight w:val="none"/>
                <w:lang w:eastAsia="zh-CN"/>
              </w:rPr>
              <w:t>（机关纪委）</w:t>
            </w:r>
          </w:p>
          <w:p w14:paraId="42A5EC7C">
            <w:pPr>
              <w:keepNext w:val="0"/>
              <w:keepLines w:val="0"/>
              <w:widowControl/>
              <w:suppressLineNumbers w:val="0"/>
              <w:ind w:firstLine="360" w:firstLineChars="20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7.其他违反法律法规、规章以及规范性文件规定的行为。</w:t>
            </w:r>
            <w:r>
              <w:rPr>
                <w:rFonts w:hint="eastAsia" w:eastAsia="仿宋_GB2312" w:cs="仿宋_GB2312"/>
                <w:snapToGrid w:val="0"/>
                <w:color w:val="000000"/>
                <w:sz w:val="18"/>
                <w:szCs w:val="18"/>
                <w:highlight w:val="none"/>
                <w:lang w:eastAsia="zh-CN"/>
              </w:rPr>
              <w:t>（机关纪委）</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6265">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34E70626">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35CB7651">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31AF8C49">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05877D1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400BB1FF">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（二）在管理服务活动中故意刁难、吃拿卡要的；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（三）在管理服务活动中态度恶劣粗暴，造成不良后果或者影响的；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（四）不按照规定公开工作信息，侵犯管理服务对象知情权，造成不良后果或者影响的；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（五）其他侵犯管理服务对象利益的行为，造成不良后果或者影响的。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53F44AD3">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7E20F02E">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　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65301130">
            <w:pPr>
              <w:keepNext w:val="0"/>
              <w:keepLines w:val="0"/>
              <w:widowControl/>
              <w:suppressLineNumbers w:val="0"/>
              <w:ind w:firstLine="360" w:firstLineChars="20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9DF5">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top"/>
          </w:tcPr>
          <w:p w14:paraId="1538B55A">
            <w:pPr>
              <w:jc w:val="both"/>
              <w:rPr>
                <w:rFonts w:hint="eastAsia" w:ascii="仿宋_GB2312" w:hAnsi="宋体" w:eastAsia="仿宋_GB2312" w:cs="仿宋_GB2312"/>
                <w:i w:val="0"/>
                <w:iCs w:val="0"/>
                <w:color w:val="000000"/>
                <w:sz w:val="20"/>
                <w:szCs w:val="20"/>
                <w:u w:val="none"/>
              </w:rPr>
            </w:pPr>
          </w:p>
        </w:tc>
      </w:tr>
      <w:tr w14:paraId="3EDBC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6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7C33A427">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Times New Roman" w:hAnsi="Times New Roman" w:eastAsia="宋体" w:cs="Times New Roman"/>
                <w:i w:val="0"/>
                <w:iCs w:val="0"/>
                <w:color w:val="000000"/>
                <w:kern w:val="0"/>
                <w:sz w:val="20"/>
                <w:szCs w:val="20"/>
                <w:u w:val="none"/>
                <w:lang w:val="en-US" w:eastAsia="zh-CN" w:bidi="ar"/>
              </w:rPr>
              <w:t>4</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6FFE902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行政许可</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5F9BAB8A">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技术改造类固定资产投资项目节能评估和审查</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2AC834F2">
            <w:pPr>
              <w:jc w:val="both"/>
              <w:rPr>
                <w:rFonts w:hint="eastAsia" w:ascii="仿宋_GB2312" w:hAnsi="宋体" w:eastAsia="仿宋_GB2312" w:cs="仿宋_GB2312"/>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71B3923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融水苗族自治县科技工贸和信息化局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top"/>
          </w:tcPr>
          <w:p w14:paraId="08B39C1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投资节能和信息化股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B118A">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1.《中华人民共和国节约能源法》（《中华人民共和国节约能源法》（1997年11月1日主席令第九十号，2018年10月26日第十三届全国人民代表大会常务委员会第六次会议予以最新修正）第十五条 国家实行固定资产投资项目节能评估和审查制度。不符合强制性节能标准的项目，建设单位不得开工建设；已经建成的，不得投入生产、使用。政府投资项目不符合强制性节能标准的，依法负责项目审批的机关不得批准建设。具体办法由国务院管理节能工作的部门会同国务院有关部门制定。</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2.《国务院关于加强节能工作的决定》（国发〔2006〕28号，2006年8月6日发布实施）第二十三条 建立固定资产投资项目节能评估和审查制度。有关部门和地方人民政府要对固定资产投资项目（含新建、改建、扩建项目）进行节能评估和审查。对未进行节能审查或未能通过节能审查的项目一律不得审批、核准，从源头杜绝能源的浪费。对擅自批准项目建设的，要依法依规追究直接责任人的责任。发展改革委要会同有关部门制定固定资产投资项目节能评估和审查的具体办法。</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3.《固定资产投资项目节能审查办法》（2016年11月27日中华人民共和国国家发展和改革委员会令第44号，自2017年1月1日起施行）第三条 固定资产投资项目节能审查意见是项目开工建设、竣工验收和运营管理的重要依据。政府投资项目，建设单位在报送项目可行性研究报告前，需取得节能审查机关出具的节能审查意见。企业投资项目，建设单位需在开工建设前取得节能审查机关出具的节能审查意见。未按本办法规定进行节能审查，或节能审查未通过的项目，建设单位不得开工建设，已经建成的不得投入生产、使用。</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4.《广西壮族自治区固定资产投资项目节能审查实施办法》（2017年5月18日广西壮族自治区发展和改革委员会和广西壮族自治区工业和信息化委员会联合发布，自2017年6月1日起实施，原《广西壮族自治区固定资产投资项目节能评估和审查暂行办法》（桂发改环资〔2011〕949号）同时废止）第三条 固定资产投资项目节能审查意见是项目开工建设、竣工验收和运营管理的重要依据。政府投资项目，建设单位在报送项目可行性研究报告前，需取得节能审查机关出具的节能审查意见。企业投资项目，建设单位需在开工建设前取得节能审查机关出具的节能审查意见。未按本办法规定进行节能审查，或节能审查未获通过的固定资产投资项目，建设单位不得开工建设，已经建成的不得投入生产、使用。</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300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1.受理责任：公示依法应当提交的材料；申报材料不齐全或者不符合有关要求的，项目核准机关应当在收到申报材料后5个工作日内一次告知项目单位补正。项目核准机关受理或者不予受理申报材料，都应当出具加盖本机关专用印章并注明日期的书面凭证。（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2.审查责任：审查申请材料，提出审查意见。对于涉及有关行业主管部门职能的项目，商请有关行业主管部门出具书面审查意见。对需要进行评估论证的重点问题委托有资质的咨询机构进行评估论证，对于可能会对公共利益造成重大影响的项目，应采取适当方式征求公众意见。对于特别重大的项目，可以实行专家评议制度。（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3.决定责任：10个工作日内作出行政许可或者不予行政许可决定，法定告知(不予许可的应当书面告知理由)；按时办结。 （投资节能和信息化股）  </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4．送达责任：及时制发决定文件，通知申请人领取；信息公开。（投资节能和信息化股）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5．监管责任：加强项目核准工作的监督管理，建立实施监督检查的运行机制和管理制度，开展定期和不定期检查，依法采取相应处置措施。（投资节能和信息化股）</w:t>
            </w: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6．其他法律法规规章文件规定应履行的责任。（相关股室）</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2316B">
            <w:pPr>
              <w:keepNext w:val="0"/>
              <w:keepLines w:val="0"/>
              <w:pageBreakBefore w:val="0"/>
              <w:kinsoku/>
              <w:wordWrap/>
              <w:overflowPunct/>
              <w:topLinePunct w:val="0"/>
              <w:autoSpaceDE/>
              <w:autoSpaceDN/>
              <w:bidi w:val="0"/>
              <w:spacing w:line="280" w:lineRule="exact"/>
              <w:ind w:firstLine="400" w:firstLineChars="200"/>
              <w:rPr>
                <w:rFonts w:hint="eastAsia" w:ascii="仿宋_GB2312" w:hAnsi="仿宋_GB2312" w:eastAsia="仿宋_GB2312" w:cs="仿宋_GB2312"/>
                <w:snapToGrid w:val="0"/>
                <w:color w:val="000000"/>
                <w:sz w:val="18"/>
                <w:szCs w:val="18"/>
                <w:highlight w:val="none"/>
              </w:rPr>
            </w:pPr>
            <w:r>
              <w:rPr>
                <w:rFonts w:hint="eastAsia" w:ascii="仿宋_GB2312" w:hAnsi="宋体" w:eastAsia="仿宋_GB2312" w:cs="仿宋_GB2312"/>
                <w:i w:val="0"/>
                <w:iCs w:val="0"/>
                <w:color w:val="000000"/>
                <w:kern w:val="0"/>
                <w:sz w:val="20"/>
                <w:szCs w:val="20"/>
                <w:highlight w:val="none"/>
                <w:u w:val="none"/>
                <w:lang w:val="en-US" w:eastAsia="zh-CN" w:bidi="ar"/>
              </w:rPr>
              <w:br w:type="textWrapping"/>
            </w: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（1996年中华人民共和国主席令第63号公布，2021年1月22日第十三届全国人民代表大会常务委员会第二十五次会议修订，自2021年7月15日起施行）</w:t>
            </w:r>
            <w:r>
              <w:rPr>
                <w:rFonts w:hint="eastAsia" w:ascii="仿宋_GB2312" w:hAnsi="仿宋_GB2312" w:eastAsia="仿宋_GB2312" w:cs="仿宋_GB2312"/>
                <w:snapToGrid w:val="0"/>
                <w:color w:val="000000"/>
                <w:sz w:val="18"/>
                <w:szCs w:val="18"/>
                <w:highlight w:val="none"/>
              </w:rPr>
              <w:t>第十七条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行政处罚由具有行政处罚权的行政机关在法定职权范围内实施。</w:t>
            </w:r>
          </w:p>
          <w:p w14:paraId="128F8E98">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.【法律】《中华人民共和国行政处罚法》第二十二条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行政处罚由违法行为发生地的行政机关管辖。法律、行政法规、部门规章另有规定的，从其规定。</w:t>
            </w:r>
          </w:p>
          <w:p w14:paraId="7E123BA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-3</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snapToGrid w:val="0"/>
                <w:color w:val="000000"/>
                <w:sz w:val="18"/>
                <w:szCs w:val="18"/>
                <w:highlight w:val="none"/>
                <w:lang w:eastAsia="zh-CN"/>
              </w:rPr>
              <w:t>第二十三条</w:t>
            </w:r>
            <w:r>
              <w:rPr>
                <w:rFonts w:hint="default" w:ascii="仿宋_GB2312" w:hAnsi="仿宋_GB2312" w:eastAsia="仿宋_GB2312" w:cs="仿宋_GB2312"/>
                <w:snapToGrid w:val="0"/>
                <w:color w:val="000000"/>
                <w:sz w:val="18"/>
                <w:szCs w:val="18"/>
                <w:highlight w:val="none"/>
                <w:lang w:val="en" w:eastAsia="zh-CN"/>
              </w:rPr>
              <w:t xml:space="preserve">  </w:t>
            </w:r>
            <w:r>
              <w:rPr>
                <w:rFonts w:hint="eastAsia" w:ascii="仿宋_GB2312" w:hAnsi="仿宋_GB2312" w:eastAsia="仿宋_GB2312" w:cs="仿宋_GB2312"/>
                <w:i w:val="0"/>
                <w:caps w:val="0"/>
                <w:snapToGrid w:val="0"/>
                <w:color w:val="000000"/>
                <w:spacing w:val="0"/>
                <w:kern w:val="2"/>
                <w:sz w:val="18"/>
                <w:szCs w:val="18"/>
                <w:highlight w:val="none"/>
                <w:lang w:val="en-US" w:eastAsia="zh-CN" w:bidi="ar"/>
              </w:rPr>
              <w:t xml:space="preserve">《行政处罚法》第二十三条  行政处罚由县级以上地方人民政府具有行政处罚权的行政机关管辖。法律、行政法规另有规定的，从其规定。  </w:t>
            </w:r>
          </w:p>
          <w:p w14:paraId="453FAF06">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i w:val="0"/>
                <w:snapToGrid w:val="0"/>
                <w:color w:val="000000"/>
                <w:kern w:val="2"/>
                <w:sz w:val="18"/>
                <w:szCs w:val="18"/>
                <w:highlight w:val="none"/>
                <w:u w:val="none"/>
                <w:lang w:val="en-US" w:eastAsia="zh-CN" w:bidi="ar"/>
              </w:rPr>
            </w:pPr>
            <w:r>
              <w:rPr>
                <w:rFonts w:hint="eastAsia" w:ascii="仿宋_GB2312" w:hAnsi="仿宋_GB2312" w:eastAsia="仿宋_GB2312" w:cs="仿宋_GB2312"/>
                <w:snapToGrid w:val="0"/>
                <w:color w:val="000000"/>
                <w:sz w:val="18"/>
                <w:szCs w:val="18"/>
                <w:highlight w:val="none"/>
              </w:rPr>
              <w:t>1</w:t>
            </w:r>
            <w:r>
              <w:rPr>
                <w:rFonts w:hint="eastAsia" w:ascii="仿宋_GB2312" w:hAnsi="仿宋_GB2312" w:eastAsia="仿宋_GB2312" w:cs="仿宋_GB2312"/>
                <w:snapToGrid w:val="0"/>
                <w:color w:val="000000"/>
                <w:sz w:val="18"/>
                <w:szCs w:val="18"/>
                <w:highlight w:val="none"/>
                <w:lang w:val="en-US" w:eastAsia="zh-CN"/>
              </w:rPr>
              <w:t>-4</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第四十二条 行政处罚应当由具有行政执法资格的执法人员实施。执法人员不得少于两人，法律另有规定的除外。</w:t>
            </w:r>
          </w:p>
          <w:p w14:paraId="7C816FF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val="0"/>
                <w:snapToGrid w:val="0"/>
                <w:color w:val="FF0000"/>
                <w:sz w:val="18"/>
                <w:szCs w:val="18"/>
                <w:highlight w:val="none"/>
              </w:rPr>
            </w:pPr>
            <w:r>
              <w:rPr>
                <w:rFonts w:hint="eastAsia" w:ascii="仿宋_GB2312" w:hAnsi="仿宋_GB2312" w:eastAsia="仿宋_GB2312" w:cs="仿宋_GB2312"/>
                <w:i w:val="0"/>
                <w:snapToGrid w:val="0"/>
                <w:color w:val="000000"/>
                <w:kern w:val="2"/>
                <w:sz w:val="18"/>
                <w:szCs w:val="18"/>
                <w:highlight w:val="none"/>
                <w:u w:val="none"/>
                <w:lang w:val="en-US" w:eastAsia="zh-CN" w:bidi="ar"/>
              </w:rPr>
              <w:t>执法人员应当文明执法，尊重和保护当事人合法权益。</w:t>
            </w:r>
          </w:p>
          <w:p w14:paraId="0CA14F8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2</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.【法律】《中华人民共和国行政处罚法》第五十四条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14:paraId="312C4733">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符合立案标准的，行政机关应当及时立案。</w:t>
            </w:r>
          </w:p>
          <w:p w14:paraId="2EB7D83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default" w:ascii="仿宋_GB2312" w:hAnsi="仿宋_GB2312" w:eastAsia="仿宋_GB2312" w:cs="仿宋_GB2312"/>
                <w:snapToGrid w:val="0"/>
                <w:color w:val="000000"/>
                <w:sz w:val="18"/>
                <w:szCs w:val="18"/>
                <w:highlight w:val="none"/>
                <w:lang w:val="en-US" w:eastAsia="zh-CN"/>
              </w:rPr>
              <w:t>2-2</w:t>
            </w:r>
            <w:r>
              <w:rPr>
                <w:rFonts w:hint="default" w:ascii="仿宋_GB2312" w:hAnsi="仿宋_GB2312" w:eastAsia="仿宋_GB2312" w:cs="仿宋_GB2312"/>
                <w:snapToGrid w:val="0"/>
                <w:color w:val="000000"/>
                <w:sz w:val="18"/>
                <w:szCs w:val="18"/>
                <w:highlight w:val="none"/>
                <w:lang w:val="en" w:eastAsia="zh-CN"/>
              </w:rPr>
              <w:t>.</w:t>
            </w:r>
            <w:r>
              <w:rPr>
                <w:rFonts w:hint="default" w:ascii="仿宋_GB2312" w:hAnsi="仿宋_GB2312" w:eastAsia="仿宋_GB2312" w:cs="仿宋_GB2312"/>
                <w:snapToGrid w:val="0"/>
                <w:color w:val="000000"/>
                <w:sz w:val="18"/>
                <w:szCs w:val="18"/>
                <w:highlight w:val="none"/>
                <w:lang w:val="en-US" w:eastAsia="zh-CN"/>
              </w:rPr>
              <w:t>【法律】《行政处罚法》第五十五条</w:t>
            </w:r>
            <w:r>
              <w:rPr>
                <w:rFonts w:hint="eastAsia" w:ascii="仿宋_GB2312" w:hAnsi="仿宋_GB2312" w:eastAsia="仿宋_GB2312" w:cs="仿宋_GB2312"/>
                <w:snapToGrid w:val="0"/>
                <w:color w:val="000000"/>
                <w:sz w:val="18"/>
                <w:szCs w:val="18"/>
                <w:highlight w:val="none"/>
                <w:lang w:val="en-US" w:eastAsia="zh-CN"/>
              </w:rPr>
              <w:t xml:space="preserve">  </w:t>
            </w:r>
            <w:r>
              <w:rPr>
                <w:rFonts w:hint="default" w:ascii="仿宋_GB2312" w:hAnsi="仿宋_GB2312" w:eastAsia="仿宋_GB2312" w:cs="仿宋_GB2312"/>
                <w:snapToGrid w:val="0"/>
                <w:color w:val="000000"/>
                <w:sz w:val="18"/>
                <w:szCs w:val="18"/>
                <w:highlight w:val="none"/>
                <w:lang w:val="en-US" w:eastAsia="zh-CN"/>
              </w:rPr>
              <w:t>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仿宋_GB2312" w:eastAsia="仿宋_GB2312" w:cs="仿宋_GB2312"/>
                <w:snapToGrid w:val="0"/>
                <w:color w:val="000000"/>
                <w:sz w:val="18"/>
                <w:szCs w:val="18"/>
                <w:highlight w:val="none"/>
                <w:lang w:val="en-US" w:eastAsia="zh-CN"/>
              </w:rPr>
              <w:t xml:space="preserve">  </w:t>
            </w:r>
          </w:p>
          <w:p w14:paraId="3AB80E0F">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3.【法律】《中华人民共和国行政处罚法》第五十七条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230FA861">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704EB48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trike/>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6191DCCF">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w:t>
            </w:r>
            <w:r>
              <w:rPr>
                <w:rFonts w:hint="eastAsia" w:ascii="仿宋_GB2312" w:hAnsi="仿宋_GB2312" w:eastAsia="仿宋_GB2312" w:cs="仿宋_GB2312"/>
                <w:i w:val="0"/>
                <w:snapToGrid w:val="0"/>
                <w:color w:val="000000"/>
                <w:kern w:val="2"/>
                <w:sz w:val="18"/>
                <w:szCs w:val="18"/>
                <w:highlight w:val="none"/>
                <w:u w:val="none"/>
                <w:lang w:val="en-US" w:eastAsia="zh-CN" w:bidi="ar"/>
              </w:rPr>
              <w:t>第三十四条 行政机关可以依法制定行政处罚裁量基准，规范行使行政处罚裁量权。行政处罚裁量基准应当向社会公布。</w:t>
            </w:r>
          </w:p>
          <w:p w14:paraId="06544AD5">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4</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.【法律】《中华人民共和国行政处罚法》第六十四条听证应当依照以下程序组织</w:t>
            </w:r>
            <w:r>
              <w:rPr>
                <w:rFonts w:hint="default" w:ascii="仿宋_GB2312" w:hAnsi="仿宋_GB2312" w:eastAsia="仿宋_GB2312" w:cs="仿宋_GB2312"/>
                <w:snapToGrid w:val="0"/>
                <w:color w:val="000000"/>
                <w:sz w:val="18"/>
                <w:szCs w:val="18"/>
                <w:highlight w:val="none"/>
                <w:lang w:val="en"/>
              </w:rPr>
              <w:t xml:space="preserve">  </w:t>
            </w:r>
          </w:p>
          <w:p w14:paraId="2C4906CA">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p>
          <w:p w14:paraId="7686BC37">
            <w:pPr>
              <w:keepNext w:val="0"/>
              <w:keepLines w:val="0"/>
              <w:pageBreakBefore w:val="0"/>
              <w:kinsoku/>
              <w:wordWrap/>
              <w:overflowPunct/>
              <w:topLinePunct w:val="0"/>
              <w:autoSpaceDE/>
              <w:autoSpaceDN/>
              <w:bidi w:val="0"/>
              <w:spacing w:line="280" w:lineRule="exact"/>
              <w:ind w:firstLine="360" w:firstLineChars="200"/>
              <w:rPr>
                <w:rFonts w:hint="default" w:ascii="仿宋_GB2312" w:hAnsi="仿宋_GB2312" w:eastAsia="仿宋_GB2312" w:cs="仿宋_GB2312"/>
                <w:snapToGrid w:val="0"/>
                <w:color w:val="000000"/>
                <w:sz w:val="18"/>
                <w:szCs w:val="18"/>
                <w:highlight w:val="none"/>
                <w:lang w:val="e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.【法律】《中华人民共和国行政处罚法》第五十七条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调查终结，行政机关负责人应当对调查结果进行审查，根据不同情况，分别作出如下决定</w:t>
            </w:r>
            <w:r>
              <w:rPr>
                <w:rFonts w:hint="default" w:ascii="仿宋_GB2312" w:hAnsi="仿宋_GB2312" w:eastAsia="仿宋_GB2312" w:cs="仿宋_GB2312"/>
                <w:snapToGrid w:val="0"/>
                <w:color w:val="000000"/>
                <w:sz w:val="18"/>
                <w:szCs w:val="18"/>
                <w:highlight w:val="none"/>
                <w:lang w:val="en"/>
              </w:rPr>
              <w:t xml:space="preserve">  </w:t>
            </w:r>
          </w:p>
          <w:p w14:paraId="223EA8E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一）确有应受行政处罚的违法行为的，根据情节轻重及具体情况，作出行政处罚决定；（二）违法行为轻微，依法可以不予行政处罚的，不予行政处罚；（三）违法事实不能成立的，不予行政处罚；（四）违法行为涉嫌犯罪的，移送司法机关。</w:t>
            </w:r>
          </w:p>
          <w:p w14:paraId="79106AFD">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对情节复杂或者重大违法行为给予行政处罚，行政机关负责人应当集体讨论决定。</w:t>
            </w:r>
          </w:p>
          <w:p w14:paraId="446F7B00">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lang w:eastAsia="zh-CN"/>
              </w:rPr>
            </w:pPr>
            <w:r>
              <w:rPr>
                <w:rFonts w:hint="eastAsia" w:ascii="仿宋_GB2312" w:hAnsi="仿宋_GB2312" w:eastAsia="仿宋_GB2312" w:cs="仿宋_GB2312"/>
                <w:snapToGrid w:val="0"/>
                <w:color w:val="000000"/>
                <w:sz w:val="18"/>
                <w:szCs w:val="18"/>
                <w:highlight w:val="none"/>
              </w:rPr>
              <w:t>5</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.【法律】《中华人民共和国行政处罚法》第四十五条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当事人有权进行陈述和申辩。行政机关必须充分听取当事人的意见，对当事人提出的事实、理由和证据，应当进行复核；当事人提出的事实、理由或者证据成立的，行政机关应当采纳。行政机关不得因当事人陈述、申辩而给予更重的处罚。</w:t>
            </w:r>
          </w:p>
          <w:p w14:paraId="4D5E9FFC">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6.【法律】《中华人民共和国行政处罚法》第六十一条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行政处罚决定书应当在宣告后当场交付当事人；当事人不在场的，行政机关应当在七日内依照《中华人民共和国民事诉讼法》的有关规定，将行政处罚决定书送达当事人。</w:t>
            </w:r>
          </w:p>
          <w:p w14:paraId="344EA972">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当事人同意并签订确认书的，行政机关可以采用传真、电子邮件等方式，将行政处罚决定书等送达当事人。</w:t>
            </w:r>
          </w:p>
          <w:p w14:paraId="4B576125">
            <w:pPr>
              <w:keepNext w:val="0"/>
              <w:keepLines w:val="0"/>
              <w:pageBreakBefore w:val="0"/>
              <w:kinsoku/>
              <w:wordWrap/>
              <w:overflowPunct/>
              <w:topLinePunct w:val="0"/>
              <w:autoSpaceDE/>
              <w:autoSpaceDN/>
              <w:bidi w:val="0"/>
              <w:spacing w:line="280" w:lineRule="exact"/>
              <w:ind w:firstLine="360" w:firstLineChars="200"/>
              <w:rPr>
                <w:rFonts w:hint="eastAsia" w:ascii="仿宋_GB2312" w:hAnsi="仿宋_GB2312" w:eastAsia="仿宋_GB2312" w:cs="仿宋_GB2312"/>
                <w:snapToGrid w:val="0"/>
                <w:color w:val="000000"/>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-1</w:t>
            </w:r>
            <w:r>
              <w:rPr>
                <w:rFonts w:hint="eastAsia" w:ascii="仿宋_GB2312" w:hAnsi="仿宋_GB2312" w:eastAsia="仿宋_GB2312" w:cs="仿宋_GB2312"/>
                <w:snapToGrid w:val="0"/>
                <w:color w:val="000000"/>
                <w:sz w:val="18"/>
                <w:szCs w:val="18"/>
                <w:highlight w:val="none"/>
              </w:rPr>
              <w:t>.【法律】《中华人民共和国行政处罚法》第六十六条</w:t>
            </w:r>
            <w:r>
              <w:rPr>
                <w:rFonts w:hint="default" w:ascii="仿宋_GB2312" w:hAnsi="仿宋_GB2312" w:eastAsia="仿宋_GB2312" w:cs="仿宋_GB2312"/>
                <w:snapToGrid w:val="0"/>
                <w:color w:val="000000"/>
                <w:sz w:val="18"/>
                <w:szCs w:val="18"/>
                <w:highlight w:val="none"/>
                <w:lang w:val="en"/>
              </w:rPr>
              <w:t xml:space="preserve">  </w:t>
            </w:r>
            <w:r>
              <w:rPr>
                <w:rFonts w:hint="eastAsia" w:ascii="仿宋_GB2312" w:hAnsi="仿宋_GB2312" w:eastAsia="仿宋_GB2312" w:cs="仿宋_GB2312"/>
                <w:snapToGrid w:val="0"/>
                <w:color w:val="000000"/>
                <w:sz w:val="18"/>
                <w:szCs w:val="18"/>
                <w:highlight w:val="none"/>
              </w:rPr>
              <w:t>行政处罚决定依法作出后，当事人应当在行政处罚决定书载明的期限内，予以履行。当事人确有经济困难，需要延期或者分期缴纳罚款的，经当事人申请和行政机关批准，可以暂缓或者分期缴纳。</w:t>
            </w:r>
          </w:p>
          <w:p w14:paraId="6844FFCC">
            <w:pPr>
              <w:keepNext w:val="0"/>
              <w:keepLines w:val="0"/>
              <w:pageBreakBefore w:val="0"/>
              <w:kinsoku/>
              <w:wordWrap/>
              <w:overflowPunct/>
              <w:topLinePunct w:val="0"/>
              <w:autoSpaceDE/>
              <w:autoSpaceDN/>
              <w:bidi w:val="0"/>
              <w:spacing w:line="280" w:lineRule="exact"/>
              <w:ind w:firstLine="360" w:firstLineChars="200"/>
              <w:rPr>
                <w:sz w:val="18"/>
                <w:szCs w:val="18"/>
                <w:highlight w:val="none"/>
              </w:rPr>
            </w:pPr>
            <w:r>
              <w:rPr>
                <w:rFonts w:hint="eastAsia" w:ascii="仿宋_GB2312" w:hAnsi="仿宋_GB2312" w:eastAsia="仿宋_GB2312" w:cs="仿宋_GB2312"/>
                <w:snapToGrid w:val="0"/>
                <w:color w:val="000000"/>
                <w:sz w:val="18"/>
                <w:szCs w:val="18"/>
                <w:highlight w:val="none"/>
              </w:rPr>
              <w:t>7</w:t>
            </w:r>
            <w:r>
              <w:rPr>
                <w:rFonts w:hint="eastAsia" w:ascii="仿宋_GB2312" w:hAnsi="仿宋_GB2312" w:eastAsia="仿宋_GB2312" w:cs="仿宋_GB2312"/>
                <w:snapToGrid w:val="0"/>
                <w:color w:val="000000"/>
                <w:sz w:val="18"/>
                <w:szCs w:val="18"/>
                <w:highlight w:val="none"/>
                <w:lang w:val="en-US" w:eastAsia="zh-CN"/>
              </w:rPr>
              <w:t>-2</w:t>
            </w:r>
            <w:r>
              <w:rPr>
                <w:rFonts w:hint="eastAsia" w:ascii="仿宋_GB2312" w:hAnsi="仿宋_GB2312" w:eastAsia="仿宋_GB2312" w:cs="仿宋_GB2312"/>
                <w:snapToGrid w:val="0"/>
                <w:color w:val="000000"/>
                <w:sz w:val="18"/>
                <w:szCs w:val="18"/>
                <w:highlight w:val="none"/>
              </w:rPr>
              <w:t>.【法律】《中华人民共和国行政处罚法》第七十五条</w:t>
            </w:r>
            <w:r>
              <w:rPr>
                <w:rFonts w:hint="default" w:ascii="仿宋_GB2312" w:hAnsi="仿宋_GB2312" w:eastAsia="仿宋_GB2312" w:cs="仿宋_GB2312"/>
                <w:snapToGrid w:val="0"/>
                <w:color w:val="000000"/>
                <w:sz w:val="18"/>
                <w:szCs w:val="18"/>
                <w:highlight w:val="none"/>
                <w:lang w:val="en"/>
              </w:rPr>
              <w:t xml:space="preserve">  </w:t>
            </w:r>
            <w:r>
              <w:rPr>
                <w:rFonts w:ascii="仿宋_GB2312" w:hAnsi="仿宋_GB2312" w:eastAsia="仿宋_GB2312" w:cs="仿宋_GB2312"/>
                <w:sz w:val="18"/>
                <w:szCs w:val="18"/>
                <w:highlight w:val="none"/>
              </w:rPr>
              <w:t>行政机关应当建立健全对行政处罚的监督制度。县级以上人民政府应当定期组织开展行政执法评议、考核，加强对行政处罚的监督检查，规范和保障行政处罚的实施。</w:t>
            </w:r>
          </w:p>
          <w:p w14:paraId="24BCCB6C">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ascii="仿宋_GB2312" w:hAnsi="仿宋_GB2312" w:eastAsia="仿宋_GB2312" w:cs="仿宋_GB2312"/>
                <w:sz w:val="18"/>
                <w:szCs w:val="18"/>
                <w:highlight w:val="none"/>
              </w:rPr>
              <w:t>行政机关实施行政处罚应当接受社会监督。公民、法人或者其他组织对行政机关实施行政处罚的行为，有权申诉或者检举；行政机</w:t>
            </w:r>
            <w:r>
              <w:rPr>
                <w:rFonts w:hint="eastAsia" w:ascii="仿宋_GB2312" w:hAnsi="仿宋_GB2312" w:eastAsia="仿宋_GB2312" w:cs="仿宋_GB2312"/>
                <w:snapToGrid w:val="0"/>
                <w:color w:val="000000"/>
                <w:sz w:val="18"/>
                <w:szCs w:val="18"/>
                <w:highlight w:val="none"/>
              </w:rPr>
              <w:t>关应当认真审查，发现有错误的，应当主动改正。</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F1FC">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
              </w:rPr>
            </w:pPr>
            <w:r>
              <w:rPr>
                <w:rFonts w:hint="eastAsia" w:eastAsia="仿宋_GB2312" w:cs="仿宋_GB2312"/>
                <w:snapToGrid w:val="0"/>
                <w:color w:val="000000"/>
                <w:sz w:val="18"/>
                <w:szCs w:val="18"/>
                <w:highlight w:val="none"/>
              </w:rPr>
              <w:t>因不履行或不正确履行行政职责，有下列情形的，行政机关及相关工作人员应承担相应责任</w:t>
            </w:r>
            <w:r>
              <w:rPr>
                <w:rFonts w:hint="default" w:eastAsia="仿宋_GB2312" w:cs="仿宋_GB2312"/>
                <w:snapToGrid w:val="0"/>
                <w:color w:val="000000"/>
                <w:sz w:val="18"/>
                <w:szCs w:val="18"/>
                <w:highlight w:val="none"/>
                <w:lang w:val="en"/>
              </w:rPr>
              <w:t xml:space="preserve">  </w:t>
            </w:r>
          </w:p>
          <w:p w14:paraId="49B0FF70">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1.不按照法定条件或法定程序对违反节能法行为实施行政处罚的；没有法律和事实依据实施行政处罚的；</w:t>
            </w:r>
            <w:r>
              <w:rPr>
                <w:rFonts w:hint="eastAsia" w:eastAsia="仿宋_GB2312" w:cs="仿宋_GB2312"/>
                <w:snapToGrid w:val="0"/>
                <w:color w:val="000000"/>
                <w:sz w:val="18"/>
                <w:szCs w:val="18"/>
                <w:highlight w:val="none"/>
                <w:lang w:eastAsia="zh-CN"/>
              </w:rPr>
              <w:t>（机关纪委）</w:t>
            </w:r>
          </w:p>
          <w:p w14:paraId="072D74EB">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2.擅自改变处罚幅度、范围的；</w:t>
            </w:r>
            <w:r>
              <w:rPr>
                <w:rFonts w:hint="eastAsia" w:eastAsia="仿宋_GB2312" w:cs="仿宋_GB2312"/>
                <w:snapToGrid w:val="0"/>
                <w:color w:val="000000"/>
                <w:sz w:val="18"/>
                <w:szCs w:val="18"/>
                <w:highlight w:val="none"/>
                <w:lang w:eastAsia="zh-CN"/>
              </w:rPr>
              <w:t>（机关纪委）</w:t>
            </w:r>
          </w:p>
          <w:p w14:paraId="4D3340D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3.执法人员玩忽职守，对应当予以制止和处罚的违法行为不予以制止、处罚，致使公民、法人或其他组织的合法利益、公共利益和社会秩序遭受损害的；</w:t>
            </w:r>
            <w:r>
              <w:rPr>
                <w:rFonts w:hint="eastAsia" w:eastAsia="仿宋_GB2312" w:cs="仿宋_GB2312"/>
                <w:snapToGrid w:val="0"/>
                <w:color w:val="000000"/>
                <w:sz w:val="18"/>
                <w:szCs w:val="18"/>
                <w:highlight w:val="none"/>
                <w:lang w:eastAsia="zh-CN"/>
              </w:rPr>
              <w:t>（机关纪委）</w:t>
            </w:r>
          </w:p>
          <w:p w14:paraId="3C67ADA1">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4.徇私舞弊、包庇、纵容用能违法行为的；</w:t>
            </w:r>
            <w:r>
              <w:rPr>
                <w:rFonts w:hint="eastAsia" w:eastAsia="仿宋_GB2312" w:cs="仿宋_GB2312"/>
                <w:snapToGrid w:val="0"/>
                <w:color w:val="000000"/>
                <w:sz w:val="18"/>
                <w:szCs w:val="18"/>
                <w:highlight w:val="none"/>
                <w:lang w:eastAsia="zh-CN"/>
              </w:rPr>
              <w:t>（机关纪委）</w:t>
            </w:r>
          </w:p>
          <w:p w14:paraId="316DF96D">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5.违法对当事人进行处罚不使用罚款、没收财物单据或者使用非法定部门制发的罚款、没收财物单据的；</w:t>
            </w:r>
            <w:r>
              <w:rPr>
                <w:rFonts w:hint="eastAsia" w:eastAsia="仿宋_GB2312" w:cs="仿宋_GB2312"/>
                <w:snapToGrid w:val="0"/>
                <w:color w:val="000000"/>
                <w:sz w:val="18"/>
                <w:szCs w:val="18"/>
                <w:highlight w:val="none"/>
                <w:lang w:eastAsia="zh-CN"/>
              </w:rPr>
              <w:t>（机关纪委）</w:t>
            </w:r>
          </w:p>
          <w:p w14:paraId="0BE5424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6.在行政处罚过程中发生腐败行为的或使用、损毁扣押的财物，对当事人造成损失的；</w:t>
            </w:r>
            <w:r>
              <w:rPr>
                <w:rFonts w:hint="eastAsia" w:eastAsia="仿宋_GB2312" w:cs="仿宋_GB2312"/>
                <w:snapToGrid w:val="0"/>
                <w:color w:val="000000"/>
                <w:sz w:val="18"/>
                <w:szCs w:val="18"/>
                <w:highlight w:val="none"/>
                <w:lang w:eastAsia="zh-CN"/>
              </w:rPr>
              <w:t>（机关纪委）</w:t>
            </w:r>
          </w:p>
          <w:p w14:paraId="19AF9B41">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snapToGrid w:val="0"/>
                <w:color w:val="000000"/>
                <w:sz w:val="18"/>
                <w:szCs w:val="18"/>
                <w:highlight w:val="none"/>
              </w:rPr>
              <w:t>7.其他违反法律法规、规章以及规范性文件规定的行为。</w:t>
            </w:r>
            <w:r>
              <w:rPr>
                <w:rFonts w:hint="eastAsia" w:eastAsia="仿宋_GB2312" w:cs="仿宋_GB2312"/>
                <w:snapToGrid w:val="0"/>
                <w:color w:val="000000"/>
                <w:sz w:val="18"/>
                <w:szCs w:val="18"/>
                <w:highlight w:val="none"/>
                <w:lang w:eastAsia="zh-CN"/>
              </w:rPr>
              <w:t>（机关纪委）</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0F1B">
            <w:pPr>
              <w:keepNext w:val="0"/>
              <w:keepLines w:val="0"/>
              <w:pageBreakBefore w:val="0"/>
              <w:widowControl/>
              <w:kinsoku/>
              <w:wordWrap/>
              <w:overflowPunct/>
              <w:topLinePunct w:val="0"/>
              <w:autoSpaceDE/>
              <w:autoSpaceDN/>
              <w:bidi w:val="0"/>
              <w:adjustRightInd w:val="0"/>
              <w:snapToGrid w:val="0"/>
              <w:spacing w:line="280" w:lineRule="exact"/>
              <w:ind w:firstLine="400" w:firstLineChars="200"/>
              <w:rPr>
                <w:rFonts w:hint="default" w:eastAsia="仿宋_GB2312" w:cs="仿宋_GB2312"/>
                <w:snapToGrid w:val="0"/>
                <w:color w:val="000000"/>
                <w:sz w:val="18"/>
                <w:szCs w:val="18"/>
                <w:highlight w:val="none"/>
                <w:lang w:val="en"/>
              </w:rPr>
            </w:pPr>
            <w:r>
              <w:rPr>
                <w:rFonts w:hint="eastAsia" w:ascii="仿宋_GB2312" w:hAnsi="宋体" w:eastAsia="仿宋_GB2312" w:cs="仿宋_GB2312"/>
                <w:i w:val="0"/>
                <w:iCs w:val="0"/>
                <w:color w:val="000000"/>
                <w:kern w:val="0"/>
                <w:sz w:val="20"/>
                <w:szCs w:val="20"/>
                <w:highlight w:val="none"/>
                <w:u w:val="none"/>
                <w:lang w:val="en-US" w:eastAsia="zh-CN" w:bidi="ar"/>
              </w:rPr>
              <w:t xml:space="preserve"> </w:t>
            </w:r>
            <w:r>
              <w:rPr>
                <w:rFonts w:hint="eastAsia" w:eastAsia="仿宋_GB2312" w:cs="仿宋_GB2312"/>
                <w:snapToGrid w:val="0"/>
                <w:color w:val="000000"/>
                <w:sz w:val="18"/>
                <w:szCs w:val="18"/>
                <w:highlight w:val="none"/>
              </w:rPr>
              <w:t>1.【法律】《中华人民共和国行政处罚法》第七十六条</w:t>
            </w:r>
            <w:r>
              <w:rPr>
                <w:rFonts w:hint="eastAsia" w:eastAsia="仿宋_GB2312" w:cs="仿宋_GB2312"/>
                <w:snapToGrid w:val="0"/>
                <w:color w:val="000000"/>
                <w:sz w:val="18"/>
                <w:szCs w:val="18"/>
                <w:highlight w:val="none"/>
                <w:lang w:eastAsia="zh-CN"/>
              </w:rPr>
              <w:t xml:space="preserve">  </w:t>
            </w:r>
            <w:r>
              <w:rPr>
                <w:rFonts w:hint="eastAsia" w:eastAsia="仿宋_GB2312" w:cs="仿宋_GB2312"/>
                <w:snapToGrid w:val="0"/>
                <w:color w:val="000000"/>
                <w:sz w:val="18"/>
                <w:szCs w:val="18"/>
                <w:highlight w:val="none"/>
              </w:rPr>
              <w:t>行政机关实施行政处罚，有下列情形之一，由上级行政机关或者有关机关责令改正，对直接负责的主管人员和其他直接责任人员依法给予处分</w:t>
            </w:r>
            <w:r>
              <w:rPr>
                <w:rFonts w:hint="default" w:eastAsia="仿宋_GB2312" w:cs="仿宋_GB2312"/>
                <w:snapToGrid w:val="0"/>
                <w:color w:val="000000"/>
                <w:sz w:val="18"/>
                <w:szCs w:val="18"/>
                <w:highlight w:val="none"/>
                <w:lang w:val="en"/>
              </w:rPr>
              <w:t xml:space="preserve">  </w:t>
            </w:r>
          </w:p>
          <w:p w14:paraId="3A7037D4">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rPr>
            </w:pPr>
            <w:r>
              <w:rPr>
                <w:rFonts w:hint="eastAsia" w:eastAsia="仿宋_GB2312" w:cs="仿宋_GB2312"/>
                <w:snapToGrid w:val="0"/>
                <w:color w:val="000000"/>
                <w:sz w:val="18"/>
                <w:szCs w:val="18"/>
                <w:highlight w:val="none"/>
              </w:rPr>
              <w:t>（一）没有法定的行政处罚依据的；（二）擅自改变行政处罚种类、幅度的；（三）违反法定的行政处罚程序的；（四）违反本法第二十条关于委托处罚的规定的；（五）执法人员未取得执法证件的。</w:t>
            </w:r>
          </w:p>
          <w:p w14:paraId="7E5042DF">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rPr>
              <w:t>行政机关对符合立案标准的案件不及时立案的，依照前款规定予以处理。</w:t>
            </w:r>
            <w:r>
              <w:rPr>
                <w:rFonts w:hint="eastAsia" w:eastAsia="仿宋_GB2312" w:cs="仿宋_GB2312"/>
                <w:snapToGrid w:val="0"/>
                <w:color w:val="000000"/>
                <w:sz w:val="18"/>
                <w:szCs w:val="18"/>
                <w:highlight w:val="none"/>
                <w:lang w:eastAsia="zh-CN"/>
              </w:rPr>
              <w:t xml:space="preserve">  </w:t>
            </w:r>
          </w:p>
          <w:p w14:paraId="3FE0EC51">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default" w:eastAsia="仿宋_GB2312" w:cs="仿宋_GB2312"/>
                <w:snapToGrid w:val="0"/>
                <w:color w:val="000000"/>
                <w:sz w:val="18"/>
                <w:szCs w:val="18"/>
                <w:highlight w:val="none"/>
                <w:lang w:val="en-US" w:eastAsia="zh-CN"/>
              </w:rPr>
            </w:pPr>
            <w:r>
              <w:rPr>
                <w:rFonts w:hint="eastAsia" w:eastAsia="仿宋_GB2312" w:cs="仿宋_GB2312"/>
                <w:snapToGrid w:val="0"/>
                <w:color w:val="000000"/>
                <w:sz w:val="18"/>
                <w:szCs w:val="18"/>
                <w:highlight w:val="none"/>
                <w:lang w:val="en-US" w:eastAsia="zh-CN"/>
              </w:rPr>
              <w:t>2.同1。</w:t>
            </w:r>
          </w:p>
          <w:p w14:paraId="42886048">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eastAsia="仿宋_GB2312" w:cs="仿宋_GB2312"/>
                <w:snapToGrid w:val="0"/>
                <w:color w:val="000000"/>
                <w:sz w:val="18"/>
                <w:szCs w:val="18"/>
                <w:highlight w:val="none"/>
                <w:lang w:eastAsia="zh-CN"/>
              </w:rPr>
            </w:pPr>
            <w:r>
              <w:rPr>
                <w:rFonts w:hint="eastAsia" w:eastAsia="仿宋_GB2312" w:cs="仿宋_GB2312"/>
                <w:snapToGrid w:val="0"/>
                <w:color w:val="000000"/>
                <w:sz w:val="18"/>
                <w:szCs w:val="18"/>
                <w:highlight w:val="none"/>
                <w:lang w:val="en-US" w:eastAsia="zh-CN"/>
              </w:rPr>
              <w:t>3</w:t>
            </w:r>
            <w:r>
              <w:rPr>
                <w:rFonts w:hint="eastAsia" w:eastAsia="仿宋_GB2312" w:cs="仿宋_GB2312"/>
                <w:snapToGrid w:val="0"/>
                <w:color w:val="000000"/>
                <w:sz w:val="18"/>
                <w:szCs w:val="18"/>
                <w:highlight w:val="none"/>
              </w:rPr>
              <w:t>.【法律】《中华人民共和国行政处罚法》第八十三条</w:t>
            </w:r>
            <w:r>
              <w:rPr>
                <w:rFonts w:hint="eastAsia" w:eastAsia="仿宋_GB2312" w:cs="仿宋_GB2312"/>
                <w:snapToGrid w:val="0"/>
                <w:color w:val="000000"/>
                <w:sz w:val="18"/>
                <w:szCs w:val="18"/>
                <w:highlight w:val="none"/>
                <w:lang w:eastAsia="zh-CN"/>
              </w:rPr>
              <w:t xml:space="preserve">  </w:t>
            </w:r>
            <w:r>
              <w:rPr>
                <w:rFonts w:hint="eastAsia" w:ascii="仿宋_GB2312" w:hAnsi="仿宋_GB2312" w:eastAsia="仿宋_GB2312" w:cs="仿宋_GB2312"/>
                <w:snapToGrid w:val="0"/>
                <w:color w:val="000000"/>
                <w:sz w:val="18"/>
                <w:szCs w:val="18"/>
                <w:highlight w:val="none"/>
              </w:rPr>
              <w:t>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r>
              <w:rPr>
                <w:rFonts w:hint="eastAsia" w:eastAsia="仿宋_GB2312" w:cs="仿宋_GB2312"/>
                <w:snapToGrid w:val="0"/>
                <w:color w:val="000000"/>
                <w:sz w:val="18"/>
                <w:szCs w:val="18"/>
                <w:highlight w:val="none"/>
                <w:lang w:eastAsia="zh-CN"/>
              </w:rPr>
              <w:t xml:space="preserve">  </w:t>
            </w:r>
          </w:p>
          <w:p w14:paraId="49F00057">
            <w:pPr>
              <w:keepNext w:val="0"/>
              <w:keepLines w:val="0"/>
              <w:pageBreakBefore w:val="0"/>
              <w:widowControl/>
              <w:kinsoku/>
              <w:wordWrap/>
              <w:overflowPunct/>
              <w:topLinePunct w:val="0"/>
              <w:autoSpaceDE/>
              <w:autoSpaceDN/>
              <w:bidi w:val="0"/>
              <w:adjustRightInd w:val="0"/>
              <w:snapToGrid w:val="0"/>
              <w:spacing w:line="280" w:lineRule="exact"/>
              <w:ind w:firstLine="360" w:firstLineChars="200"/>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eastAsia="仿宋_GB2312" w:cs="仿宋_GB2312"/>
                <w:i w:val="0"/>
                <w:snapToGrid w:val="0"/>
                <w:color w:val="000000"/>
                <w:kern w:val="2"/>
                <w:sz w:val="18"/>
                <w:szCs w:val="18"/>
                <w:highlight w:val="none"/>
                <w:u w:val="none"/>
                <w:lang w:val="en-US" w:eastAsia="zh-CN" w:bidi="ar"/>
              </w:rPr>
              <w:t>4-1</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.【法律】《中华人民共和国公职人员政务处分法》第三十八条 有下列行为之一，情节较重的，予以警告、记过或者记大过；情节严重的，予以降级或者撤职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（一）违反规定向管理服务对象收取、摊派财物的；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（二）在管理服务活动中故意刁难、吃拿卡要的；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（三）在管理服务活动中态度恶劣粗暴，造成不良后果或者影响的；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（四）不按照规定公开工作信息，侵犯管理服务对象知情权，造成不良后果或者影响的；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（五）其他侵犯管理服务对象利益的行为，造成不良后果或者影响的。</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有前款第一项、第二项和第五项行为，情节特别严重的，予以开除。</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4-2</w:t>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.【法律】《中华人民共和国公职人员政务处分法》第三十九条 有下列行为之一，造成不良后果或者影响的，予以警告、记过或者记大过；情节较重的，予以降级或者撤职；情节严重的，予以开除 </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ascii="Times New Roman" w:hAnsi="Times New Roman" w:eastAsia="仿宋_GB2312" w:cs="仿宋_GB2312"/>
                <w:i w:val="0"/>
                <w:snapToGrid w:val="0"/>
                <w:color w:val="000000"/>
                <w:kern w:val="2"/>
                <w:sz w:val="18"/>
                <w:szCs w:val="18"/>
                <w:highlight w:val="none"/>
                <w:u w:val="none"/>
                <w:lang w:val="en-US" w:eastAsia="zh-CN" w:bidi="ar"/>
              </w:rPr>
              <w:t xml:space="preserve"> </w:t>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一）滥用职权，危害国家利益、社会公共利益或者侵害公民、法人、其他组织合法权益的；（二）不履行或者不正确履行职责，玩忽职守，贻误工作的；（三）工作中有形式主义、官僚主义行为的；（四）工作中有弄虚作假，误导、欺骗行为的；（五）泄露国家秘密、工作秘密，或者泄露因履行职责掌握的商业秘密、个人隐私的。</w:t>
            </w:r>
          </w:p>
          <w:p w14:paraId="15181CDB">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ascii="Times New Roman" w:hAnsi="Times New Roman"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5.【法律】《中华人民共和国行政处罚法》第七十七条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r>
              <w:rPr>
                <w:rFonts w:hint="eastAsia" w:ascii="Times New Roman" w:hAnsi="Times New Roman" w:eastAsia="仿宋_GB2312" w:cs="仿宋_GB2312"/>
                <w:i w:val="0"/>
                <w:snapToGrid w:val="0"/>
                <w:color w:val="000000"/>
                <w:kern w:val="2"/>
                <w:sz w:val="18"/>
                <w:szCs w:val="18"/>
                <w:highlight w:val="none"/>
                <w:u w:val="none"/>
                <w:lang w:val="en-US" w:eastAsia="zh-CN" w:bidi="ar"/>
              </w:rPr>
              <w:br w:type="textWrapping"/>
            </w:r>
            <w:r>
              <w:rPr>
                <w:rFonts w:hint="eastAsia" w:eastAsia="仿宋_GB2312" w:cs="仿宋_GB2312"/>
                <w:i w:val="0"/>
                <w:snapToGrid w:val="0"/>
                <w:color w:val="000000"/>
                <w:kern w:val="2"/>
                <w:sz w:val="18"/>
                <w:szCs w:val="18"/>
                <w:highlight w:val="none"/>
                <w:u w:val="none"/>
                <w:lang w:val="en-US" w:eastAsia="zh-CN" w:bidi="ar"/>
              </w:rPr>
              <w:t xml:space="preserve">    </w:t>
            </w: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-1</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 执法人员利用职务上的便利，索取或者收受他人财物、将收缴罚款据为己有，构成犯罪的，依法追究刑事责任；情节轻微不构成犯罪的，依法给予处分。</w:t>
            </w:r>
          </w:p>
          <w:p w14:paraId="23B5E92C">
            <w:pPr>
              <w:keepNext w:val="0"/>
              <w:keepLines w:val="0"/>
              <w:pageBreakBefore w:val="0"/>
              <w:widowControl/>
              <w:suppressLineNumbers w:val="0"/>
              <w:kinsoku/>
              <w:wordWrap/>
              <w:overflowPunct/>
              <w:topLinePunct w:val="0"/>
              <w:autoSpaceDE/>
              <w:autoSpaceDN/>
              <w:bidi w:val="0"/>
              <w:spacing w:line="280" w:lineRule="exact"/>
              <w:ind w:firstLine="360" w:firstLineChars="200"/>
              <w:jc w:val="left"/>
              <w:rPr>
                <w:rFonts w:hint="eastAsia" w:eastAsia="仿宋_GB2312" w:cs="仿宋_GB2312"/>
                <w:i w:val="0"/>
                <w:snapToGrid w:val="0"/>
                <w:color w:val="000000"/>
                <w:kern w:val="2"/>
                <w:sz w:val="18"/>
                <w:szCs w:val="18"/>
                <w:highlight w:val="none"/>
                <w:u w:val="none"/>
                <w:lang w:val="en-US" w:eastAsia="zh-CN" w:bidi="ar"/>
              </w:rPr>
            </w:pPr>
            <w:r>
              <w:rPr>
                <w:rFonts w:hint="eastAsia" w:ascii="Times New Roman" w:hAnsi="Times New Roman" w:eastAsia="仿宋_GB2312" w:cs="仿宋_GB2312"/>
                <w:i w:val="0"/>
                <w:snapToGrid w:val="0"/>
                <w:color w:val="000000"/>
                <w:kern w:val="2"/>
                <w:sz w:val="18"/>
                <w:szCs w:val="18"/>
                <w:highlight w:val="none"/>
                <w:u w:val="none"/>
                <w:lang w:val="en-US" w:eastAsia="zh-CN" w:bidi="ar"/>
              </w:rPr>
              <w:t>6-</w:t>
            </w:r>
            <w:r>
              <w:rPr>
                <w:rFonts w:hint="eastAsia" w:eastAsia="仿宋_GB2312" w:cs="仿宋_GB2312"/>
                <w:i w:val="0"/>
                <w:snapToGrid w:val="0"/>
                <w:color w:val="000000"/>
                <w:kern w:val="2"/>
                <w:sz w:val="18"/>
                <w:szCs w:val="18"/>
                <w:highlight w:val="none"/>
                <w:u w:val="none"/>
                <w:lang w:val="en-US" w:eastAsia="zh-CN" w:bidi="ar"/>
              </w:rPr>
              <w:t>2</w:t>
            </w:r>
            <w:r>
              <w:rPr>
                <w:rFonts w:hint="eastAsia" w:ascii="Times New Roman" w:hAnsi="Times New Roman" w:eastAsia="仿宋_GB2312" w:cs="仿宋_GB2312"/>
                <w:i w:val="0"/>
                <w:snapToGrid w:val="0"/>
                <w:color w:val="000000"/>
                <w:kern w:val="2"/>
                <w:sz w:val="18"/>
                <w:szCs w:val="18"/>
                <w:highlight w:val="none"/>
                <w:u w:val="none"/>
                <w:lang w:val="en-US" w:eastAsia="zh-CN" w:bidi="ar"/>
              </w:rPr>
              <w:t>.【法律】《中华人民共和国行政处罚法》第八十条　行政机关使用或者损毁查封、扣押的财物，对当事人造成损失的，应当依法予以赔偿，对直接负责的主管人员和其他直接责任人员依法给予处分</w:t>
            </w:r>
            <w:r>
              <w:rPr>
                <w:rFonts w:hint="eastAsia" w:eastAsia="仿宋_GB2312" w:cs="仿宋_GB2312"/>
                <w:i w:val="0"/>
                <w:snapToGrid w:val="0"/>
                <w:color w:val="000000"/>
                <w:kern w:val="2"/>
                <w:sz w:val="18"/>
                <w:szCs w:val="18"/>
                <w:highlight w:val="none"/>
                <w:u w:val="none"/>
                <w:lang w:val="en-US" w:eastAsia="zh-CN" w:bidi="ar"/>
              </w:rPr>
              <w:t>。</w:t>
            </w:r>
          </w:p>
          <w:p w14:paraId="68FFA26A">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eastAsia="仿宋_GB2312" w:cs="仿宋_GB2312"/>
                <w:i w:val="0"/>
                <w:snapToGrid w:val="0"/>
                <w:color w:val="000000"/>
                <w:kern w:val="2"/>
                <w:sz w:val="18"/>
                <w:szCs w:val="18"/>
                <w:highlight w:val="none"/>
                <w:u w:val="none"/>
                <w:lang w:val="en-US" w:eastAsia="zh-CN" w:bidi="ar"/>
              </w:rPr>
              <w:t>6-3</w:t>
            </w:r>
            <w:r>
              <w:rPr>
                <w:rFonts w:hint="default" w:eastAsia="仿宋_GB2312" w:cs="仿宋_GB2312"/>
                <w:i w:val="0"/>
                <w:snapToGrid w:val="0"/>
                <w:color w:val="000000"/>
                <w:kern w:val="2"/>
                <w:sz w:val="18"/>
                <w:szCs w:val="18"/>
                <w:highlight w:val="none"/>
                <w:u w:val="none"/>
                <w:lang w:val="en" w:eastAsia="zh-CN" w:bidi="ar"/>
              </w:rPr>
              <w:t>.</w:t>
            </w:r>
            <w:r>
              <w:rPr>
                <w:rFonts w:hint="eastAsia" w:eastAsia="仿宋_GB2312" w:cs="仿宋_GB2312"/>
                <w:i w:val="0"/>
                <w:snapToGrid w:val="0"/>
                <w:color w:val="000000"/>
                <w:kern w:val="2"/>
                <w:sz w:val="18"/>
                <w:szCs w:val="18"/>
                <w:highlight w:val="none"/>
                <w:u w:val="none"/>
                <w:lang w:val="en" w:eastAsia="zh-CN" w:bidi="ar"/>
              </w:rPr>
              <w:t>同</w:t>
            </w:r>
            <w:r>
              <w:rPr>
                <w:rFonts w:hint="eastAsia" w:eastAsia="仿宋_GB2312" w:cs="仿宋_GB2312"/>
                <w:i w:val="0"/>
                <w:snapToGrid w:val="0"/>
                <w:color w:val="000000"/>
                <w:kern w:val="2"/>
                <w:sz w:val="18"/>
                <w:szCs w:val="18"/>
                <w:highlight w:val="none"/>
                <w:u w:val="none"/>
                <w:lang w:val="en-US" w:eastAsia="zh-CN" w:bidi="ar"/>
              </w:rPr>
              <w:t>4。</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95B1">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Times New Roman" w:hAnsi="Times New Roman" w:eastAsia="仿宋_GB2312" w:cs="仿宋_GB2312"/>
                <w:snapToGrid w:val="0"/>
                <w:color w:val="000000"/>
                <w:sz w:val="18"/>
                <w:szCs w:val="18"/>
                <w:highlight w:val="none"/>
                <w:lang w:val="en-US" w:eastAsia="zh-CN"/>
              </w:rPr>
              <w:t>法律法规规章规定的免责情形</w:t>
            </w:r>
            <w:r>
              <w:rPr>
                <w:rFonts w:hint="eastAsia" w:eastAsia="仿宋_GB2312" w:cs="仿宋_GB2312"/>
                <w:snapToGrid w:val="0"/>
                <w:color w:val="000000"/>
                <w:sz w:val="18"/>
                <w:szCs w:val="18"/>
                <w:highlight w:val="none"/>
              </w:rPr>
              <w:t>以及市委、政府</w:t>
            </w:r>
            <w:r>
              <w:rPr>
                <w:rFonts w:hint="eastAsia" w:eastAsia="仿宋_GB2312" w:cs="仿宋_GB2312"/>
                <w:snapToGrid w:val="0"/>
                <w:color w:val="000000"/>
                <w:sz w:val="18"/>
                <w:szCs w:val="18"/>
                <w:highlight w:val="none"/>
                <w:lang w:eastAsia="zh-CN"/>
              </w:rPr>
              <w:t>、县委、县政府</w:t>
            </w:r>
            <w:r>
              <w:rPr>
                <w:rFonts w:hint="eastAsia" w:eastAsia="仿宋_GB2312" w:cs="仿宋_GB2312"/>
                <w:snapToGrid w:val="0"/>
                <w:color w:val="000000"/>
                <w:sz w:val="18"/>
                <w:szCs w:val="18"/>
                <w:highlight w:val="none"/>
              </w:rPr>
              <w:t>有关文件中明确的免情形</w:t>
            </w:r>
            <w:r>
              <w:rPr>
                <w:rFonts w:hint="eastAsia" w:ascii="Times New Roman" w:hAnsi="Times New Roman" w:eastAsia="仿宋_GB2312" w:cs="仿宋_GB2312"/>
                <w:snapToGrid w:val="0"/>
                <w:color w:val="000000"/>
                <w:sz w:val="18"/>
                <w:szCs w:val="18"/>
                <w:highlight w:val="none"/>
                <w:lang w:val="en-US" w:eastAsia="zh-CN"/>
              </w:rPr>
              <w:t>。</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top"/>
          </w:tcPr>
          <w:p w14:paraId="4F814A9F">
            <w:pPr>
              <w:jc w:val="both"/>
              <w:rPr>
                <w:rFonts w:hint="eastAsia" w:ascii="仿宋_GB2312" w:hAnsi="宋体" w:eastAsia="仿宋_GB2312" w:cs="仿宋_GB2312"/>
                <w:i w:val="0"/>
                <w:iCs w:val="0"/>
                <w:color w:val="000000"/>
                <w:sz w:val="20"/>
                <w:szCs w:val="20"/>
                <w:highlight w:val="none"/>
                <w:u w:val="none"/>
              </w:rPr>
            </w:pPr>
          </w:p>
        </w:tc>
      </w:tr>
      <w:tr w14:paraId="14C61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11FA3FE">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1</w:t>
            </w:r>
            <w:r>
              <w:rPr>
                <w:rFonts w:hint="eastAsia" w:ascii="Times New Roman" w:hAnsi="Times New Roman" w:eastAsia="宋体" w:cs="Times New Roman"/>
                <w:i w:val="0"/>
                <w:iCs w:val="0"/>
                <w:color w:val="auto"/>
                <w:kern w:val="0"/>
                <w:sz w:val="20"/>
                <w:szCs w:val="20"/>
                <w:highlight w:val="none"/>
                <w:u w:val="none"/>
                <w:lang w:val="en-US" w:eastAsia="zh-CN" w:bidi="ar"/>
              </w:rPr>
              <w:t>5</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36B1AA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行政许可</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C25D54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对发卡企业开展单用途商业预付卡未按规定备案行为的处罚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4045F26">
            <w:pPr>
              <w:jc w:val="both"/>
              <w:rPr>
                <w:rFonts w:hint="eastAsia" w:ascii="黑体" w:hAnsi="宋体" w:eastAsia="黑体" w:cs="黑体"/>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5EF8B4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融水县科技工贸和信息化局</w:t>
            </w:r>
          </w:p>
        </w:tc>
        <w:tc>
          <w:tcPr>
            <w:tcW w:w="916" w:type="dxa"/>
            <w:vMerge w:val="restart"/>
            <w:tcBorders>
              <w:top w:val="nil"/>
              <w:left w:val="nil"/>
              <w:bottom w:val="nil"/>
              <w:right w:val="nil"/>
            </w:tcBorders>
            <w:shd w:val="clear" w:color="auto" w:fill="auto"/>
            <w:vAlign w:val="top"/>
          </w:tcPr>
          <w:p w14:paraId="63C7A080">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82DA0B3">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【部门规章】《单用途商业预付卡管理办法（试行）》（2012年商务部令2012年第9号,2016年商务部令2016年第2号修正）</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第七条 发卡企业应在开展单用途卡业务之日起31日内按照下列规定办理备案：（一）集团发卡企业和品牌发卡企业向其工商登记注册地省、自治区、直辖市人民政府商务主管部门备案；（二）规模发卡企业向其工商登记注册地设区的市人民政府商务主管部门备案；（三）其他发卡企业向其工商登记注册地县（市、区）人民政府商务主管部门备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第三十六条 发卡企业违反本办法第七条规定的，由违法行为发生地县级以上地方人民政府商务主管部门责令限期改正；逾期仍不改正的，处以1万元以上3万元以下罚款。</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7630B41">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BB30A13">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AB455C7">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4CA5A77">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1EB9645">
            <w:pPr>
              <w:jc w:val="both"/>
              <w:rPr>
                <w:rFonts w:hint="eastAsia" w:ascii="黑体" w:hAnsi="宋体" w:eastAsia="黑体" w:cs="黑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52F98E08">
            <w:pPr>
              <w:jc w:val="both"/>
              <w:rPr>
                <w:rFonts w:hint="eastAsia" w:ascii="宋体" w:hAnsi="宋体" w:eastAsia="宋体" w:cs="宋体"/>
                <w:i w:val="0"/>
                <w:iCs w:val="0"/>
                <w:color w:val="000000"/>
                <w:sz w:val="22"/>
                <w:szCs w:val="22"/>
                <w:u w:val="none"/>
              </w:rPr>
            </w:pPr>
          </w:p>
        </w:tc>
      </w:tr>
      <w:tr w14:paraId="2D28E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7831EE">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F04FB22">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889C12">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927847F">
            <w:pPr>
              <w:jc w:val="both"/>
              <w:rPr>
                <w:rFonts w:hint="eastAsia" w:ascii="黑体" w:hAnsi="宋体" w:eastAsia="黑体" w:cs="黑体"/>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4BB8FCE">
            <w:pPr>
              <w:jc w:val="both"/>
              <w:rPr>
                <w:rFonts w:hint="eastAsia" w:ascii="宋体" w:hAnsi="宋体" w:eastAsia="宋体" w:cs="宋体"/>
                <w:i w:val="0"/>
                <w:iCs w:val="0"/>
                <w:color w:val="000000"/>
                <w:sz w:val="20"/>
                <w:szCs w:val="20"/>
                <w:u w:val="none"/>
              </w:rPr>
            </w:pPr>
          </w:p>
        </w:tc>
        <w:tc>
          <w:tcPr>
            <w:tcW w:w="916" w:type="dxa"/>
            <w:vMerge w:val="continue"/>
            <w:tcBorders>
              <w:top w:val="nil"/>
              <w:left w:val="nil"/>
              <w:bottom w:val="nil"/>
              <w:right w:val="nil"/>
            </w:tcBorders>
            <w:shd w:val="clear" w:color="auto" w:fill="auto"/>
            <w:vAlign w:val="top"/>
          </w:tcPr>
          <w:p w14:paraId="17A5E0AF">
            <w:pPr>
              <w:jc w:val="both"/>
              <w:rPr>
                <w:rFonts w:hint="eastAsia" w:ascii="宋体" w:hAnsi="宋体" w:eastAsia="宋体" w:cs="宋体"/>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0BC915">
            <w:pPr>
              <w:jc w:val="both"/>
              <w:rPr>
                <w:rFonts w:hint="eastAsia" w:ascii="宋体" w:hAnsi="宋体" w:eastAsia="宋体" w:cs="宋体"/>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4D0EF9">
            <w:pPr>
              <w:jc w:val="both"/>
              <w:rPr>
                <w:rFonts w:hint="default" w:ascii="Times New Roman" w:hAnsi="Times New Roman" w:eastAsia="宋体" w:cs="Times New Roman"/>
                <w:i w:val="0"/>
                <w:iCs w:val="0"/>
                <w:color w:val="000000"/>
                <w:sz w:val="20"/>
                <w:szCs w:val="20"/>
                <w:u w:val="none"/>
              </w:rPr>
            </w:pPr>
          </w:p>
        </w:tc>
        <w:tc>
          <w:tcPr>
            <w:tcW w:w="495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E7EE6B">
            <w:pPr>
              <w:jc w:val="both"/>
              <w:rPr>
                <w:rFonts w:hint="eastAsia" w:ascii="宋体" w:hAnsi="宋体" w:eastAsia="宋体" w:cs="宋体"/>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3C321F">
            <w:pPr>
              <w:jc w:val="both"/>
              <w:rPr>
                <w:rFonts w:hint="default" w:ascii="Times New Roman" w:hAnsi="Times New Roman" w:eastAsia="宋体" w:cs="Times New Roman"/>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E31E10">
            <w:pPr>
              <w:jc w:val="both"/>
              <w:rPr>
                <w:rFonts w:hint="default" w:ascii="Times New Roman" w:hAnsi="Times New Roman" w:eastAsia="宋体" w:cs="Times New Roman"/>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77E716">
            <w:pPr>
              <w:jc w:val="both"/>
              <w:rPr>
                <w:rFonts w:hint="eastAsia" w:ascii="黑体" w:hAnsi="宋体" w:eastAsia="黑体" w:cs="黑体"/>
                <w:i w:val="0"/>
                <w:iCs w:val="0"/>
                <w:color w:val="000000"/>
                <w:sz w:val="20"/>
                <w:szCs w:val="20"/>
                <w:u w:val="none"/>
              </w:rPr>
            </w:pPr>
          </w:p>
        </w:tc>
        <w:tc>
          <w:tcPr>
            <w:tcW w:w="585" w:type="dxa"/>
            <w:tcBorders>
              <w:top w:val="nil"/>
              <w:left w:val="nil"/>
              <w:bottom w:val="nil"/>
              <w:right w:val="nil"/>
            </w:tcBorders>
            <w:shd w:val="clear" w:color="auto" w:fill="auto"/>
            <w:noWrap/>
            <w:vAlign w:val="top"/>
          </w:tcPr>
          <w:p w14:paraId="2BD22DE5">
            <w:pPr>
              <w:jc w:val="both"/>
              <w:rPr>
                <w:rFonts w:hint="eastAsia" w:ascii="宋体" w:hAnsi="宋体" w:eastAsia="宋体" w:cs="宋体"/>
                <w:i w:val="0"/>
                <w:iCs w:val="0"/>
                <w:color w:val="000000"/>
                <w:sz w:val="22"/>
                <w:szCs w:val="22"/>
                <w:u w:val="none"/>
              </w:rPr>
            </w:pPr>
          </w:p>
        </w:tc>
      </w:tr>
      <w:tr w14:paraId="633E6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1555B4A">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Times New Roman" w:hAnsi="Times New Roman" w:eastAsia="宋体" w:cs="Times New Roman"/>
                <w:i w:val="0"/>
                <w:iCs w:val="0"/>
                <w:color w:val="000000"/>
                <w:kern w:val="0"/>
                <w:sz w:val="20"/>
                <w:szCs w:val="20"/>
                <w:u w:val="none"/>
                <w:lang w:val="en-US" w:eastAsia="zh-CN" w:bidi="ar"/>
              </w:rPr>
              <w:t>6</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010815F">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AECF1C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对发卡企业或售卡企业违反单用途商业预付卡发行与服务相关规定行为的处罚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DE39D0B">
            <w:pPr>
              <w:jc w:val="both"/>
              <w:rPr>
                <w:rFonts w:hint="default" w:ascii="Times New Roman" w:hAnsi="Times New Roman" w:eastAsia="宋体" w:cs="Times New Roman"/>
                <w:i w:val="0"/>
                <w:iCs w:val="0"/>
                <w:color w:val="000000"/>
                <w:sz w:val="20"/>
                <w:szCs w:val="20"/>
                <w:u w:val="none"/>
              </w:rPr>
            </w:pPr>
          </w:p>
        </w:tc>
        <w:tc>
          <w:tcPr>
            <w:tcW w:w="416" w:type="dxa"/>
            <w:vMerge w:val="restart"/>
            <w:tcBorders>
              <w:top w:val="single" w:color="000000" w:sz="4" w:space="0"/>
              <w:left w:val="single" w:color="000000" w:sz="4" w:space="0"/>
              <w:bottom w:val="nil"/>
              <w:right w:val="single" w:color="000000" w:sz="4" w:space="0"/>
            </w:tcBorders>
            <w:shd w:val="clear" w:color="auto" w:fill="auto"/>
            <w:vAlign w:val="top"/>
          </w:tcPr>
          <w:p w14:paraId="3A93887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vMerge w:val="restart"/>
            <w:tcBorders>
              <w:top w:val="single" w:color="000000" w:sz="4" w:space="0"/>
              <w:left w:val="single" w:color="000000" w:sz="4" w:space="0"/>
              <w:bottom w:val="nil"/>
              <w:right w:val="nil"/>
            </w:tcBorders>
            <w:shd w:val="clear" w:color="auto" w:fill="auto"/>
            <w:vAlign w:val="top"/>
          </w:tcPr>
          <w:p w14:paraId="4EAFE15C">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BD7A8B2">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【部门规章】《单用途商业预付卡管理办法（试行）》（2012年商务部令2012年第9号,2016年商务部令2016年第2号修正）</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第十四条 发卡企业或售卡企业应公示或向购卡人提供单用途卡章程，并应购卡人要求签订购卡协议。发卡企业或售卡企业应履行提示告知义务，确保购卡人知晓并认可单用途卡章程或协议内容。单用途卡章程和购卡协议应包括以下内容：（一）单用途卡的名称、种类和功能；（二）单用途卡购买、充值、使用、退卡方式，记名卡还应包括挂失、转让方式；（三）收费项目和标准； （四）当事人的权利、义务；（五）纠纷处理原则和违约责任；（六）相关法律法规规章和规范性文件规定的其他事项。 第十五条 个人或单位购买（含充值，下同）记名卡的，或一次性购买1万元（含）以上不记名卡的，发卡企业或售卡企业应要求购卡人及其代理人出示有效身份证件，并留存购卡人及其代理人姓名或单位名称、有效身份证件号码和联系方式。个人有效身份证件包括居民身份证、户口簿、军人身份证件、武警身份证件、港澳台居民通行证、护照等。单位有效身份证件包括营业执照、事业单位法人证书、税务登记证、组织机构代码证等。</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第十六条 发卡企业和售卡企业应保存购卡人的登记信息5年以上。发卡企业和售卡企业应对购卡人及其代理人的身份信息和交易信息保密，除法律另有规定外，不得向第三方提供。</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第十七条 单位一次性购买单用途卡金额达5000元（含）以上或个人一次性购卡金额达5万元（含）以上的，以及单位或个人采用非现场方式购卡的，应通过银行转账，不得使用现金，发卡企业或售卡企业应对转出、转入账户名称、账号、金额等进行逐笔登记。发卡企业和售卡企业应严格按照国家有关规定开具发票。</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第十八条 单张记名卡限额不得超过5000元，单张不记名卡限额不得超过1000元。单张单用途卡充值后资金余额不得超过前款规定的限额。 第十九条 记名卡不得设有效期；不记名卡有效期不得少于3年。发卡企业或售卡企业对超过有效期尚有资金余额的不记名卡应提供激活、换卡等配套服务。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 第二十条 使用单用途卡购买商品后需要退货的，发卡企业或受理企业应将资金退至原卡。原单用途卡不存在或退货后卡内资金余额超过单用途卡限额的，应退回至持卡人在同一发卡企业的同类单用途卡内。退货金额不足100元（含）的，可支付现金。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第二十一条 发卡企业或售卡企业应依单用途卡章程或协议约定，提供退卡服务。办理退卡时，发卡企业或售卡企业应要求退卡人出示有效身份证件，并留存退卡人姓名、有效身份证件号码、退卡卡号、金额等信息。发卡企业或售卡企业应将资金退至与退卡人同名的银行账户内，并留存银行账户信息。卡内资金余额不足100元（含）的，可支付现金。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第二十二条 发卡企业终止兑付未到期单用途卡的，发卡企业和售卡企业应向持卡人提供免费退卡服务，并在终止兑付日前至少30日在备案机关指定的媒体上进行公示。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第三十七条第一款 发卡企业或售卡企业违反本办法第十四条至第二十二条规定的，由违法行为发生地县级以上地方人民政府商务主管部门责令限期改正；逾期仍不改正的，处以1万元以上3万元以下罚款。</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D5907EA">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BD074FE">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3F26929">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B666433">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CA08CB6">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63745069">
            <w:pPr>
              <w:jc w:val="both"/>
              <w:rPr>
                <w:rFonts w:hint="eastAsia" w:ascii="宋体" w:hAnsi="宋体" w:eastAsia="宋体" w:cs="宋体"/>
                <w:i w:val="0"/>
                <w:iCs w:val="0"/>
                <w:color w:val="000000"/>
                <w:sz w:val="22"/>
                <w:szCs w:val="22"/>
                <w:u w:val="none"/>
              </w:rPr>
            </w:pPr>
          </w:p>
        </w:tc>
      </w:tr>
      <w:tr w14:paraId="65723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0C75CE">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51D5B6">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6FC040">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4F7819">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nil"/>
              <w:right w:val="single" w:color="000000" w:sz="4" w:space="0"/>
            </w:tcBorders>
            <w:shd w:val="clear" w:color="auto" w:fill="auto"/>
            <w:vAlign w:val="top"/>
          </w:tcPr>
          <w:p w14:paraId="1B66577C">
            <w:pPr>
              <w:jc w:val="both"/>
              <w:rPr>
                <w:rFonts w:hint="eastAsia" w:ascii="宋体" w:hAnsi="宋体" w:eastAsia="宋体" w:cs="宋体"/>
                <w:i w:val="0"/>
                <w:iCs w:val="0"/>
                <w:color w:val="000000"/>
                <w:sz w:val="20"/>
                <w:szCs w:val="20"/>
                <w:u w:val="none"/>
              </w:rPr>
            </w:pPr>
          </w:p>
        </w:tc>
        <w:tc>
          <w:tcPr>
            <w:tcW w:w="916" w:type="dxa"/>
            <w:vMerge w:val="continue"/>
            <w:tcBorders>
              <w:top w:val="single" w:color="000000" w:sz="4" w:space="0"/>
              <w:left w:val="single" w:color="000000" w:sz="4" w:space="0"/>
              <w:bottom w:val="nil"/>
              <w:right w:val="nil"/>
            </w:tcBorders>
            <w:shd w:val="clear" w:color="auto" w:fill="auto"/>
            <w:vAlign w:val="top"/>
          </w:tcPr>
          <w:p w14:paraId="71A9C6FA">
            <w:pPr>
              <w:jc w:val="both"/>
              <w:rPr>
                <w:rFonts w:hint="eastAsia" w:ascii="宋体" w:hAnsi="宋体" w:eastAsia="宋体" w:cs="宋体"/>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732A17">
            <w:pPr>
              <w:jc w:val="both"/>
              <w:rPr>
                <w:rFonts w:hint="eastAsia" w:ascii="宋体" w:hAnsi="宋体" w:eastAsia="宋体" w:cs="宋体"/>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2B3E55">
            <w:pPr>
              <w:jc w:val="both"/>
              <w:rPr>
                <w:rFonts w:hint="default" w:ascii="Times New Roman" w:hAnsi="Times New Roman" w:eastAsia="宋体" w:cs="Times New Roman"/>
                <w:i w:val="0"/>
                <w:iCs w:val="0"/>
                <w:color w:val="000000"/>
                <w:sz w:val="20"/>
                <w:szCs w:val="20"/>
                <w:u w:val="none"/>
              </w:rPr>
            </w:pPr>
          </w:p>
        </w:tc>
        <w:tc>
          <w:tcPr>
            <w:tcW w:w="495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0C0873">
            <w:pPr>
              <w:jc w:val="both"/>
              <w:rPr>
                <w:rFonts w:hint="eastAsia" w:ascii="宋体" w:hAnsi="宋体" w:eastAsia="宋体" w:cs="宋体"/>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24AAB4">
            <w:pPr>
              <w:jc w:val="both"/>
              <w:rPr>
                <w:rFonts w:hint="default" w:ascii="Times New Roman" w:hAnsi="Times New Roman" w:eastAsia="宋体" w:cs="Times New Roman"/>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75858C">
            <w:pPr>
              <w:jc w:val="both"/>
              <w:rPr>
                <w:rFonts w:hint="default" w:ascii="Times New Roman" w:hAnsi="Times New Roman" w:eastAsia="宋体" w:cs="Times New Roman"/>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11B8E7">
            <w:pPr>
              <w:jc w:val="both"/>
              <w:rPr>
                <w:rFonts w:hint="default" w:ascii="Times New Roman" w:hAnsi="Times New Roman" w:eastAsia="宋体" w:cs="Times New Roman"/>
                <w:i w:val="0"/>
                <w:iCs w:val="0"/>
                <w:color w:val="000000"/>
                <w:sz w:val="20"/>
                <w:szCs w:val="20"/>
                <w:u w:val="none"/>
              </w:rPr>
            </w:pPr>
          </w:p>
        </w:tc>
        <w:tc>
          <w:tcPr>
            <w:tcW w:w="585" w:type="dxa"/>
            <w:tcBorders>
              <w:top w:val="nil"/>
              <w:left w:val="nil"/>
              <w:bottom w:val="nil"/>
              <w:right w:val="nil"/>
            </w:tcBorders>
            <w:shd w:val="clear" w:color="auto" w:fill="auto"/>
            <w:noWrap/>
            <w:vAlign w:val="top"/>
          </w:tcPr>
          <w:p w14:paraId="3E3B3B43">
            <w:pPr>
              <w:jc w:val="both"/>
              <w:rPr>
                <w:rFonts w:hint="eastAsia" w:ascii="宋体" w:hAnsi="宋体" w:eastAsia="宋体" w:cs="宋体"/>
                <w:i w:val="0"/>
                <w:iCs w:val="0"/>
                <w:color w:val="000000"/>
                <w:sz w:val="22"/>
                <w:szCs w:val="22"/>
                <w:u w:val="none"/>
              </w:rPr>
            </w:pPr>
          </w:p>
        </w:tc>
      </w:tr>
      <w:tr w14:paraId="4C197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3CE51AF4">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Times New Roman" w:hAnsi="Times New Roman" w:eastAsia="宋体" w:cs="Times New Roman"/>
                <w:i w:val="0"/>
                <w:iCs w:val="0"/>
                <w:color w:val="000000"/>
                <w:kern w:val="0"/>
                <w:sz w:val="20"/>
                <w:szCs w:val="20"/>
                <w:u w:val="none"/>
                <w:lang w:val="en-US" w:eastAsia="zh-CN" w:bidi="ar"/>
              </w:rPr>
              <w:t>7</w:t>
            </w:r>
          </w:p>
        </w:tc>
        <w:tc>
          <w:tcPr>
            <w:tcW w:w="416" w:type="dxa"/>
            <w:tcBorders>
              <w:top w:val="single" w:color="000000" w:sz="4" w:space="0"/>
              <w:left w:val="single" w:color="000000" w:sz="4" w:space="0"/>
              <w:bottom w:val="nil"/>
              <w:right w:val="single" w:color="000000" w:sz="4" w:space="0"/>
            </w:tcBorders>
            <w:shd w:val="clear" w:color="auto" w:fill="auto"/>
            <w:vAlign w:val="top"/>
          </w:tcPr>
          <w:p w14:paraId="531418A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nil"/>
              <w:left w:val="nil"/>
              <w:bottom w:val="nil"/>
              <w:right w:val="nil"/>
            </w:tcBorders>
            <w:shd w:val="clear" w:color="auto" w:fill="auto"/>
            <w:vAlign w:val="top"/>
          </w:tcPr>
          <w:p w14:paraId="4871FADB">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对零售商存在违法促销行为的处罚</w:t>
            </w:r>
          </w:p>
        </w:tc>
        <w:tc>
          <w:tcPr>
            <w:tcW w:w="416" w:type="dxa"/>
            <w:tcBorders>
              <w:top w:val="single" w:color="000000" w:sz="4" w:space="0"/>
              <w:left w:val="single" w:color="000000" w:sz="4" w:space="0"/>
              <w:bottom w:val="nil"/>
              <w:right w:val="single" w:color="000000" w:sz="4" w:space="0"/>
            </w:tcBorders>
            <w:shd w:val="clear" w:color="auto" w:fill="auto"/>
            <w:vAlign w:val="top"/>
          </w:tcPr>
          <w:p w14:paraId="7E2F6282">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nil"/>
              <w:right w:val="single" w:color="000000" w:sz="4" w:space="0"/>
            </w:tcBorders>
            <w:shd w:val="clear" w:color="auto" w:fill="auto"/>
            <w:vAlign w:val="top"/>
          </w:tcPr>
          <w:p w14:paraId="26FB6A3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nil"/>
              <w:right w:val="nil"/>
            </w:tcBorders>
            <w:shd w:val="clear" w:color="auto" w:fill="auto"/>
            <w:vAlign w:val="top"/>
          </w:tcPr>
          <w:p w14:paraId="33BD5F84">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4223240A">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【部门规章】《零售商促销行为管理办法》（2006年商务部、国家发展和改革委员会、公安部、国家税务总局、国家工商行政管理总局2006年第18号令）</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第二十一条 各地商务、价格、税务、工商等部门依照法律法规及有关规定，在各自职责范围内对促销行为进行监督管理。对涉嫌犯罪的，由公安机关依法予以查处。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第二十二条 对违反本办法规定的行为任何单位和个人均可向上述单位举报，相关单位接到举报后，应当依法予以查处。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第二十三条 零售商或者供应商违反本办法规定的，法律法规有规定的，从其规定；没有规定的，责令改正；有违法所得的，可处违法所得三倍以下罚款，但最高不超过三万元；没有违法所得的，可处一万元以下罚款；并可向社会公告。</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第二十四条 县级以上商务、价格、税务、工商等部门发现零售商涉嫌骗取供应商货款的，应当将其涉嫌犯罪的线索及时移送当地公安机关。公安机关应及时开展调查工作，涉嫌犯罪的，依法立案侦查。</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044B2169">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576538C5">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53EF44B2">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29CA8095">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7E4BC863">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59D90AB5">
            <w:pPr>
              <w:jc w:val="both"/>
              <w:rPr>
                <w:rFonts w:hint="eastAsia" w:ascii="宋体" w:hAnsi="宋体" w:eastAsia="宋体" w:cs="宋体"/>
                <w:i w:val="0"/>
                <w:iCs w:val="0"/>
                <w:color w:val="000000"/>
                <w:sz w:val="22"/>
                <w:szCs w:val="22"/>
                <w:u w:val="none"/>
              </w:rPr>
            </w:pPr>
          </w:p>
        </w:tc>
      </w:tr>
      <w:tr w14:paraId="3BCD2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8A60477">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Times New Roman" w:hAnsi="Times New Roman" w:eastAsia="宋体" w:cs="Times New Roman"/>
                <w:i w:val="0"/>
                <w:iCs w:val="0"/>
                <w:color w:val="000000"/>
                <w:kern w:val="0"/>
                <w:sz w:val="20"/>
                <w:szCs w:val="20"/>
                <w:u w:val="none"/>
                <w:lang w:val="en-US" w:eastAsia="zh-CN" w:bidi="ar"/>
              </w:rPr>
              <w:t>8</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AD92DD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736589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对违反洗染业管理相关规定行为的处罚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8B6B82C">
            <w:pPr>
              <w:jc w:val="both"/>
              <w:rPr>
                <w:rFonts w:hint="default" w:ascii="Times New Roman" w:hAnsi="Times New Roman" w:eastAsia="宋体" w:cs="Times New Roman"/>
                <w:i w:val="0"/>
                <w:iCs w:val="0"/>
                <w:color w:val="000000"/>
                <w:sz w:val="20"/>
                <w:szCs w:val="20"/>
                <w:u w:val="none"/>
              </w:rPr>
            </w:pPr>
          </w:p>
        </w:tc>
        <w:tc>
          <w:tcPr>
            <w:tcW w:w="416" w:type="dxa"/>
            <w:vMerge w:val="restart"/>
            <w:tcBorders>
              <w:top w:val="single" w:color="000000" w:sz="4" w:space="0"/>
              <w:left w:val="single" w:color="000000" w:sz="4" w:space="0"/>
              <w:bottom w:val="nil"/>
              <w:right w:val="single" w:color="000000" w:sz="4" w:space="0"/>
            </w:tcBorders>
            <w:shd w:val="clear" w:color="auto" w:fill="auto"/>
            <w:vAlign w:val="top"/>
          </w:tcPr>
          <w:p w14:paraId="0A87A3F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vMerge w:val="restart"/>
            <w:tcBorders>
              <w:top w:val="single" w:color="000000" w:sz="4" w:space="0"/>
              <w:left w:val="single" w:color="000000" w:sz="4" w:space="0"/>
              <w:bottom w:val="single" w:color="000000" w:sz="4" w:space="0"/>
              <w:right w:val="nil"/>
            </w:tcBorders>
            <w:shd w:val="clear" w:color="auto" w:fill="auto"/>
            <w:vAlign w:val="top"/>
          </w:tcPr>
          <w:p w14:paraId="1F803B0D">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9A19382">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【部门规章】《洗染业管理办法》（2007年商务部、国家工商行政管理总局、国家环境保护总局令2007年第5号）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第三条　商务部对全国洗染行业进行指导、协调、监督和管理，地方各级商务主管部门负责本行政区域内洗染行业指导、协调、监督和管理工作。</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第二十二条　经营者违反本办法规定，法律法规有规定的，从其规定；没有规定的，由商务、工商、环保部门依据本办法第三条规定的职能责令改正，有违法所得的，可处违法所得3倍以下罚款，但最高不超过3万元；没有违法所得的，可处2万元以下罚款；并可予以公告。</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F36D6BA">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B0BF698">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3C71A9C">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14DC09C">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2A224BA">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68843A32">
            <w:pPr>
              <w:jc w:val="both"/>
              <w:rPr>
                <w:rFonts w:hint="eastAsia" w:ascii="宋体" w:hAnsi="宋体" w:eastAsia="宋体" w:cs="宋体"/>
                <w:i w:val="0"/>
                <w:iCs w:val="0"/>
                <w:color w:val="000000"/>
                <w:sz w:val="22"/>
                <w:szCs w:val="22"/>
                <w:u w:val="none"/>
              </w:rPr>
            </w:pPr>
          </w:p>
        </w:tc>
      </w:tr>
      <w:tr w14:paraId="22178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966616">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9D2A38">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A40881">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7CCE858">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nil"/>
              <w:right w:val="single" w:color="000000" w:sz="4" w:space="0"/>
            </w:tcBorders>
            <w:shd w:val="clear" w:color="auto" w:fill="auto"/>
            <w:vAlign w:val="top"/>
          </w:tcPr>
          <w:p w14:paraId="4EB66A9C">
            <w:pPr>
              <w:jc w:val="both"/>
              <w:rPr>
                <w:rFonts w:hint="eastAsia" w:ascii="宋体" w:hAnsi="宋体" w:eastAsia="宋体" w:cs="宋体"/>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nil"/>
            </w:tcBorders>
            <w:shd w:val="clear" w:color="auto" w:fill="auto"/>
            <w:vAlign w:val="top"/>
          </w:tcPr>
          <w:p w14:paraId="1B5D9149">
            <w:pPr>
              <w:jc w:val="both"/>
              <w:rPr>
                <w:rFonts w:hint="eastAsia" w:ascii="宋体" w:hAnsi="宋体" w:eastAsia="宋体" w:cs="宋体"/>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5938AF">
            <w:pPr>
              <w:jc w:val="both"/>
              <w:rPr>
                <w:rFonts w:hint="default" w:ascii="Times New Roman" w:hAnsi="Times New Roman" w:eastAsia="宋体" w:cs="Times New Roman"/>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3B2649">
            <w:pPr>
              <w:jc w:val="both"/>
              <w:rPr>
                <w:rFonts w:hint="default" w:ascii="Times New Roman" w:hAnsi="Times New Roman" w:eastAsia="宋体" w:cs="Times New Roman"/>
                <w:i w:val="0"/>
                <w:iCs w:val="0"/>
                <w:color w:val="000000"/>
                <w:sz w:val="20"/>
                <w:szCs w:val="20"/>
                <w:u w:val="none"/>
              </w:rPr>
            </w:pPr>
          </w:p>
        </w:tc>
        <w:tc>
          <w:tcPr>
            <w:tcW w:w="495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517AA1">
            <w:pPr>
              <w:jc w:val="both"/>
              <w:rPr>
                <w:rFonts w:hint="eastAsia" w:ascii="宋体" w:hAnsi="宋体" w:eastAsia="宋体" w:cs="宋体"/>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D38422">
            <w:pPr>
              <w:jc w:val="both"/>
              <w:rPr>
                <w:rFonts w:hint="default" w:ascii="Times New Roman" w:hAnsi="Times New Roman" w:eastAsia="宋体" w:cs="Times New Roman"/>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F1CD6F">
            <w:pPr>
              <w:jc w:val="both"/>
              <w:rPr>
                <w:rFonts w:hint="default" w:ascii="Times New Roman" w:hAnsi="Times New Roman" w:eastAsia="宋体" w:cs="Times New Roman"/>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98C20F">
            <w:pPr>
              <w:jc w:val="both"/>
              <w:rPr>
                <w:rFonts w:hint="default" w:ascii="Times New Roman" w:hAnsi="Times New Roman" w:eastAsia="宋体" w:cs="Times New Roman"/>
                <w:i w:val="0"/>
                <w:iCs w:val="0"/>
                <w:color w:val="000000"/>
                <w:sz w:val="20"/>
                <w:szCs w:val="20"/>
                <w:u w:val="none"/>
              </w:rPr>
            </w:pPr>
          </w:p>
        </w:tc>
        <w:tc>
          <w:tcPr>
            <w:tcW w:w="585" w:type="dxa"/>
            <w:tcBorders>
              <w:top w:val="nil"/>
              <w:left w:val="nil"/>
              <w:bottom w:val="nil"/>
              <w:right w:val="nil"/>
            </w:tcBorders>
            <w:shd w:val="clear" w:color="auto" w:fill="auto"/>
            <w:noWrap/>
            <w:vAlign w:val="top"/>
          </w:tcPr>
          <w:p w14:paraId="32418AC3">
            <w:pPr>
              <w:jc w:val="both"/>
              <w:rPr>
                <w:rFonts w:hint="eastAsia" w:ascii="宋体" w:hAnsi="宋体" w:eastAsia="宋体" w:cs="宋体"/>
                <w:i w:val="0"/>
                <w:iCs w:val="0"/>
                <w:color w:val="000000"/>
                <w:sz w:val="22"/>
                <w:szCs w:val="22"/>
                <w:u w:val="none"/>
              </w:rPr>
            </w:pPr>
          </w:p>
        </w:tc>
      </w:tr>
      <w:tr w14:paraId="4454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26AB16B">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Times New Roman" w:hAnsi="Times New Roman" w:eastAsia="宋体" w:cs="Times New Roman"/>
                <w:i w:val="0"/>
                <w:iCs w:val="0"/>
                <w:color w:val="000000"/>
                <w:kern w:val="0"/>
                <w:sz w:val="20"/>
                <w:szCs w:val="20"/>
                <w:u w:val="none"/>
                <w:lang w:val="en-US" w:eastAsia="zh-CN" w:bidi="ar"/>
              </w:rPr>
              <w:t>9</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24B32D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A10E2D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对违反美容美发业管理相关规定行为的处罚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D52E310">
            <w:pPr>
              <w:jc w:val="both"/>
              <w:rPr>
                <w:rFonts w:hint="default" w:ascii="Times New Roman" w:hAnsi="Times New Roman" w:eastAsia="宋体" w:cs="Times New Roman"/>
                <w:i w:val="0"/>
                <w:iCs w:val="0"/>
                <w:color w:val="000000"/>
                <w:sz w:val="20"/>
                <w:szCs w:val="20"/>
                <w:u w:val="none"/>
              </w:rPr>
            </w:pPr>
          </w:p>
        </w:tc>
        <w:tc>
          <w:tcPr>
            <w:tcW w:w="416" w:type="dxa"/>
            <w:vMerge w:val="restart"/>
            <w:tcBorders>
              <w:top w:val="single" w:color="000000" w:sz="4" w:space="0"/>
              <w:left w:val="single" w:color="000000" w:sz="4" w:space="0"/>
              <w:bottom w:val="nil"/>
              <w:right w:val="single" w:color="000000" w:sz="4" w:space="0"/>
            </w:tcBorders>
            <w:shd w:val="clear" w:color="auto" w:fill="auto"/>
            <w:vAlign w:val="top"/>
          </w:tcPr>
          <w:p w14:paraId="05BA329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vMerge w:val="restart"/>
            <w:tcBorders>
              <w:top w:val="single" w:color="000000" w:sz="4" w:space="0"/>
              <w:left w:val="single" w:color="000000" w:sz="4" w:space="0"/>
              <w:bottom w:val="single" w:color="000000" w:sz="4" w:space="0"/>
              <w:right w:val="nil"/>
            </w:tcBorders>
            <w:shd w:val="clear" w:color="auto" w:fill="auto"/>
            <w:vAlign w:val="top"/>
          </w:tcPr>
          <w:p w14:paraId="11BD3610">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商务股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46DE00B">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【部门规章】《美容美发业管理暂行办法》（2004年商务部令2004年第19号）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第十八条　各级商务主管部门对于违反本办法的美容美发经营者可以予以警告，令其限期改正；必要时，可以向社会公告。对依据有关法律、法规应予以处罚的，各级商务主管部门可以提请有关部门依法处罚。</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720E462">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B54FD09">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AD57B7E">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4C93185">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B3C932C">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1E080B11">
            <w:pPr>
              <w:jc w:val="both"/>
              <w:rPr>
                <w:rFonts w:hint="eastAsia" w:ascii="宋体" w:hAnsi="宋体" w:eastAsia="宋体" w:cs="宋体"/>
                <w:i w:val="0"/>
                <w:iCs w:val="0"/>
                <w:color w:val="000000"/>
                <w:sz w:val="22"/>
                <w:szCs w:val="22"/>
                <w:u w:val="none"/>
              </w:rPr>
            </w:pPr>
          </w:p>
        </w:tc>
      </w:tr>
      <w:tr w14:paraId="28623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C1AF55">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14D5B8">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7BB474">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9CAD24">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nil"/>
              <w:right w:val="single" w:color="000000" w:sz="4" w:space="0"/>
            </w:tcBorders>
            <w:shd w:val="clear" w:color="auto" w:fill="auto"/>
            <w:vAlign w:val="top"/>
          </w:tcPr>
          <w:p w14:paraId="41ECDD75">
            <w:pPr>
              <w:jc w:val="both"/>
              <w:rPr>
                <w:rFonts w:hint="eastAsia" w:ascii="宋体" w:hAnsi="宋体" w:eastAsia="宋体" w:cs="宋体"/>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nil"/>
            </w:tcBorders>
            <w:shd w:val="clear" w:color="auto" w:fill="auto"/>
            <w:vAlign w:val="top"/>
          </w:tcPr>
          <w:p w14:paraId="064BDA61">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DF77D4">
            <w:pPr>
              <w:jc w:val="both"/>
              <w:rPr>
                <w:rFonts w:hint="default" w:ascii="Times New Roman" w:hAnsi="Times New Roman" w:eastAsia="宋体" w:cs="Times New Roman"/>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B5EF35">
            <w:pPr>
              <w:jc w:val="both"/>
              <w:rPr>
                <w:rFonts w:hint="eastAsia" w:ascii="仿宋_GB2312" w:hAnsi="宋体" w:eastAsia="仿宋_GB2312" w:cs="仿宋_GB2312"/>
                <w:i w:val="0"/>
                <w:iCs w:val="0"/>
                <w:color w:val="000000"/>
                <w:sz w:val="20"/>
                <w:szCs w:val="20"/>
                <w:u w:val="none"/>
              </w:rPr>
            </w:pPr>
          </w:p>
        </w:tc>
        <w:tc>
          <w:tcPr>
            <w:tcW w:w="495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B8C30A">
            <w:pPr>
              <w:jc w:val="both"/>
              <w:rPr>
                <w:rFonts w:hint="eastAsia" w:ascii="宋体" w:hAnsi="宋体" w:eastAsia="宋体" w:cs="宋体"/>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810E06">
            <w:pPr>
              <w:jc w:val="both"/>
              <w:rPr>
                <w:rFonts w:hint="default" w:ascii="Times New Roman" w:hAnsi="Times New Roman" w:eastAsia="宋体" w:cs="Times New Roman"/>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26C481">
            <w:pPr>
              <w:jc w:val="both"/>
              <w:rPr>
                <w:rFonts w:hint="default" w:ascii="Times New Roman" w:hAnsi="Times New Roman" w:eastAsia="宋体" w:cs="Times New Roman"/>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B187B8">
            <w:pPr>
              <w:jc w:val="both"/>
              <w:rPr>
                <w:rFonts w:hint="default" w:ascii="Times New Roman" w:hAnsi="Times New Roman" w:eastAsia="宋体" w:cs="Times New Roman"/>
                <w:i w:val="0"/>
                <w:iCs w:val="0"/>
                <w:color w:val="000000"/>
                <w:sz w:val="20"/>
                <w:szCs w:val="20"/>
                <w:u w:val="none"/>
              </w:rPr>
            </w:pPr>
          </w:p>
        </w:tc>
        <w:tc>
          <w:tcPr>
            <w:tcW w:w="585" w:type="dxa"/>
            <w:tcBorders>
              <w:top w:val="nil"/>
              <w:left w:val="nil"/>
              <w:bottom w:val="nil"/>
              <w:right w:val="nil"/>
            </w:tcBorders>
            <w:shd w:val="clear" w:color="auto" w:fill="auto"/>
            <w:noWrap/>
            <w:vAlign w:val="top"/>
          </w:tcPr>
          <w:p w14:paraId="050AE51A">
            <w:pPr>
              <w:jc w:val="both"/>
              <w:rPr>
                <w:rFonts w:hint="eastAsia" w:ascii="宋体" w:hAnsi="宋体" w:eastAsia="宋体" w:cs="宋体"/>
                <w:i w:val="0"/>
                <w:iCs w:val="0"/>
                <w:color w:val="000000"/>
                <w:sz w:val="22"/>
                <w:szCs w:val="22"/>
                <w:u w:val="none"/>
              </w:rPr>
            </w:pPr>
          </w:p>
        </w:tc>
      </w:tr>
      <w:tr w14:paraId="55348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7AF77C6">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008E97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046DCEA">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对违反餐饮业经营管理相关规定行为的处罚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5E1AD72">
            <w:pPr>
              <w:jc w:val="both"/>
              <w:rPr>
                <w:rFonts w:hint="default" w:ascii="Times New Roman" w:hAnsi="Times New Roman" w:eastAsia="宋体" w:cs="Times New Roman"/>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916979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vMerge w:val="restart"/>
            <w:tcBorders>
              <w:top w:val="single" w:color="000000" w:sz="4" w:space="0"/>
              <w:left w:val="single" w:color="000000" w:sz="4" w:space="0"/>
              <w:bottom w:val="single" w:color="000000" w:sz="4" w:space="0"/>
              <w:right w:val="nil"/>
            </w:tcBorders>
            <w:shd w:val="clear" w:color="auto" w:fill="auto"/>
            <w:vAlign w:val="top"/>
          </w:tcPr>
          <w:p w14:paraId="18E1DE95">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EBE31B2">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【部门规章】《餐饮业经营管理办法（试行）》（2014年商务部、国家发展和改革委员会令2014年第4号）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第三条 商务部负责全国餐饮行业管理工作，制定行业规划、政策和标准，开展行业统计，规范行业秩序。地方各级人民政府商务主管部门负责本行政区域内餐饮业行业管理工作。</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第二十一条 商务、价格等主管部门依照法律法规、规章及有关规定，在各自职责范围内对餐饮业经营行为进行监督管理。对于餐饮经营者违反本办法的行为，法律法规及规章有规定的，商务主管部门可提请有关部门依法处罚；没有规定的，由商务主管部门责令限期改正，其中有违法所得的，可处违法所得3倍以下罚款，但最高不超过3万元；没有违法所得的，可处1万元以下罚款；对涉嫌犯罪的，依法移送司法机关处理。商务、价格等主管部门应当自作出行政处罚决定之日起21个工作日内，公开行政处罚决定书的主要内容，但行政处罚决定书中涉及国家秘密、商业秘密、个人隐私的内容依法不予公开。</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7848E1F">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4DDB407">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2C7E98B">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4B1A9F0">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0F705BB">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213FAC04">
            <w:pPr>
              <w:jc w:val="both"/>
              <w:rPr>
                <w:rFonts w:hint="eastAsia" w:ascii="宋体" w:hAnsi="宋体" w:eastAsia="宋体" w:cs="宋体"/>
                <w:i w:val="0"/>
                <w:iCs w:val="0"/>
                <w:color w:val="000000"/>
                <w:sz w:val="22"/>
                <w:szCs w:val="22"/>
                <w:u w:val="none"/>
              </w:rPr>
            </w:pPr>
          </w:p>
        </w:tc>
      </w:tr>
      <w:tr w14:paraId="680B7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E92615">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FA7A63">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6D860F8">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FA734A">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985C0E">
            <w:pPr>
              <w:jc w:val="both"/>
              <w:rPr>
                <w:rFonts w:hint="eastAsia" w:ascii="宋体" w:hAnsi="宋体" w:eastAsia="宋体" w:cs="宋体"/>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nil"/>
            </w:tcBorders>
            <w:shd w:val="clear" w:color="auto" w:fill="auto"/>
            <w:vAlign w:val="top"/>
          </w:tcPr>
          <w:p w14:paraId="49D076F0">
            <w:pPr>
              <w:jc w:val="both"/>
              <w:rPr>
                <w:rFonts w:hint="eastAsia" w:ascii="宋体" w:hAnsi="宋体" w:eastAsia="宋体" w:cs="宋体"/>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4B4D00">
            <w:pPr>
              <w:jc w:val="both"/>
              <w:rPr>
                <w:rFonts w:hint="default" w:ascii="Times New Roman" w:hAnsi="Times New Roman" w:eastAsia="宋体" w:cs="Times New Roman"/>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DDEF56">
            <w:pPr>
              <w:jc w:val="both"/>
              <w:rPr>
                <w:rFonts w:hint="default" w:ascii="Times New Roman" w:hAnsi="Times New Roman" w:eastAsia="宋体" w:cs="Times New Roman"/>
                <w:i w:val="0"/>
                <w:iCs w:val="0"/>
                <w:color w:val="000000"/>
                <w:sz w:val="20"/>
                <w:szCs w:val="20"/>
                <w:u w:val="none"/>
              </w:rPr>
            </w:pPr>
          </w:p>
        </w:tc>
        <w:tc>
          <w:tcPr>
            <w:tcW w:w="495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E59BA8">
            <w:pPr>
              <w:jc w:val="both"/>
              <w:rPr>
                <w:rFonts w:hint="eastAsia" w:ascii="宋体" w:hAnsi="宋体" w:eastAsia="宋体" w:cs="宋体"/>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FD863C">
            <w:pPr>
              <w:jc w:val="both"/>
              <w:rPr>
                <w:rFonts w:hint="default" w:ascii="Times New Roman" w:hAnsi="Times New Roman" w:eastAsia="宋体" w:cs="Times New Roman"/>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B31329">
            <w:pPr>
              <w:jc w:val="both"/>
              <w:rPr>
                <w:rFonts w:hint="default" w:ascii="Times New Roman" w:hAnsi="Times New Roman" w:eastAsia="宋体" w:cs="Times New Roman"/>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820BB8">
            <w:pPr>
              <w:jc w:val="both"/>
              <w:rPr>
                <w:rFonts w:hint="default" w:ascii="Times New Roman" w:hAnsi="Times New Roman" w:eastAsia="宋体" w:cs="Times New Roman"/>
                <w:i w:val="0"/>
                <w:iCs w:val="0"/>
                <w:color w:val="000000"/>
                <w:sz w:val="20"/>
                <w:szCs w:val="20"/>
                <w:u w:val="none"/>
              </w:rPr>
            </w:pPr>
          </w:p>
        </w:tc>
        <w:tc>
          <w:tcPr>
            <w:tcW w:w="585" w:type="dxa"/>
            <w:tcBorders>
              <w:top w:val="nil"/>
              <w:left w:val="nil"/>
              <w:bottom w:val="nil"/>
              <w:right w:val="nil"/>
            </w:tcBorders>
            <w:shd w:val="clear" w:color="auto" w:fill="auto"/>
            <w:noWrap/>
            <w:vAlign w:val="top"/>
          </w:tcPr>
          <w:p w14:paraId="6A2A61D2">
            <w:pPr>
              <w:jc w:val="both"/>
              <w:rPr>
                <w:rFonts w:hint="eastAsia" w:ascii="宋体" w:hAnsi="宋体" w:eastAsia="宋体" w:cs="宋体"/>
                <w:i w:val="0"/>
                <w:iCs w:val="0"/>
                <w:color w:val="000000"/>
                <w:sz w:val="22"/>
                <w:szCs w:val="22"/>
                <w:u w:val="none"/>
              </w:rPr>
            </w:pPr>
          </w:p>
        </w:tc>
      </w:tr>
      <w:tr w14:paraId="1E159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824C656">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Times New Roman" w:hAnsi="Times New Roman" w:eastAsia="宋体" w:cs="Times New Roman"/>
                <w:i w:val="0"/>
                <w:iCs w:val="0"/>
                <w:color w:val="000000"/>
                <w:kern w:val="0"/>
                <w:sz w:val="20"/>
                <w:szCs w:val="20"/>
                <w:u w:val="none"/>
                <w:lang w:val="en-US" w:eastAsia="zh-CN" w:bidi="ar"/>
              </w:rPr>
              <w:t>1</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E952451">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8240C2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违反家电维修服务业管理相关规定行为的处罚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00EE69F">
            <w:pPr>
              <w:jc w:val="both"/>
              <w:rPr>
                <w:rFonts w:hint="default" w:ascii="Times New Roman" w:hAnsi="Times New Roman" w:eastAsia="宋体" w:cs="Times New Roman"/>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3D4A79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县科技工贸和信息化局</w:t>
            </w:r>
          </w:p>
        </w:tc>
        <w:tc>
          <w:tcPr>
            <w:tcW w:w="916" w:type="dxa"/>
            <w:vMerge w:val="restart"/>
            <w:tcBorders>
              <w:top w:val="single" w:color="000000" w:sz="4" w:space="0"/>
              <w:left w:val="single" w:color="000000" w:sz="4" w:space="0"/>
              <w:bottom w:val="single" w:color="000000" w:sz="4" w:space="0"/>
              <w:right w:val="nil"/>
            </w:tcBorders>
            <w:shd w:val="clear" w:color="auto" w:fill="auto"/>
            <w:vAlign w:val="top"/>
          </w:tcPr>
          <w:p w14:paraId="0CE22557">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商务股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7A83BD0">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【部门规章】《家电维修服务业管理办法》（ 2012年商务部令2012年第7号）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 第九条 家电维修经营者和从业人员应恪守职业道德，不得有下列行为：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（一）虚列、夸大、伪造维修服务项目或内容；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（二）隐瞒、掩饰因维修服务导致用户产品损毁的事实；</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（三）虚报故障部件，故意替换性能正常的部件；</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（四）冒用家电生产者商标或特约维修标识。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第十四条 各级商务主管部门对于违反本办法的家电维修经营者可以予以警告，责令限期改正；拒不改正的，可以向社会公告；违反本办法第九条规定，情节严重的，可处三万元以下罚款；对依据有关法律、法规应予以处罚的，各级商务主管部门应提请有关部门依法处罚。</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56DDD23">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076B679">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44D6350">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26C4728">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B959C32">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603B3DF7">
            <w:pPr>
              <w:jc w:val="both"/>
              <w:rPr>
                <w:rFonts w:hint="eastAsia" w:ascii="宋体" w:hAnsi="宋体" w:eastAsia="宋体" w:cs="宋体"/>
                <w:i w:val="0"/>
                <w:iCs w:val="0"/>
                <w:color w:val="000000"/>
                <w:sz w:val="22"/>
                <w:szCs w:val="22"/>
                <w:u w:val="none"/>
              </w:rPr>
            </w:pPr>
          </w:p>
        </w:tc>
      </w:tr>
      <w:tr w14:paraId="0F3FE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D9B784">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4C8C2D">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B40EB8">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A68D27">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139C39">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nil"/>
            </w:tcBorders>
            <w:shd w:val="clear" w:color="auto" w:fill="auto"/>
            <w:vAlign w:val="top"/>
          </w:tcPr>
          <w:p w14:paraId="67F26004">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E8423D">
            <w:pPr>
              <w:jc w:val="both"/>
              <w:rPr>
                <w:rFonts w:hint="default" w:ascii="Times New Roman" w:hAnsi="Times New Roman" w:eastAsia="宋体" w:cs="Times New Roman"/>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633D65">
            <w:pPr>
              <w:jc w:val="both"/>
              <w:rPr>
                <w:rFonts w:hint="eastAsia" w:ascii="仿宋_GB2312" w:hAnsi="宋体" w:eastAsia="仿宋_GB2312" w:cs="仿宋_GB2312"/>
                <w:i w:val="0"/>
                <w:iCs w:val="0"/>
                <w:color w:val="000000"/>
                <w:sz w:val="20"/>
                <w:szCs w:val="20"/>
                <w:u w:val="none"/>
              </w:rPr>
            </w:pPr>
          </w:p>
        </w:tc>
        <w:tc>
          <w:tcPr>
            <w:tcW w:w="495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5485305">
            <w:pPr>
              <w:jc w:val="both"/>
              <w:rPr>
                <w:rFonts w:hint="eastAsia" w:ascii="宋体" w:hAnsi="宋体" w:eastAsia="宋体" w:cs="宋体"/>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DDA456">
            <w:pPr>
              <w:jc w:val="both"/>
              <w:rPr>
                <w:rFonts w:hint="default" w:ascii="Times New Roman" w:hAnsi="Times New Roman" w:eastAsia="宋体" w:cs="Times New Roman"/>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1A2972">
            <w:pPr>
              <w:jc w:val="both"/>
              <w:rPr>
                <w:rFonts w:hint="default" w:ascii="Times New Roman" w:hAnsi="Times New Roman" w:eastAsia="宋体" w:cs="Times New Roman"/>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BFD1F9D">
            <w:pPr>
              <w:jc w:val="both"/>
              <w:rPr>
                <w:rFonts w:hint="default" w:ascii="Times New Roman" w:hAnsi="Times New Roman" w:eastAsia="宋体" w:cs="Times New Roman"/>
                <w:i w:val="0"/>
                <w:iCs w:val="0"/>
                <w:color w:val="000000"/>
                <w:sz w:val="20"/>
                <w:szCs w:val="20"/>
                <w:u w:val="none"/>
              </w:rPr>
            </w:pPr>
          </w:p>
        </w:tc>
        <w:tc>
          <w:tcPr>
            <w:tcW w:w="585" w:type="dxa"/>
            <w:tcBorders>
              <w:top w:val="nil"/>
              <w:left w:val="nil"/>
              <w:bottom w:val="nil"/>
              <w:right w:val="nil"/>
            </w:tcBorders>
            <w:shd w:val="clear" w:color="auto" w:fill="auto"/>
            <w:noWrap/>
            <w:vAlign w:val="top"/>
          </w:tcPr>
          <w:p w14:paraId="382D9DEA">
            <w:pPr>
              <w:jc w:val="both"/>
              <w:rPr>
                <w:rFonts w:hint="eastAsia" w:ascii="宋体" w:hAnsi="宋体" w:eastAsia="宋体" w:cs="宋体"/>
                <w:i w:val="0"/>
                <w:iCs w:val="0"/>
                <w:color w:val="000000"/>
                <w:sz w:val="22"/>
                <w:szCs w:val="22"/>
                <w:u w:val="none"/>
              </w:rPr>
            </w:pPr>
          </w:p>
        </w:tc>
      </w:tr>
      <w:tr w14:paraId="6BAD7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51CDF5F6">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Times New Roman" w:hAnsi="Times New Roman" w:eastAsia="宋体" w:cs="Times New Roman"/>
                <w:i w:val="0"/>
                <w:iCs w:val="0"/>
                <w:color w:val="000000"/>
                <w:kern w:val="0"/>
                <w:sz w:val="20"/>
                <w:szCs w:val="20"/>
                <w:u w:val="none"/>
                <w:lang w:val="en-US" w:eastAsia="zh-CN" w:bidi="ar"/>
              </w:rPr>
              <w:t>2</w:t>
            </w:r>
          </w:p>
        </w:tc>
        <w:tc>
          <w:tcPr>
            <w:tcW w:w="416" w:type="dxa"/>
            <w:tcBorders>
              <w:top w:val="single" w:color="000000" w:sz="4" w:space="0"/>
              <w:left w:val="single" w:color="000000" w:sz="4" w:space="0"/>
              <w:bottom w:val="nil"/>
              <w:right w:val="single" w:color="000000" w:sz="4" w:space="0"/>
            </w:tcBorders>
            <w:shd w:val="clear" w:color="auto" w:fill="auto"/>
            <w:vAlign w:val="top"/>
          </w:tcPr>
          <w:p w14:paraId="34297CD7">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nil"/>
              <w:right w:val="single" w:color="000000" w:sz="4" w:space="0"/>
            </w:tcBorders>
            <w:shd w:val="clear" w:color="auto" w:fill="auto"/>
            <w:vAlign w:val="top"/>
          </w:tcPr>
          <w:p w14:paraId="20241ABF">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对从事旧电器电子产品收购的经营者未按规定进行产品收购登记和建立相关档案行为的处罚</w:t>
            </w:r>
          </w:p>
        </w:tc>
        <w:tc>
          <w:tcPr>
            <w:tcW w:w="416" w:type="dxa"/>
            <w:tcBorders>
              <w:top w:val="single" w:color="000000" w:sz="4" w:space="0"/>
              <w:left w:val="single" w:color="000000" w:sz="4" w:space="0"/>
              <w:bottom w:val="nil"/>
              <w:right w:val="single" w:color="000000" w:sz="4" w:space="0"/>
            </w:tcBorders>
            <w:shd w:val="clear" w:color="auto" w:fill="auto"/>
            <w:vAlign w:val="top"/>
          </w:tcPr>
          <w:p w14:paraId="5BF70D79">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nil"/>
              <w:right w:val="single" w:color="000000" w:sz="4" w:space="0"/>
            </w:tcBorders>
            <w:shd w:val="clear" w:color="auto" w:fill="auto"/>
            <w:vAlign w:val="top"/>
          </w:tcPr>
          <w:p w14:paraId="0B6B3C6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nil"/>
              <w:right w:val="nil"/>
            </w:tcBorders>
            <w:shd w:val="clear" w:color="auto" w:fill="auto"/>
            <w:vAlign w:val="top"/>
          </w:tcPr>
          <w:p w14:paraId="046727AD">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4D791866">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【部门规章】《旧电器电子产品流通管理办法》（2013年商务部令2013年第1号）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第七条　经营者收购旧电器电子产品时应当对收购产品进行登记。登记信息应包括旧电器电子产品的品名、商标、型号、出售人原始购买凭证或者出售人身份信息等。</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第八条　经营者应当建立旧电器电子产品档案资料。档案资料应当包括产品的收购登记信息，质量性能状况、主要部件的维修、翻新情况和后配件的商标、生产者信息等情况。</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第十五条　旧电器电子产品市场应当建立旧电器电子经营者档案，如实记录市场内经营者身份信息和信用信息。</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第十九条 经营者违反本办法第七条、第八条、第十五条规定的，由县级以上地方商务主管部门责令改正；逾期不改正的，可处二千元以上一万元以下罚款。</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62AC9921">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2BF0331A">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1.【地方政府规章】《广西壮族自治区行政执法程序规定》（广西壮族自治区人民政府令第 13 号。1997 年 12 月 3日实施）第二十八条行政执法机关对违法事项经过审查，认为有违法事实，依法需要给予行政处罚的，应当登记立案。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1D5B4B13">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6F026933">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7CDBBF8C">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14F6EE58">
            <w:pPr>
              <w:jc w:val="both"/>
              <w:rPr>
                <w:rFonts w:hint="eastAsia" w:ascii="宋体" w:hAnsi="宋体" w:eastAsia="宋体" w:cs="宋体"/>
                <w:i w:val="0"/>
                <w:iCs w:val="0"/>
                <w:color w:val="000000"/>
                <w:sz w:val="22"/>
                <w:szCs w:val="22"/>
                <w:u w:val="none"/>
              </w:rPr>
            </w:pPr>
          </w:p>
        </w:tc>
      </w:tr>
      <w:tr w14:paraId="66C03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58F0EF2">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Times New Roman" w:hAnsi="Times New Roman" w:eastAsia="宋体" w:cs="Times New Roman"/>
                <w:i w:val="0"/>
                <w:iCs w:val="0"/>
                <w:color w:val="000000"/>
                <w:kern w:val="0"/>
                <w:sz w:val="20"/>
                <w:szCs w:val="20"/>
                <w:u w:val="none"/>
                <w:lang w:val="en-US" w:eastAsia="zh-CN" w:bidi="ar"/>
              </w:rPr>
              <w:t>3</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5353E7B">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09C103C">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对旧电器电子产品经营者未按规定进行产品标识标注、设立销售台账、提供合法的销售凭证和三包服务、履行保密义务和明示义务或未如实提供、报送相关信息和数据行为的处罚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A78EF4D">
            <w:pPr>
              <w:jc w:val="both"/>
              <w:rPr>
                <w:rFonts w:hint="default" w:ascii="Times New Roman" w:hAnsi="Times New Roman" w:eastAsia="宋体" w:cs="Times New Roman"/>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6C7E6B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县科技工贸和信息化局</w:t>
            </w:r>
          </w:p>
        </w:tc>
        <w:tc>
          <w:tcPr>
            <w:tcW w:w="916" w:type="dxa"/>
            <w:vMerge w:val="restart"/>
            <w:tcBorders>
              <w:top w:val="single" w:color="000000" w:sz="4" w:space="0"/>
              <w:left w:val="single" w:color="000000" w:sz="4" w:space="0"/>
              <w:bottom w:val="single" w:color="000000" w:sz="4" w:space="0"/>
              <w:right w:val="nil"/>
            </w:tcBorders>
            <w:shd w:val="clear" w:color="auto" w:fill="auto"/>
            <w:vAlign w:val="top"/>
          </w:tcPr>
          <w:p w14:paraId="7228153F">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商务股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7F3D462">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【部门规章】《旧电器电子产品流通管理办法》（2013年商务部令2013年第1号）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九条经营者不得将在流通过程中获得的机关、企（事）业单位及个人信息用于与旧电器电子产品流通活动无关的领域。旧电器电子产品涉及商业秘密、个人隐私的，出售人应当在出售前妥善处置相关信息，经营者收购上述产品前应作出提示。退出使用的涉密旧电器电子产品的流通活动应当符合《中华人民共和国保守国家秘密法》和国家有关保密规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第十一条　待售的旧电器电子产品应在显著位置标识为旧货。</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第十二条　经营者销售旧电器电子产品时，应当向购买者明示产品质量性能状况、主要部件维修、翻新等有关情况。严禁经营者以翻新产品冒充新产品出售。</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第十三条　经营者应当向购买者出具销售凭证或发票，并应当提供不少于4个月的免费包修服务，交易双方另有约定的除外。旧电器电子产品仍在三包有效期内的，经营者应依法履行三包责任。经营者应当设立销售台账，对销售情况进行如实、准确记录。</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第十八条　县级以上地方商务主管部门应当根据本地实际，建立定期检查及不定期抽查制度，及时发现和处理有关问题。经营者和旧电器电子产品市场应配合商务主管部门的监督检查，如实提供信息和材料。县级以上地方商务主管部门应当组织本行政区域内的行业统计工作，经营者应按照商务主管部门要求及时报送相关信息和数据。</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第二十条 经营者违反本办法第九条、第十一条、第十二条、第十三条、第十八条规定的，由法律、行政法规规定的有关部门依法处理；法律法规未作规定的，由县级以上地方商务主管部门责令改正；逾期不改正的，可处二千元以上一万元以下罚款；构成犯罪的，依法追究刑事责任。</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24CFD0C">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F4F2742">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EF869B9">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B6CEA75">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967F72D">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5712455A">
            <w:pPr>
              <w:jc w:val="both"/>
              <w:rPr>
                <w:rFonts w:hint="eastAsia" w:ascii="宋体" w:hAnsi="宋体" w:eastAsia="宋体" w:cs="宋体"/>
                <w:i w:val="0"/>
                <w:iCs w:val="0"/>
                <w:color w:val="000000"/>
                <w:sz w:val="22"/>
                <w:szCs w:val="22"/>
                <w:u w:val="none"/>
              </w:rPr>
            </w:pPr>
          </w:p>
        </w:tc>
      </w:tr>
      <w:tr w14:paraId="5FB3B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AEBE2E">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88F2EC">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62A7F5">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47F46FF">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64728E">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nil"/>
            </w:tcBorders>
            <w:shd w:val="clear" w:color="auto" w:fill="auto"/>
            <w:vAlign w:val="top"/>
          </w:tcPr>
          <w:p w14:paraId="643F1B7E">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63A685">
            <w:pPr>
              <w:jc w:val="both"/>
              <w:rPr>
                <w:rFonts w:hint="default" w:ascii="Times New Roman" w:hAnsi="Times New Roman" w:eastAsia="宋体" w:cs="Times New Roman"/>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E778C8">
            <w:pPr>
              <w:jc w:val="both"/>
              <w:rPr>
                <w:rFonts w:hint="default" w:ascii="Times New Roman" w:hAnsi="Times New Roman" w:eastAsia="宋体" w:cs="Times New Roman"/>
                <w:i w:val="0"/>
                <w:iCs w:val="0"/>
                <w:color w:val="000000"/>
                <w:sz w:val="20"/>
                <w:szCs w:val="20"/>
                <w:u w:val="none"/>
              </w:rPr>
            </w:pPr>
          </w:p>
        </w:tc>
        <w:tc>
          <w:tcPr>
            <w:tcW w:w="495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9FEAC4">
            <w:pPr>
              <w:jc w:val="both"/>
              <w:rPr>
                <w:rFonts w:hint="eastAsia" w:ascii="宋体" w:hAnsi="宋体" w:eastAsia="宋体" w:cs="宋体"/>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EC120BF">
            <w:pPr>
              <w:jc w:val="both"/>
              <w:rPr>
                <w:rFonts w:hint="default" w:ascii="Times New Roman" w:hAnsi="Times New Roman" w:eastAsia="宋体" w:cs="Times New Roman"/>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B1271A">
            <w:pPr>
              <w:jc w:val="both"/>
              <w:rPr>
                <w:rFonts w:hint="default" w:ascii="Times New Roman" w:hAnsi="Times New Roman" w:eastAsia="宋体" w:cs="Times New Roman"/>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56BAC36">
            <w:pPr>
              <w:jc w:val="both"/>
              <w:rPr>
                <w:rFonts w:hint="default" w:ascii="Times New Roman" w:hAnsi="Times New Roman" w:eastAsia="宋体" w:cs="Times New Roman"/>
                <w:i w:val="0"/>
                <w:iCs w:val="0"/>
                <w:color w:val="000000"/>
                <w:sz w:val="20"/>
                <w:szCs w:val="20"/>
                <w:u w:val="none"/>
              </w:rPr>
            </w:pPr>
          </w:p>
        </w:tc>
        <w:tc>
          <w:tcPr>
            <w:tcW w:w="585" w:type="dxa"/>
            <w:tcBorders>
              <w:top w:val="nil"/>
              <w:left w:val="nil"/>
              <w:bottom w:val="nil"/>
              <w:right w:val="nil"/>
            </w:tcBorders>
            <w:shd w:val="clear" w:color="auto" w:fill="auto"/>
            <w:noWrap/>
            <w:vAlign w:val="top"/>
          </w:tcPr>
          <w:p w14:paraId="441E49E5">
            <w:pPr>
              <w:jc w:val="both"/>
              <w:rPr>
                <w:rFonts w:hint="eastAsia" w:ascii="宋体" w:hAnsi="宋体" w:eastAsia="宋体" w:cs="宋体"/>
                <w:i w:val="0"/>
                <w:iCs w:val="0"/>
                <w:color w:val="000000"/>
                <w:sz w:val="22"/>
                <w:szCs w:val="22"/>
                <w:u w:val="none"/>
              </w:rPr>
            </w:pPr>
          </w:p>
        </w:tc>
      </w:tr>
      <w:tr w14:paraId="7C453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FA321AE">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Times New Roman" w:hAnsi="Times New Roman" w:eastAsia="宋体" w:cs="Times New Roman"/>
                <w:i w:val="0"/>
                <w:iCs w:val="0"/>
                <w:color w:val="000000"/>
                <w:kern w:val="0"/>
                <w:sz w:val="20"/>
                <w:szCs w:val="20"/>
                <w:u w:val="none"/>
                <w:lang w:val="en-US" w:eastAsia="zh-CN" w:bidi="ar"/>
              </w:rPr>
              <w:t>4</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AA97BD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39CE99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对经营者违反规定收购、销售国家禁止的旧电器电子产品行为的处罚</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229115E">
            <w:pPr>
              <w:jc w:val="both"/>
              <w:rPr>
                <w:rFonts w:hint="default" w:ascii="Times New Roman" w:hAnsi="Times New Roman" w:eastAsia="宋体" w:cs="Times New Roman"/>
                <w:i w:val="0"/>
                <w:iCs w:val="0"/>
                <w:color w:val="000000"/>
                <w:sz w:val="20"/>
                <w:szCs w:val="20"/>
                <w:u w:val="none"/>
              </w:rPr>
            </w:pP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25CFFDB">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县科技工贸和信息化局</w:t>
            </w:r>
          </w:p>
        </w:tc>
        <w:tc>
          <w:tcPr>
            <w:tcW w:w="916" w:type="dxa"/>
            <w:vMerge w:val="restart"/>
            <w:tcBorders>
              <w:top w:val="single" w:color="000000" w:sz="4" w:space="0"/>
              <w:left w:val="single" w:color="000000" w:sz="4" w:space="0"/>
              <w:bottom w:val="single" w:color="000000" w:sz="4" w:space="0"/>
              <w:right w:val="nil"/>
            </w:tcBorders>
            <w:shd w:val="clear" w:color="auto" w:fill="auto"/>
            <w:vAlign w:val="top"/>
          </w:tcPr>
          <w:p w14:paraId="2000A9EB">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商务股</w:t>
            </w:r>
          </w:p>
        </w:tc>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552CBF9">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【部门规章】《旧电器电子产品流通管理办法》（2013年商务部令2013年第1号）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第十条　禁止经营者收购下列旧电器电子产品：（一）依法查封、扣押的；　二）明知是通过盗窃、抢劫、诈骗、走私或其他违法犯罪手段获得的；（三）不能说明合法来源的；（四）其他法律、行政法规禁止收购的。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第十四条　禁止经营者销售下列旧电器电子产品：（一）丧失全部使用功能或达到国家强制报废条件的；（二）不符合保障人体健康和人身、财产安全等强制性标准要求的；（三）其他法律、行政法规禁止销售的。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第二十一条 经营者违反本办法第十条、第十四条规定的，由法律、行政法规规定的有关部门依法处理；法律法规未作规定的，由县级以上地方商务主管部门责令改正；逾期不改正的，可处一万元以上三万元以下罚款；构成犯罪的，依法追究刑事责任。</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E5E8BB4">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F463D37">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C0B7192">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D3547C5">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AB59295">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7EEB0740">
            <w:pPr>
              <w:jc w:val="both"/>
              <w:rPr>
                <w:rFonts w:hint="eastAsia" w:ascii="宋体" w:hAnsi="宋体" w:eastAsia="宋体" w:cs="宋体"/>
                <w:i w:val="0"/>
                <w:iCs w:val="0"/>
                <w:color w:val="000000"/>
                <w:sz w:val="22"/>
                <w:szCs w:val="22"/>
                <w:u w:val="none"/>
              </w:rPr>
            </w:pPr>
          </w:p>
        </w:tc>
      </w:tr>
      <w:tr w14:paraId="18B4B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3A26E9">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28D39A">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B6ED14">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F22001E">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1A464B">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single" w:color="000000" w:sz="4" w:space="0"/>
              <w:left w:val="single" w:color="000000" w:sz="4" w:space="0"/>
              <w:bottom w:val="single" w:color="000000" w:sz="4" w:space="0"/>
              <w:right w:val="nil"/>
            </w:tcBorders>
            <w:shd w:val="clear" w:color="auto" w:fill="auto"/>
            <w:vAlign w:val="top"/>
          </w:tcPr>
          <w:p w14:paraId="324E41C4">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5F86DE">
            <w:pPr>
              <w:jc w:val="both"/>
              <w:rPr>
                <w:rFonts w:hint="default" w:ascii="Times New Roman" w:hAnsi="Times New Roman" w:eastAsia="宋体" w:cs="Times New Roman"/>
                <w:i w:val="0"/>
                <w:iCs w:val="0"/>
                <w:color w:val="000000"/>
                <w:sz w:val="20"/>
                <w:szCs w:val="20"/>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2CA086C">
            <w:pPr>
              <w:jc w:val="both"/>
              <w:rPr>
                <w:rFonts w:hint="eastAsia" w:ascii="仿宋_GB2312" w:hAnsi="宋体" w:eastAsia="仿宋_GB2312" w:cs="仿宋_GB2312"/>
                <w:i w:val="0"/>
                <w:iCs w:val="0"/>
                <w:color w:val="000000"/>
                <w:sz w:val="20"/>
                <w:szCs w:val="20"/>
                <w:u w:val="none"/>
              </w:rPr>
            </w:pPr>
          </w:p>
        </w:tc>
        <w:tc>
          <w:tcPr>
            <w:tcW w:w="495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ED62DDC">
            <w:pPr>
              <w:jc w:val="both"/>
              <w:rPr>
                <w:rFonts w:hint="eastAsia" w:ascii="宋体" w:hAnsi="宋体" w:eastAsia="宋体" w:cs="宋体"/>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D6248F">
            <w:pPr>
              <w:jc w:val="both"/>
              <w:rPr>
                <w:rFonts w:hint="default" w:ascii="Times New Roman" w:hAnsi="Times New Roman" w:eastAsia="宋体" w:cs="Times New Roman"/>
                <w:i w:val="0"/>
                <w:iCs w:val="0"/>
                <w:color w:val="000000"/>
                <w:sz w:val="20"/>
                <w:szCs w:val="20"/>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38E7EB">
            <w:pPr>
              <w:jc w:val="both"/>
              <w:rPr>
                <w:rFonts w:hint="default" w:ascii="Times New Roman" w:hAnsi="Times New Roman" w:eastAsia="宋体" w:cs="Times New Roman"/>
                <w:i w:val="0"/>
                <w:iCs w:val="0"/>
                <w:color w:val="000000"/>
                <w:sz w:val="20"/>
                <w:szCs w:val="20"/>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12A353">
            <w:pPr>
              <w:jc w:val="both"/>
              <w:rPr>
                <w:rFonts w:hint="default" w:ascii="Times New Roman" w:hAnsi="Times New Roman" w:eastAsia="宋体" w:cs="Times New Roman"/>
                <w:i w:val="0"/>
                <w:iCs w:val="0"/>
                <w:color w:val="000000"/>
                <w:sz w:val="20"/>
                <w:szCs w:val="20"/>
                <w:u w:val="none"/>
              </w:rPr>
            </w:pPr>
          </w:p>
        </w:tc>
        <w:tc>
          <w:tcPr>
            <w:tcW w:w="585" w:type="dxa"/>
            <w:tcBorders>
              <w:top w:val="nil"/>
              <w:left w:val="nil"/>
              <w:bottom w:val="nil"/>
              <w:right w:val="nil"/>
            </w:tcBorders>
            <w:shd w:val="clear" w:color="auto" w:fill="auto"/>
            <w:noWrap/>
            <w:vAlign w:val="top"/>
          </w:tcPr>
          <w:p w14:paraId="46E6FFED">
            <w:pPr>
              <w:jc w:val="both"/>
              <w:rPr>
                <w:rFonts w:hint="eastAsia" w:ascii="宋体" w:hAnsi="宋体" w:eastAsia="宋体" w:cs="宋体"/>
                <w:i w:val="0"/>
                <w:iCs w:val="0"/>
                <w:color w:val="000000"/>
                <w:sz w:val="22"/>
                <w:szCs w:val="22"/>
                <w:u w:val="none"/>
              </w:rPr>
            </w:pPr>
          </w:p>
        </w:tc>
      </w:tr>
      <w:tr w14:paraId="4580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3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080F3F1">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Times New Roman" w:hAnsi="Times New Roman" w:eastAsia="宋体" w:cs="Times New Roman"/>
                <w:i w:val="0"/>
                <w:iCs w:val="0"/>
                <w:color w:val="000000"/>
                <w:kern w:val="0"/>
                <w:sz w:val="20"/>
                <w:szCs w:val="20"/>
                <w:u w:val="none"/>
                <w:lang w:val="en-US" w:eastAsia="zh-CN" w:bidi="ar"/>
              </w:rPr>
              <w:t>5</w:t>
            </w:r>
          </w:p>
        </w:tc>
        <w:tc>
          <w:tcPr>
            <w:tcW w:w="416" w:type="dxa"/>
            <w:vMerge w:val="restart"/>
            <w:tcBorders>
              <w:top w:val="nil"/>
              <w:left w:val="single" w:color="000000" w:sz="4" w:space="0"/>
              <w:bottom w:val="single" w:color="000000" w:sz="4" w:space="0"/>
              <w:right w:val="single" w:color="000000" w:sz="4" w:space="0"/>
            </w:tcBorders>
            <w:shd w:val="clear" w:color="auto" w:fill="auto"/>
            <w:vAlign w:val="top"/>
          </w:tcPr>
          <w:p w14:paraId="07E1465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vMerge w:val="restart"/>
            <w:tcBorders>
              <w:top w:val="nil"/>
              <w:left w:val="single" w:color="000000" w:sz="4" w:space="0"/>
              <w:bottom w:val="single" w:color="000000" w:sz="4" w:space="0"/>
              <w:right w:val="single" w:color="000000" w:sz="4" w:space="0"/>
            </w:tcBorders>
            <w:shd w:val="clear" w:color="auto" w:fill="auto"/>
            <w:vAlign w:val="top"/>
          </w:tcPr>
          <w:p w14:paraId="2A353E09">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对家庭服务机构未公开服务项目、收费标准和投诉监督电话的处罚</w:t>
            </w:r>
          </w:p>
        </w:tc>
        <w:tc>
          <w:tcPr>
            <w:tcW w:w="416" w:type="dxa"/>
            <w:vMerge w:val="restart"/>
            <w:tcBorders>
              <w:top w:val="nil"/>
              <w:left w:val="single" w:color="000000" w:sz="4" w:space="0"/>
              <w:bottom w:val="single" w:color="000000" w:sz="4" w:space="0"/>
              <w:right w:val="single" w:color="000000" w:sz="4" w:space="0"/>
            </w:tcBorders>
            <w:shd w:val="clear" w:color="auto" w:fill="auto"/>
            <w:vAlign w:val="top"/>
          </w:tcPr>
          <w:p w14:paraId="5D6236D3">
            <w:pPr>
              <w:jc w:val="both"/>
              <w:rPr>
                <w:rFonts w:hint="default" w:ascii="Times New Roman" w:hAnsi="Times New Roman" w:eastAsia="宋体" w:cs="Times New Roman"/>
                <w:i w:val="0"/>
                <w:iCs w:val="0"/>
                <w:color w:val="000000"/>
                <w:sz w:val="20"/>
                <w:szCs w:val="20"/>
                <w:u w:val="none"/>
              </w:rPr>
            </w:pPr>
          </w:p>
        </w:tc>
        <w:tc>
          <w:tcPr>
            <w:tcW w:w="416" w:type="dxa"/>
            <w:vMerge w:val="restart"/>
            <w:tcBorders>
              <w:top w:val="nil"/>
              <w:left w:val="single" w:color="000000" w:sz="4" w:space="0"/>
              <w:bottom w:val="single" w:color="000000" w:sz="4" w:space="0"/>
              <w:right w:val="single" w:color="000000" w:sz="4" w:space="0"/>
            </w:tcBorders>
            <w:shd w:val="clear" w:color="auto" w:fill="auto"/>
            <w:vAlign w:val="top"/>
          </w:tcPr>
          <w:p w14:paraId="111F13B5">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县科技工贸和信息化局</w:t>
            </w:r>
          </w:p>
        </w:tc>
        <w:tc>
          <w:tcPr>
            <w:tcW w:w="916" w:type="dxa"/>
            <w:vMerge w:val="restart"/>
            <w:tcBorders>
              <w:top w:val="nil"/>
              <w:left w:val="single" w:color="000000" w:sz="4" w:space="0"/>
              <w:bottom w:val="single" w:color="000000" w:sz="4" w:space="0"/>
              <w:right w:val="nil"/>
            </w:tcBorders>
            <w:shd w:val="clear" w:color="auto" w:fill="auto"/>
            <w:vAlign w:val="top"/>
          </w:tcPr>
          <w:p w14:paraId="106F9DEC">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商务股</w:t>
            </w:r>
          </w:p>
        </w:tc>
        <w:tc>
          <w:tcPr>
            <w:tcW w:w="3371" w:type="dxa"/>
            <w:vMerge w:val="restart"/>
            <w:tcBorders>
              <w:top w:val="nil"/>
              <w:left w:val="single" w:color="000000" w:sz="4" w:space="0"/>
              <w:bottom w:val="single" w:color="000000" w:sz="4" w:space="0"/>
              <w:right w:val="single" w:color="000000" w:sz="4" w:space="0"/>
            </w:tcBorders>
            <w:shd w:val="clear" w:color="auto" w:fill="auto"/>
            <w:vAlign w:val="top"/>
          </w:tcPr>
          <w:p w14:paraId="3B9F5740">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【部门规章】《家庭服务业管理暂行办法》（2012年商务部令2012年第11号）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　商务部承担全国家庭服务业行业管理职责，负责监督管理家庭服务机构的服务质量，指导协调合同文本规范和服务矛盾纠纷处理工作。县级以上商务主管部门负责本行政区域内家庭服务业的监督管理。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第九条</w:t>
            </w:r>
            <w:r>
              <w:rPr>
                <w:rFonts w:hint="default" w:ascii="Times New Roman" w:hAnsi="Times New Roman" w:eastAsia="仿宋_GB2312" w:cs="Times New Roman"/>
                <w:i w:val="0"/>
                <w:color w:val="000000"/>
                <w:kern w:val="0"/>
                <w:sz w:val="18"/>
                <w:szCs w:val="18"/>
                <w:u w:val="none"/>
                <w:lang w:val="en-US" w:eastAsia="zh-CN" w:bidi="ar"/>
              </w:rPr>
              <w:t xml:space="preserve"> </w:t>
            </w:r>
            <w:r>
              <w:rPr>
                <w:rFonts w:hint="eastAsia" w:ascii="仿宋_GB2312" w:hAnsi="宋体" w:eastAsia="仿宋_GB2312" w:cs="仿宋_GB2312"/>
                <w:i w:val="0"/>
                <w:color w:val="000000"/>
                <w:kern w:val="0"/>
                <w:sz w:val="18"/>
                <w:szCs w:val="18"/>
                <w:u w:val="none"/>
                <w:lang w:val="en-US" w:eastAsia="zh-CN" w:bidi="ar"/>
              </w:rPr>
              <w:t>家庭服务机构应在经营场所醒目位置悬挂有关证照，公开服务项目、收费标准和投诉监督电话。</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第三十二条　家庭服务机构违反本办法第九条规定，未公开服务项目、收费标准和投诉监督电话的，由商务主管部门责令改正；拒不改正的，可处5000元以下罚款。</w:t>
            </w:r>
          </w:p>
        </w:tc>
        <w:tc>
          <w:tcPr>
            <w:tcW w:w="1965" w:type="dxa"/>
            <w:vMerge w:val="restart"/>
            <w:tcBorders>
              <w:top w:val="nil"/>
              <w:left w:val="single" w:color="000000" w:sz="4" w:space="0"/>
              <w:bottom w:val="single" w:color="000000" w:sz="4" w:space="0"/>
              <w:right w:val="single" w:color="000000" w:sz="4" w:space="0"/>
            </w:tcBorders>
            <w:shd w:val="clear" w:color="auto" w:fill="auto"/>
            <w:vAlign w:val="top"/>
          </w:tcPr>
          <w:p w14:paraId="059F7A75">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vMerge w:val="restart"/>
            <w:tcBorders>
              <w:top w:val="nil"/>
              <w:left w:val="single" w:color="000000" w:sz="4" w:space="0"/>
              <w:bottom w:val="single" w:color="000000" w:sz="4" w:space="0"/>
              <w:right w:val="single" w:color="000000" w:sz="4" w:space="0"/>
            </w:tcBorders>
            <w:shd w:val="clear" w:color="auto" w:fill="auto"/>
            <w:vAlign w:val="top"/>
          </w:tcPr>
          <w:p w14:paraId="6FA400E6">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vMerge w:val="restart"/>
            <w:tcBorders>
              <w:top w:val="nil"/>
              <w:left w:val="single" w:color="000000" w:sz="4" w:space="0"/>
              <w:bottom w:val="single" w:color="000000" w:sz="4" w:space="0"/>
              <w:right w:val="single" w:color="000000" w:sz="4" w:space="0"/>
            </w:tcBorders>
            <w:shd w:val="clear" w:color="auto" w:fill="auto"/>
            <w:vAlign w:val="top"/>
          </w:tcPr>
          <w:p w14:paraId="1E5F44C0">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vMerge w:val="restart"/>
            <w:tcBorders>
              <w:top w:val="nil"/>
              <w:left w:val="single" w:color="000000" w:sz="4" w:space="0"/>
              <w:bottom w:val="single" w:color="000000" w:sz="4" w:space="0"/>
              <w:right w:val="single" w:color="000000" w:sz="4" w:space="0"/>
            </w:tcBorders>
            <w:shd w:val="clear" w:color="auto" w:fill="auto"/>
            <w:vAlign w:val="top"/>
          </w:tcPr>
          <w:p w14:paraId="1D3EFA32">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vMerge w:val="restart"/>
            <w:tcBorders>
              <w:top w:val="nil"/>
              <w:left w:val="single" w:color="000000" w:sz="4" w:space="0"/>
              <w:bottom w:val="single" w:color="000000" w:sz="4" w:space="0"/>
              <w:right w:val="single" w:color="000000" w:sz="4" w:space="0"/>
            </w:tcBorders>
            <w:shd w:val="clear" w:color="auto" w:fill="auto"/>
            <w:vAlign w:val="top"/>
          </w:tcPr>
          <w:p w14:paraId="3FFB7BFC">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66E1F4BC">
            <w:pPr>
              <w:jc w:val="both"/>
              <w:rPr>
                <w:rFonts w:hint="eastAsia" w:ascii="宋体" w:hAnsi="宋体" w:eastAsia="宋体" w:cs="宋体"/>
                <w:i w:val="0"/>
                <w:iCs w:val="0"/>
                <w:color w:val="000000"/>
                <w:sz w:val="22"/>
                <w:szCs w:val="22"/>
                <w:u w:val="none"/>
              </w:rPr>
            </w:pPr>
          </w:p>
        </w:tc>
      </w:tr>
      <w:tr w14:paraId="16321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0" w:hRule="atLeast"/>
        </w:trPr>
        <w:tc>
          <w:tcPr>
            <w:tcW w:w="43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6337ABB">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nil"/>
              <w:left w:val="single" w:color="000000" w:sz="4" w:space="0"/>
              <w:bottom w:val="single" w:color="000000" w:sz="4" w:space="0"/>
              <w:right w:val="single" w:color="000000" w:sz="4" w:space="0"/>
            </w:tcBorders>
            <w:shd w:val="clear" w:color="auto" w:fill="auto"/>
            <w:vAlign w:val="top"/>
          </w:tcPr>
          <w:p w14:paraId="2A853950">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nil"/>
              <w:left w:val="single" w:color="000000" w:sz="4" w:space="0"/>
              <w:bottom w:val="single" w:color="000000" w:sz="4" w:space="0"/>
              <w:right w:val="single" w:color="000000" w:sz="4" w:space="0"/>
            </w:tcBorders>
            <w:shd w:val="clear" w:color="auto" w:fill="auto"/>
            <w:vAlign w:val="top"/>
          </w:tcPr>
          <w:p w14:paraId="534855E0">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single" w:color="000000" w:sz="4" w:space="0"/>
              <w:bottom w:val="single" w:color="000000" w:sz="4" w:space="0"/>
              <w:right w:val="single" w:color="000000" w:sz="4" w:space="0"/>
            </w:tcBorders>
            <w:shd w:val="clear" w:color="auto" w:fill="auto"/>
            <w:vAlign w:val="top"/>
          </w:tcPr>
          <w:p w14:paraId="4C8DDD83">
            <w:pPr>
              <w:jc w:val="both"/>
              <w:rPr>
                <w:rFonts w:hint="default" w:ascii="Times New Roman" w:hAnsi="Times New Roman" w:eastAsia="宋体" w:cs="Times New Roman"/>
                <w:i w:val="0"/>
                <w:iCs w:val="0"/>
                <w:color w:val="000000"/>
                <w:sz w:val="20"/>
                <w:szCs w:val="20"/>
                <w:u w:val="none"/>
              </w:rPr>
            </w:pPr>
          </w:p>
        </w:tc>
        <w:tc>
          <w:tcPr>
            <w:tcW w:w="416" w:type="dxa"/>
            <w:vMerge w:val="continue"/>
            <w:tcBorders>
              <w:top w:val="nil"/>
              <w:left w:val="single" w:color="000000" w:sz="4" w:space="0"/>
              <w:bottom w:val="single" w:color="000000" w:sz="4" w:space="0"/>
              <w:right w:val="single" w:color="000000" w:sz="4" w:space="0"/>
            </w:tcBorders>
            <w:shd w:val="clear" w:color="auto" w:fill="auto"/>
            <w:vAlign w:val="top"/>
          </w:tcPr>
          <w:p w14:paraId="59C7EFEC">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nil"/>
              <w:left w:val="single" w:color="000000" w:sz="4" w:space="0"/>
              <w:bottom w:val="single" w:color="000000" w:sz="4" w:space="0"/>
              <w:right w:val="nil"/>
            </w:tcBorders>
            <w:shd w:val="clear" w:color="auto" w:fill="auto"/>
            <w:vAlign w:val="top"/>
          </w:tcPr>
          <w:p w14:paraId="405775CB">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nil"/>
              <w:left w:val="single" w:color="000000" w:sz="4" w:space="0"/>
              <w:bottom w:val="single" w:color="000000" w:sz="4" w:space="0"/>
              <w:right w:val="single" w:color="000000" w:sz="4" w:space="0"/>
            </w:tcBorders>
            <w:shd w:val="clear" w:color="auto" w:fill="auto"/>
            <w:vAlign w:val="top"/>
          </w:tcPr>
          <w:p w14:paraId="6FB7E2DB">
            <w:pPr>
              <w:jc w:val="both"/>
              <w:rPr>
                <w:rFonts w:hint="default" w:ascii="Times New Roman" w:hAnsi="Times New Roman" w:eastAsia="宋体" w:cs="Times New Roman"/>
                <w:i w:val="0"/>
                <w:iCs w:val="0"/>
                <w:color w:val="000000"/>
                <w:sz w:val="20"/>
                <w:szCs w:val="20"/>
                <w:u w:val="none"/>
              </w:rPr>
            </w:pPr>
          </w:p>
        </w:tc>
        <w:tc>
          <w:tcPr>
            <w:tcW w:w="1965" w:type="dxa"/>
            <w:vMerge w:val="continue"/>
            <w:tcBorders>
              <w:top w:val="nil"/>
              <w:left w:val="single" w:color="000000" w:sz="4" w:space="0"/>
              <w:bottom w:val="single" w:color="000000" w:sz="4" w:space="0"/>
              <w:right w:val="single" w:color="000000" w:sz="4" w:space="0"/>
            </w:tcBorders>
            <w:shd w:val="clear" w:color="auto" w:fill="auto"/>
            <w:vAlign w:val="top"/>
          </w:tcPr>
          <w:p w14:paraId="3E3D2CC0">
            <w:pPr>
              <w:jc w:val="both"/>
              <w:rPr>
                <w:rFonts w:hint="eastAsia" w:ascii="仿宋_GB2312" w:hAnsi="宋体" w:eastAsia="仿宋_GB2312" w:cs="仿宋_GB2312"/>
                <w:i w:val="0"/>
                <w:iCs w:val="0"/>
                <w:color w:val="000000"/>
                <w:sz w:val="20"/>
                <w:szCs w:val="20"/>
                <w:u w:val="none"/>
              </w:rPr>
            </w:pPr>
          </w:p>
        </w:tc>
        <w:tc>
          <w:tcPr>
            <w:tcW w:w="4950" w:type="dxa"/>
            <w:vMerge w:val="continue"/>
            <w:tcBorders>
              <w:top w:val="nil"/>
              <w:left w:val="single" w:color="000000" w:sz="4" w:space="0"/>
              <w:bottom w:val="single" w:color="000000" w:sz="4" w:space="0"/>
              <w:right w:val="single" w:color="000000" w:sz="4" w:space="0"/>
            </w:tcBorders>
            <w:shd w:val="clear" w:color="auto" w:fill="auto"/>
            <w:vAlign w:val="top"/>
          </w:tcPr>
          <w:p w14:paraId="0E85CC86">
            <w:pPr>
              <w:jc w:val="both"/>
              <w:rPr>
                <w:rFonts w:hint="eastAsia" w:ascii="宋体" w:hAnsi="宋体" w:eastAsia="宋体" w:cs="宋体"/>
                <w:i w:val="0"/>
                <w:iCs w:val="0"/>
                <w:color w:val="000000"/>
                <w:sz w:val="20"/>
                <w:szCs w:val="20"/>
                <w:u w:val="none"/>
              </w:rPr>
            </w:pPr>
          </w:p>
        </w:tc>
        <w:tc>
          <w:tcPr>
            <w:tcW w:w="1860" w:type="dxa"/>
            <w:vMerge w:val="continue"/>
            <w:tcBorders>
              <w:top w:val="nil"/>
              <w:left w:val="single" w:color="000000" w:sz="4" w:space="0"/>
              <w:bottom w:val="single" w:color="000000" w:sz="4" w:space="0"/>
              <w:right w:val="single" w:color="000000" w:sz="4" w:space="0"/>
            </w:tcBorders>
            <w:shd w:val="clear" w:color="auto" w:fill="auto"/>
            <w:vAlign w:val="top"/>
          </w:tcPr>
          <w:p w14:paraId="3A5E2D4D">
            <w:pPr>
              <w:jc w:val="both"/>
              <w:rPr>
                <w:rFonts w:hint="default" w:ascii="Times New Roman" w:hAnsi="Times New Roman" w:eastAsia="宋体" w:cs="Times New Roman"/>
                <w:i w:val="0"/>
                <w:iCs w:val="0"/>
                <w:color w:val="000000"/>
                <w:sz w:val="20"/>
                <w:szCs w:val="20"/>
                <w:u w:val="none"/>
              </w:rPr>
            </w:pPr>
          </w:p>
        </w:tc>
        <w:tc>
          <w:tcPr>
            <w:tcW w:w="3510" w:type="dxa"/>
            <w:vMerge w:val="continue"/>
            <w:tcBorders>
              <w:top w:val="nil"/>
              <w:left w:val="single" w:color="000000" w:sz="4" w:space="0"/>
              <w:bottom w:val="single" w:color="000000" w:sz="4" w:space="0"/>
              <w:right w:val="single" w:color="000000" w:sz="4" w:space="0"/>
            </w:tcBorders>
            <w:shd w:val="clear" w:color="auto" w:fill="auto"/>
            <w:vAlign w:val="top"/>
          </w:tcPr>
          <w:p w14:paraId="453DF56D">
            <w:pPr>
              <w:jc w:val="both"/>
              <w:rPr>
                <w:rFonts w:hint="default" w:ascii="Times New Roman" w:hAnsi="Times New Roman" w:eastAsia="宋体" w:cs="Times New Roman"/>
                <w:i w:val="0"/>
                <w:iCs w:val="0"/>
                <w:color w:val="000000"/>
                <w:sz w:val="20"/>
                <w:szCs w:val="20"/>
                <w:u w:val="none"/>
              </w:rPr>
            </w:pPr>
          </w:p>
        </w:tc>
        <w:tc>
          <w:tcPr>
            <w:tcW w:w="795" w:type="dxa"/>
            <w:vMerge w:val="continue"/>
            <w:tcBorders>
              <w:top w:val="nil"/>
              <w:left w:val="single" w:color="000000" w:sz="4" w:space="0"/>
              <w:bottom w:val="single" w:color="000000" w:sz="4" w:space="0"/>
              <w:right w:val="single" w:color="000000" w:sz="4" w:space="0"/>
            </w:tcBorders>
            <w:shd w:val="clear" w:color="auto" w:fill="auto"/>
            <w:vAlign w:val="top"/>
          </w:tcPr>
          <w:p w14:paraId="5F44FD60">
            <w:pPr>
              <w:jc w:val="both"/>
              <w:rPr>
                <w:rFonts w:hint="default" w:ascii="Times New Roman" w:hAnsi="Times New Roman" w:eastAsia="宋体" w:cs="Times New Roman"/>
                <w:i w:val="0"/>
                <w:iCs w:val="0"/>
                <w:color w:val="000000"/>
                <w:sz w:val="20"/>
                <w:szCs w:val="20"/>
                <w:u w:val="none"/>
              </w:rPr>
            </w:pPr>
          </w:p>
        </w:tc>
        <w:tc>
          <w:tcPr>
            <w:tcW w:w="585" w:type="dxa"/>
            <w:tcBorders>
              <w:top w:val="nil"/>
              <w:left w:val="nil"/>
              <w:bottom w:val="nil"/>
              <w:right w:val="nil"/>
            </w:tcBorders>
            <w:shd w:val="clear" w:color="auto" w:fill="auto"/>
            <w:noWrap/>
            <w:vAlign w:val="top"/>
          </w:tcPr>
          <w:p w14:paraId="61265BA6">
            <w:pPr>
              <w:jc w:val="both"/>
              <w:rPr>
                <w:rFonts w:hint="eastAsia" w:ascii="宋体" w:hAnsi="宋体" w:eastAsia="宋体" w:cs="宋体"/>
                <w:i w:val="0"/>
                <w:iCs w:val="0"/>
                <w:color w:val="000000"/>
                <w:sz w:val="22"/>
                <w:szCs w:val="22"/>
                <w:u w:val="none"/>
              </w:rPr>
            </w:pPr>
          </w:p>
        </w:tc>
      </w:tr>
      <w:tr w14:paraId="12900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4715D819">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Times New Roman" w:hAnsi="Times New Roman" w:eastAsia="宋体" w:cs="Times New Roman"/>
                <w:i w:val="0"/>
                <w:iCs w:val="0"/>
                <w:color w:val="000000"/>
                <w:kern w:val="0"/>
                <w:sz w:val="20"/>
                <w:szCs w:val="20"/>
                <w:u w:val="none"/>
                <w:lang w:val="en-US" w:eastAsia="zh-CN" w:bidi="ar"/>
              </w:rPr>
              <w:t>6</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4525650">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3815D79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对家庭服务机构未按规定建立工作管理制度及不妥善处理消费者和家庭服务员之间的投诉的处罚</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3B9D59E1">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6482548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4454DE64">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51555FBC">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【部门规章】《家庭服务业管理暂行办法》（2012年商务部令2012年第11号）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　商务部承担全国家庭服务业行业管理职责，负责监督管理家庭服务机构的服务质量，指导协调合同文本规范和服务矛盾纠纷处理工作。县级以上商务主管部门负责本行政区域内家庭服务业的监督管理。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第十条</w:t>
            </w:r>
            <w:r>
              <w:rPr>
                <w:rFonts w:hint="default" w:ascii="Times New Roman" w:hAnsi="Times New Roman" w:eastAsia="仿宋_GB2312" w:cs="Times New Roman"/>
                <w:i w:val="0"/>
                <w:color w:val="000000"/>
                <w:kern w:val="0"/>
                <w:sz w:val="18"/>
                <w:szCs w:val="18"/>
                <w:u w:val="none"/>
                <w:lang w:val="en-US" w:eastAsia="zh-CN" w:bidi="ar"/>
              </w:rPr>
              <w:t xml:space="preserve"> </w:t>
            </w:r>
            <w:r>
              <w:rPr>
                <w:rFonts w:hint="eastAsia" w:ascii="仿宋_GB2312" w:hAnsi="宋体" w:eastAsia="仿宋_GB2312" w:cs="仿宋_GB2312"/>
                <w:i w:val="0"/>
                <w:color w:val="000000"/>
                <w:kern w:val="0"/>
                <w:sz w:val="18"/>
                <w:szCs w:val="18"/>
                <w:u w:val="none"/>
                <w:lang w:val="en-US" w:eastAsia="zh-CN" w:bidi="ar"/>
              </w:rPr>
              <w:t>家庭服务机构须建立家庭服务员工作档案，接受并协调消费者和家庭服务员投诉，建立家庭服务员服务质量跟踪管理制度。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第三十三条　家庭服务机构违反本办法第十条规定，未按要求建立工作档案、跟踪管理制度，对消费者和家庭服务员之间的投诉不予妥善处理的，由商务主管部门责令改正；拒不改正的，可处3万元以下罚款。</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31FECD2F">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48C99D38">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2D166D1C">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602C7E28">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7288CA70">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5BA72D0E">
            <w:pPr>
              <w:jc w:val="both"/>
              <w:rPr>
                <w:rFonts w:hint="eastAsia" w:ascii="宋体" w:hAnsi="宋体" w:eastAsia="宋体" w:cs="宋体"/>
                <w:i w:val="0"/>
                <w:iCs w:val="0"/>
                <w:color w:val="000000"/>
                <w:sz w:val="22"/>
                <w:szCs w:val="22"/>
                <w:u w:val="none"/>
              </w:rPr>
            </w:pPr>
          </w:p>
        </w:tc>
      </w:tr>
      <w:tr w14:paraId="66045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61B515FE">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Times New Roman" w:hAnsi="Times New Roman" w:eastAsia="宋体" w:cs="Times New Roman"/>
                <w:i w:val="0"/>
                <w:iCs w:val="0"/>
                <w:color w:val="000000"/>
                <w:kern w:val="0"/>
                <w:sz w:val="20"/>
                <w:szCs w:val="20"/>
                <w:u w:val="none"/>
                <w:lang w:val="en-US" w:eastAsia="zh-CN" w:bidi="ar"/>
              </w:rPr>
              <w:t>7</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343F0E1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0BA72C8C">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对家庭服务机构不按规定建立和报送经营档案信息的处罚</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77D28620">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62811B18">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654C2BC7">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5D2E00E8">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【部门规章】《家庭服务业管理暂行办法》（2012年商务部令2012年第11号）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　商务部承担全国家庭服务业行业管理职责，负责监督管理家庭服务机构的服务质量，指导协调合同文本规范和服务矛盾纠纷处理工作。县级以上商务主管部门负责本行政区域内家庭服务业的监督管理。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第十一条</w:t>
            </w:r>
            <w:r>
              <w:rPr>
                <w:rFonts w:hint="default" w:ascii="Times New Roman" w:hAnsi="Times New Roman" w:eastAsia="仿宋_GB2312" w:cs="Times New Roman"/>
                <w:i w:val="0"/>
                <w:color w:val="000000"/>
                <w:kern w:val="0"/>
                <w:sz w:val="18"/>
                <w:szCs w:val="18"/>
                <w:u w:val="none"/>
                <w:lang w:val="en-US" w:eastAsia="zh-CN" w:bidi="ar"/>
              </w:rPr>
              <w:t xml:space="preserve"> </w:t>
            </w:r>
            <w:r>
              <w:rPr>
                <w:rFonts w:hint="eastAsia" w:ascii="仿宋_GB2312" w:hAnsi="宋体" w:eastAsia="仿宋_GB2312" w:cs="仿宋_GB2312"/>
                <w:i w:val="0"/>
                <w:color w:val="000000"/>
                <w:kern w:val="0"/>
                <w:sz w:val="18"/>
                <w:szCs w:val="18"/>
                <w:u w:val="none"/>
                <w:lang w:val="en-US" w:eastAsia="zh-CN" w:bidi="ar"/>
              </w:rPr>
              <w:t>家庭服务机构应按照县级以上商务主管部门要求及时准确地提供经营档案信息。</w:t>
            </w:r>
            <w:r>
              <w:rPr>
                <w:rFonts w:hint="default" w:ascii="Times New Roman" w:hAnsi="Times New Roman" w:eastAsia="仿宋_GB2312" w:cs="Times New Roman"/>
                <w:i w:val="0"/>
                <w:color w:val="000000"/>
                <w:kern w:val="0"/>
                <w:sz w:val="18"/>
                <w:szCs w:val="18"/>
                <w:u w:val="none"/>
                <w:lang w:val="en-US" w:eastAsia="zh-CN" w:bidi="ar"/>
              </w:rPr>
              <w:t xml:space="preserve"> </w:t>
            </w:r>
            <w:r>
              <w:rPr>
                <w:rFonts w:hint="eastAsia" w:ascii="仿宋_GB2312" w:hAnsi="宋体" w:eastAsia="仿宋_GB2312" w:cs="仿宋_GB2312"/>
                <w:i w:val="0"/>
                <w:color w:val="000000"/>
                <w:kern w:val="0"/>
                <w:sz w:val="18"/>
                <w:szCs w:val="18"/>
                <w:u w:val="none"/>
                <w:lang w:val="en-US" w:eastAsia="zh-CN" w:bidi="ar"/>
              </w:rPr>
              <w:t>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第二十六条</w:t>
            </w:r>
            <w:r>
              <w:rPr>
                <w:rFonts w:hint="default" w:ascii="Times New Roman" w:hAnsi="Times New Roman" w:eastAsia="仿宋_GB2312" w:cs="Times New Roman"/>
                <w:i w:val="0"/>
                <w:color w:val="000000"/>
                <w:kern w:val="0"/>
                <w:sz w:val="18"/>
                <w:szCs w:val="18"/>
                <w:u w:val="none"/>
                <w:lang w:val="en-US" w:eastAsia="zh-CN" w:bidi="ar"/>
              </w:rPr>
              <w:t xml:space="preserve"> </w:t>
            </w:r>
            <w:r>
              <w:rPr>
                <w:rFonts w:hint="eastAsia" w:ascii="仿宋_GB2312" w:hAnsi="宋体" w:eastAsia="仿宋_GB2312" w:cs="仿宋_GB2312"/>
                <w:i w:val="0"/>
                <w:color w:val="000000"/>
                <w:kern w:val="0"/>
                <w:sz w:val="18"/>
                <w:szCs w:val="18"/>
                <w:u w:val="none"/>
                <w:lang w:val="en-US" w:eastAsia="zh-CN" w:bidi="ar"/>
              </w:rPr>
              <w:t>商务部建立家庭服务业信息报送系统。家庭服务机构应按要求及时报送经营情况信息，具体报送内容由商务部另行规定。</w:t>
            </w:r>
            <w:r>
              <w:rPr>
                <w:rFonts w:hint="default" w:ascii="Times New Roman" w:hAnsi="Times New Roman" w:eastAsia="仿宋_GB2312" w:cs="Times New Roman"/>
                <w:i w:val="0"/>
                <w:color w:val="000000"/>
                <w:kern w:val="0"/>
                <w:sz w:val="18"/>
                <w:szCs w:val="18"/>
                <w:u w:val="none"/>
                <w:lang w:val="en-US" w:eastAsia="zh-CN" w:bidi="ar"/>
              </w:rPr>
              <w:t xml:space="preserve">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第三十四条　家庭服务机构违反本办法第十一条、第二十六条规定，未按要求提供信息的，由商务主管部门责令改正；拒不改正的，可处2万元以下罚款。</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4B094756">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0CC1409E">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5AEDE121">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5EA63BDF">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58AA88BC">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16B851CF">
            <w:pPr>
              <w:jc w:val="both"/>
              <w:rPr>
                <w:rFonts w:hint="eastAsia" w:ascii="宋体" w:hAnsi="宋体" w:eastAsia="宋体" w:cs="宋体"/>
                <w:i w:val="0"/>
                <w:iCs w:val="0"/>
                <w:color w:val="000000"/>
                <w:sz w:val="22"/>
                <w:szCs w:val="22"/>
                <w:u w:val="none"/>
              </w:rPr>
            </w:pPr>
          </w:p>
        </w:tc>
      </w:tr>
      <w:tr w14:paraId="031F0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36F9CD3B">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Times New Roman" w:hAnsi="Times New Roman" w:eastAsia="宋体" w:cs="Times New Roman"/>
                <w:i w:val="0"/>
                <w:iCs w:val="0"/>
                <w:color w:val="000000"/>
                <w:kern w:val="0"/>
                <w:sz w:val="20"/>
                <w:szCs w:val="20"/>
                <w:u w:val="none"/>
                <w:lang w:val="en-US" w:eastAsia="zh-CN" w:bidi="ar"/>
              </w:rPr>
              <w:t>8</w:t>
            </w:r>
          </w:p>
        </w:tc>
        <w:tc>
          <w:tcPr>
            <w:tcW w:w="416" w:type="dxa"/>
            <w:tcBorders>
              <w:top w:val="single" w:color="000000" w:sz="4" w:space="0"/>
              <w:left w:val="single" w:color="000000" w:sz="4" w:space="0"/>
              <w:bottom w:val="nil"/>
              <w:right w:val="single" w:color="000000" w:sz="4" w:space="0"/>
            </w:tcBorders>
            <w:shd w:val="clear" w:color="auto" w:fill="auto"/>
            <w:vAlign w:val="top"/>
          </w:tcPr>
          <w:p w14:paraId="004D3D0B">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nil"/>
              <w:right w:val="single" w:color="000000" w:sz="4" w:space="0"/>
            </w:tcBorders>
            <w:shd w:val="clear" w:color="auto" w:fill="auto"/>
            <w:vAlign w:val="top"/>
          </w:tcPr>
          <w:p w14:paraId="77AA43F5">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对家庭服务机构违反规定提供家庭服务活动或不按规定管理家庭服务员行为的处罚</w:t>
            </w:r>
          </w:p>
        </w:tc>
        <w:tc>
          <w:tcPr>
            <w:tcW w:w="416" w:type="dxa"/>
            <w:tcBorders>
              <w:top w:val="single" w:color="000000" w:sz="4" w:space="0"/>
              <w:left w:val="single" w:color="000000" w:sz="4" w:space="0"/>
              <w:bottom w:val="nil"/>
              <w:right w:val="single" w:color="000000" w:sz="4" w:space="0"/>
            </w:tcBorders>
            <w:shd w:val="clear" w:color="auto" w:fill="auto"/>
            <w:vAlign w:val="top"/>
          </w:tcPr>
          <w:p w14:paraId="3D2D01FF">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nil"/>
              <w:right w:val="single" w:color="000000" w:sz="4" w:space="0"/>
            </w:tcBorders>
            <w:shd w:val="clear" w:color="auto" w:fill="auto"/>
            <w:vAlign w:val="top"/>
          </w:tcPr>
          <w:p w14:paraId="4CFC408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nil"/>
              <w:right w:val="nil"/>
            </w:tcBorders>
            <w:shd w:val="clear" w:color="auto" w:fill="auto"/>
            <w:vAlign w:val="top"/>
          </w:tcPr>
          <w:p w14:paraId="44277CAE">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143F4F44">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【部门规章】《家庭服务业管理暂行办法》（2012年商务部令2012年第11号）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　商务部承担全国家庭服务业行业管理职责，负责监督管理家庭服务机构的服务质量，指导协调合同文本规范和服务矛盾纠纷处理工作。县级以上商务主管部门负责本行政区域内家庭服务业的监督管理。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第十二条 家庭服务机构在家庭服务活动中不得有下列行为：（一）以低于成本价格或抬高价格等手段进行不正当竞争；（二）不按服务合同约定提供服务；（三）唆使家庭服务员哄抬价格或有意违约骗取服务费用；（四）发布虚假广告或隐瞒真实信息误导消费者；（五）利用家庭服务之便强行向消费者推销商品；（六）扣押、拖欠家庭服务员工资或收取高额管理费，以及其他损害家庭服务员合法权益的行为；（七）扣押家庭服务员身份、学历、资格证明等证件原件。 （八）法律、法规禁止的其他行为。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第三十五条　家庭服务机构有本办法第十二条规定行为的，由商务主管部门或有关主管部门责令改正；拒不改正的，属于商务主管部门职责的，可处4万元以下罚款，属于其他部门职责的，由商务主管部门提请有关主管部门处理。</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5F1D52D3">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51007B22">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55B0F739">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483A19E7">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01D6B85F">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31B1C871">
            <w:pPr>
              <w:jc w:val="both"/>
              <w:rPr>
                <w:rFonts w:hint="eastAsia" w:ascii="宋体" w:hAnsi="宋体" w:eastAsia="宋体" w:cs="宋体"/>
                <w:i w:val="0"/>
                <w:iCs w:val="0"/>
                <w:color w:val="000000"/>
                <w:sz w:val="22"/>
                <w:szCs w:val="22"/>
                <w:u w:val="none"/>
              </w:rPr>
            </w:pPr>
          </w:p>
        </w:tc>
      </w:tr>
      <w:tr w14:paraId="1EA8A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7B4C4AB5">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r>
              <w:rPr>
                <w:rFonts w:hint="eastAsia" w:ascii="Times New Roman" w:hAnsi="Times New Roman" w:eastAsia="宋体" w:cs="Times New Roman"/>
                <w:i w:val="0"/>
                <w:iCs w:val="0"/>
                <w:color w:val="000000"/>
                <w:sz w:val="20"/>
                <w:szCs w:val="20"/>
                <w:highlight w:val="none"/>
                <w:u w:val="none"/>
                <w:lang w:val="en-US" w:eastAsia="zh-CN"/>
              </w:rPr>
              <w:t>9</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2757181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行政处罚</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40D7F35A">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iCs w:val="0"/>
                <w:color w:val="000000"/>
                <w:kern w:val="0"/>
                <w:sz w:val="20"/>
                <w:szCs w:val="20"/>
                <w:highlight w:val="none"/>
                <w:u w:val="none"/>
                <w:lang w:val="en-US" w:eastAsia="zh-CN" w:bidi="ar"/>
              </w:rPr>
              <w:t>对未按要求订立家庭服务合同、拒绝家庭服务员获取家庭服务合同的处罚</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3B91732">
            <w:pPr>
              <w:jc w:val="both"/>
              <w:rPr>
                <w:rFonts w:hint="default" w:ascii="Times New Roman" w:hAnsi="Times New Roman" w:eastAsia="宋体" w:cs="Times New Roman"/>
                <w:i w:val="0"/>
                <w:iCs w:val="0"/>
                <w:color w:val="000000"/>
                <w:sz w:val="20"/>
                <w:szCs w:val="20"/>
                <w:highlight w:val="none"/>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2C5DA878">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7297D84B">
            <w:pPr>
              <w:keepNext w:val="0"/>
              <w:keepLines w:val="0"/>
              <w:widowControl/>
              <w:suppressLineNumbers w:val="0"/>
              <w:jc w:val="both"/>
              <w:textAlignment w:val="top"/>
              <w:rPr>
                <w:rFonts w:hint="eastAsia" w:ascii="宋体" w:hAnsi="宋体" w:eastAsia="宋体" w:cs="宋体"/>
                <w:i w:val="0"/>
                <w:iCs w:val="0"/>
                <w:color w:val="000000"/>
                <w:sz w:val="20"/>
                <w:szCs w:val="20"/>
                <w:highlight w:val="none"/>
                <w:u w:val="none"/>
                <w:lang w:eastAsia="zh-CN"/>
              </w:rPr>
            </w:pPr>
            <w:r>
              <w:rPr>
                <w:rFonts w:hint="eastAsia" w:ascii="宋体" w:hAnsi="宋体" w:eastAsia="宋体" w:cs="宋体"/>
                <w:i w:val="0"/>
                <w:iCs w:val="0"/>
                <w:color w:val="000000"/>
                <w:sz w:val="20"/>
                <w:szCs w:val="20"/>
                <w:highlight w:val="none"/>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5520832C">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highlight w:val="none"/>
                <w:u w:val="none"/>
              </w:rPr>
            </w:pPr>
            <w:r>
              <w:rPr>
                <w:rFonts w:hint="eastAsia" w:ascii="仿宋_GB2312" w:hAnsi="宋体" w:eastAsia="仿宋_GB2312" w:cs="仿宋_GB2312"/>
                <w:i w:val="0"/>
                <w:color w:val="000000"/>
                <w:kern w:val="0"/>
                <w:sz w:val="18"/>
                <w:szCs w:val="18"/>
                <w:u w:val="none"/>
                <w:lang w:val="en-US" w:eastAsia="zh-CN" w:bidi="ar"/>
              </w:rPr>
              <w:t>【部门规章】《家庭服务业管理暂行办法》（2012年商务部令2012年第11号）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　商务部承担全国家庭服务业行业管理职责，负责监督管理家庭服务机构的服务质量，指导协调合同文本规范和服务矛盾纠纷处理工作。县级以上商务主管部门负责本行政区域内家庭服务业的监督管理。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第十三条 从事家庭服务活动，家庭服务机构或家庭服务员应当与消费者以书面形式签订家庭服务合同。第十四条 家庭服务合同应至少包括以下内容：（一）家庭服务机构的名称、地址、负责人、联系方式和家庭服务员的姓名、身份证号码、健康状况、技能培训情况、联系方式等信息；消费者的姓名、身份证号码、住所、联系方式等信息；（二）服务地点、内容、方式和期限等；（三）服务费用及其支付形式； （四）各方权利与义务、违约责任与争议解决方式等。</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第十五条 家庭服务机构应当明确告知涉及家庭服务员利益的服务合同内容，应允许家庭服务员查阅、复印家庭服务合同，保护其合法权益。</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第三十六条　家庭服务机构违反本办法第十三条、第十四条、第十五条规定，未按要求订立家庭服务合同的，拒绝家庭服务员获取家庭服务合同的，由商务主管部门或有关部门责令改正；拒不改正的，可处4万元以下罚款。</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4D204BEE">
            <w:pPr>
              <w:keepNext w:val="0"/>
              <w:keepLines w:val="0"/>
              <w:widowControl/>
              <w:suppressLineNumbers w:val="0"/>
              <w:jc w:val="both"/>
              <w:textAlignment w:val="top"/>
              <w:rPr>
                <w:rFonts w:hint="eastAsia" w:ascii="仿宋_GB2312" w:hAnsi="宋体" w:eastAsia="仿宋_GB2312" w:cs="仿宋_GB2312"/>
                <w:i w:val="0"/>
                <w:iCs w:val="0"/>
                <w:color w:val="000000"/>
                <w:sz w:val="20"/>
                <w:szCs w:val="20"/>
                <w:highlight w:val="none"/>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6EC85871">
            <w:pPr>
              <w:keepNext w:val="0"/>
              <w:keepLines w:val="0"/>
              <w:widowControl/>
              <w:suppressLineNumbers w:val="0"/>
              <w:jc w:val="both"/>
              <w:textAlignment w:val="top"/>
              <w:rPr>
                <w:rFonts w:hint="eastAsia" w:ascii="宋体" w:hAnsi="宋体" w:eastAsia="宋体" w:cs="宋体"/>
                <w:i w:val="0"/>
                <w:iCs w:val="0"/>
                <w:color w:val="000000"/>
                <w:sz w:val="20"/>
                <w:szCs w:val="20"/>
                <w:highlight w:val="none"/>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646BF351">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highlight w:val="none"/>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3C926D96">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highlight w:val="none"/>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2CBA7AAC">
            <w:pPr>
              <w:jc w:val="both"/>
              <w:rPr>
                <w:rFonts w:hint="default" w:ascii="Times New Roman" w:hAnsi="Times New Roman" w:eastAsia="宋体" w:cs="Times New Roman"/>
                <w:i w:val="0"/>
                <w:iCs w:val="0"/>
                <w:color w:val="000000"/>
                <w:sz w:val="20"/>
                <w:szCs w:val="20"/>
                <w:highlight w:val="none"/>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59D51047">
            <w:pPr>
              <w:jc w:val="both"/>
              <w:rPr>
                <w:rFonts w:hint="eastAsia" w:ascii="宋体" w:hAnsi="宋体" w:eastAsia="宋体" w:cs="宋体"/>
                <w:i w:val="0"/>
                <w:iCs w:val="0"/>
                <w:color w:val="000000"/>
                <w:sz w:val="22"/>
                <w:szCs w:val="22"/>
                <w:u w:val="none"/>
              </w:rPr>
            </w:pPr>
          </w:p>
        </w:tc>
      </w:tr>
      <w:tr w14:paraId="26D2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4C5E7E6D">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4F2FD41">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2410415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对零售商供应商交易中不公平行为的处罚</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40D03E4">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4F6CD7E5">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52391801">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129095E7">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【部门规章】《零售商供应商公平交易管理办法》（2006年商务部、发展改革委、公安部、税务总局、工商总局2006年第17号令）</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第二十一条 各地商务、价格、税务、工商等部门依照法律法规及本办法，在各自的职责范围内对本办法规定的行为进行监督管理。对涉嫌犯罪的，由公安机关依法予以查处。 县级以上商务主管部门应会同同级有关部门对零售商供应商公平交易行为实行动态监测，进行风险预警，及时采取防范措施。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第二十二条 对违反本办法规定的行为任何单位和个人均可向上述部门举报，相关部门接到举报后，应当依法予以查处。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第二十三条 零售商或者供应商违反本办法规定的，法律法规有规定的，从其规定；没有规定的，责令改正；有违法所得的，可处违法所得三倍以下罚款，但最高不超过三万元；没有违法所得的，可处一万元以下罚款；并可向社会公告。</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第二十四条 县级以上商务、价格、税务、工商等部门发现零售商涉嫌骗取供应商货款的，应当将其涉嫌犯罪的线索及时移送当地公安机关。公安机关应及时开展调查工作，涉嫌犯罪的，依法立案侦查。</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7B74BE43">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44A73EF3">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422AE93C">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41E54293">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24CDDA2D">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0AFC662E">
            <w:pPr>
              <w:jc w:val="both"/>
              <w:rPr>
                <w:rFonts w:hint="eastAsia" w:ascii="宋体" w:hAnsi="宋体" w:eastAsia="宋体" w:cs="宋体"/>
                <w:i w:val="0"/>
                <w:iCs w:val="0"/>
                <w:color w:val="000000"/>
                <w:sz w:val="22"/>
                <w:szCs w:val="22"/>
                <w:u w:val="none"/>
              </w:rPr>
            </w:pPr>
          </w:p>
        </w:tc>
      </w:tr>
      <w:tr w14:paraId="6C36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05698F93">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31</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782BFF7B">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2BDB077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对生活必需品销售和储运单位及其人员违反生活必需品市场供应应急管理规定行为的处罚</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0C65EC9">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0AABFA6">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08FEBD59">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1870C66C">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【部门规章】《生活必需品市场供应应急管理办法》（2011年商务部令2011年第4号）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第三十八条 生活必需品销售和储运单位及其人员有下列行为之一的，由县级以上地方人民政府有关主管部门根据情节，依法责令改正、没收违法所得、罚款、警告；造成严重危害后果，构成犯罪的，提请司法机关依法追究刑事责任：（一）未按照规定履行市场异常波动报告职责，隐瞒、缓报、谎报或者漏报的；（二）未按照规定报送监测资料的；（三）购进、销售假冒伪劣商品及囤积居奇、哄抬物价的；（四）未按照规定及时采取组织货源等预防控制措施的；（五）拒绝服从商务主管部门调遣的；（六）拒绝、阻碍或者不配合现场调查、资料收集及监督检查的。</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26A07B48">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19C92977">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013591BE">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491FE3D7">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3FA48650">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20FD7398">
            <w:pPr>
              <w:jc w:val="both"/>
              <w:rPr>
                <w:rFonts w:hint="eastAsia" w:ascii="宋体" w:hAnsi="宋体" w:eastAsia="宋体" w:cs="宋体"/>
                <w:i w:val="0"/>
                <w:iCs w:val="0"/>
                <w:color w:val="000000"/>
                <w:sz w:val="22"/>
                <w:szCs w:val="22"/>
                <w:u w:val="none"/>
              </w:rPr>
            </w:pPr>
          </w:p>
        </w:tc>
      </w:tr>
      <w:tr w14:paraId="00BAD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06C87814">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3EC4E2A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7D6DEAEC">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对经营公司未按相关规定办理劳务人员出国手续的处罚</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23B362B8">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17A83357">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03575F51">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2151852C">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【部门规章】《办理劳务人员出国手续的办法》（2002年对外经贸部、外交部、公安部2002第2号令）</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第十七条　经营公司违反本办法的，由地方外经贸主管部门给予警告处罚，有违法所得的，处以人民币30000元以下罚款；无违法所得的，处以人民币10000元以下罚款。构成犯罪的，依法追究刑事责任。</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1911577A">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30DDF14E">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472ACDC0">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1DB7CCF4">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0B977A8C">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682033A1">
            <w:pPr>
              <w:jc w:val="both"/>
              <w:rPr>
                <w:rFonts w:hint="eastAsia" w:ascii="宋体" w:hAnsi="宋体" w:eastAsia="宋体" w:cs="宋体"/>
                <w:i w:val="0"/>
                <w:iCs w:val="0"/>
                <w:color w:val="000000"/>
                <w:sz w:val="22"/>
                <w:szCs w:val="22"/>
                <w:u w:val="none"/>
              </w:rPr>
            </w:pPr>
          </w:p>
        </w:tc>
      </w:tr>
      <w:tr w14:paraId="4D07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1674FBBF">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33</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4F0D6A94">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5941C6DE">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对对外劳务合作企业未按规定安排劳务人员相关行为的处罚</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536BECCD">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4472721C">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766C89FB">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67F0D514">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【行政法规】《对外劳务合作管理条例》（2012年国务院令第620号）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　国务院商务主管部门负责全国的对外劳务合作监督管理工作。国务院外交、公安、人力资源社会保障、交通运输、住房城乡建设、渔业、工商行政管理等有关部门在各自职责范围内，负责对外劳务合作监督管理的相关工作。县级以上地方人民政府统一领导、组织、协调本行政区域的对外劳务合作监督管理工作。县级以上地方人民政府商务主管部门负责本行政区域的对外劳务合作监督管理工作，其他有关部门在各自职责范围内负责对外劳务合作监督管理的相关工作。</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第四十二条 ：对外劳务合作企业有下列情形之一的，由商务主管部门责令改正；拒不改正的，处5万元以上10万元以下的罚款，并对其主要负责人处1万元以上3万元以下的罚款：（一）未安排劳务人员接受培训，组织劳务人员赴国外工作；（二）未依照本条例规定为劳务人员购买在国外工作期间的人身意外伤害保险；（三）未依照本条例规定安排随行管理人员。</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43E83F9B">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19932A68">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220111D4">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7C76DB28">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3DD3DDFE">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4C911110">
            <w:pPr>
              <w:jc w:val="both"/>
              <w:rPr>
                <w:rFonts w:hint="eastAsia" w:ascii="宋体" w:hAnsi="宋体" w:eastAsia="宋体" w:cs="宋体"/>
                <w:i w:val="0"/>
                <w:iCs w:val="0"/>
                <w:color w:val="000000"/>
                <w:sz w:val="22"/>
                <w:szCs w:val="22"/>
                <w:u w:val="none"/>
              </w:rPr>
            </w:pPr>
          </w:p>
        </w:tc>
      </w:tr>
      <w:tr w14:paraId="7E04B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5"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4748D408">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416" w:type="dxa"/>
            <w:tcBorders>
              <w:top w:val="single" w:color="000000" w:sz="4" w:space="0"/>
              <w:left w:val="single" w:color="000000" w:sz="4" w:space="0"/>
              <w:bottom w:val="nil"/>
              <w:right w:val="single" w:color="000000" w:sz="4" w:space="0"/>
            </w:tcBorders>
            <w:shd w:val="clear" w:color="auto" w:fill="auto"/>
            <w:vAlign w:val="top"/>
          </w:tcPr>
          <w:p w14:paraId="553650CD">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highlight w:val="none"/>
                <w:u w:val="none"/>
                <w:lang w:val="en-US" w:eastAsia="zh-CN" w:bidi="ar"/>
              </w:rPr>
              <w:t>行政处罚</w:t>
            </w:r>
          </w:p>
        </w:tc>
        <w:tc>
          <w:tcPr>
            <w:tcW w:w="616" w:type="dxa"/>
            <w:tcBorders>
              <w:top w:val="single" w:color="000000" w:sz="4" w:space="0"/>
              <w:left w:val="single" w:color="000000" w:sz="4" w:space="0"/>
              <w:bottom w:val="nil"/>
              <w:right w:val="single" w:color="000000" w:sz="4" w:space="0"/>
            </w:tcBorders>
            <w:shd w:val="clear" w:color="auto" w:fill="auto"/>
            <w:vAlign w:val="top"/>
          </w:tcPr>
          <w:p w14:paraId="48898F1A">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highlight w:val="none"/>
                <w:u w:val="none"/>
                <w:lang w:val="en-US" w:eastAsia="zh-CN" w:bidi="ar"/>
              </w:rPr>
              <w:t>对对外劳务合作企业未按规定执行备案手续和未制定突发事件应急预案相关行为的处罚</w:t>
            </w:r>
          </w:p>
        </w:tc>
        <w:tc>
          <w:tcPr>
            <w:tcW w:w="416" w:type="dxa"/>
            <w:tcBorders>
              <w:top w:val="single" w:color="000000" w:sz="4" w:space="0"/>
              <w:left w:val="single" w:color="000000" w:sz="4" w:space="0"/>
              <w:bottom w:val="nil"/>
              <w:right w:val="single" w:color="000000" w:sz="4" w:space="0"/>
            </w:tcBorders>
            <w:shd w:val="clear" w:color="auto" w:fill="auto"/>
            <w:vAlign w:val="top"/>
          </w:tcPr>
          <w:p w14:paraId="295EEDB7">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nil"/>
              <w:right w:val="single" w:color="000000" w:sz="4" w:space="0"/>
            </w:tcBorders>
            <w:shd w:val="clear" w:color="auto" w:fill="auto"/>
            <w:vAlign w:val="top"/>
          </w:tcPr>
          <w:p w14:paraId="34A9AC1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县科技工贸和信息化局</w:t>
            </w:r>
          </w:p>
        </w:tc>
        <w:tc>
          <w:tcPr>
            <w:tcW w:w="916" w:type="dxa"/>
            <w:tcBorders>
              <w:top w:val="single" w:color="000000" w:sz="4" w:space="0"/>
              <w:left w:val="single" w:color="000000" w:sz="4" w:space="0"/>
              <w:bottom w:val="nil"/>
              <w:right w:val="nil"/>
            </w:tcBorders>
            <w:shd w:val="clear" w:color="auto" w:fill="auto"/>
            <w:vAlign w:val="top"/>
          </w:tcPr>
          <w:p w14:paraId="10E76E4D">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lang w:eastAsia="zh-CN"/>
              </w:rPr>
            </w:pPr>
            <w:r>
              <w:rPr>
                <w:rFonts w:hint="eastAsia" w:ascii="仿宋_GB2312" w:hAnsi="宋体" w:eastAsia="仿宋_GB2312" w:cs="仿宋_GB2312"/>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581FBED8">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【行政法规】《对外劳务合作管理条例》（2012年国务院令第620号）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　国务院商务主管部门负责全国的对外劳务合作监督管理工作。国务院外交、公安、人力资源社会保障、交通运输、住房城乡建设、渔业、工商行政管理等有关部门在各自职责范围内，负责对外劳务合作监督管理的相关工作。县级以上地方人民政府统一领导、组织、协调本行政区域的对外劳务合作监督管理工作。县级以上地方人民政府商务主管部门负责本行政区域的对外劳务合作监督管理工作，其他有关部门在各自职责范围内负责对外劳务合作监督管理的相关工作。</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 第四十五条　对外劳务合作企业有下列情形之一的，由商务主管部门责令改正；拒不改正的，处1万元以上2万元以下的罚款，并对其主要负责人处2000元以上5000元以下的罚款：（一）未将服务合同或者劳动合同、劳务合作合同副本以及劳务人员名单报商务主管部门备案；（二）组织劳务人员出境后，未将有关情况向中国驻用工项目所在国使馆、领馆报告，或者未依照本条例规定将随行管理人员名单报负责审批的商务主管部门备案；（三）未制定突发事件应急预案；（四）停止开展对外劳务合作，未将其对劳务人员的安排方案报商务主管部门备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对外劳务合作企业拒不将服务合同或者劳动合同、劳务合作合同副本报商务主管部门备案，且合同未载明本条例规定的必备事项，或者在合同备案后拒不按照商务主管部门的要求补正合同必备事项的，依照本条例第四十三条的规定处罚。</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39D749E4">
            <w:pPr>
              <w:keepNext w:val="0"/>
              <w:keepLines w:val="0"/>
              <w:widowControl/>
              <w:suppressLineNumbers w:val="0"/>
              <w:jc w:val="both"/>
              <w:textAlignment w:val="top"/>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06B37766">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661CA0FD">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77B2587B">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7AE85DF0">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21773FC5">
            <w:pPr>
              <w:jc w:val="both"/>
              <w:rPr>
                <w:rFonts w:hint="eastAsia" w:ascii="宋体" w:hAnsi="宋体" w:eastAsia="宋体" w:cs="宋体"/>
                <w:i w:val="0"/>
                <w:iCs w:val="0"/>
                <w:color w:val="000000"/>
                <w:sz w:val="22"/>
                <w:szCs w:val="22"/>
                <w:u w:val="none"/>
              </w:rPr>
            </w:pPr>
          </w:p>
        </w:tc>
      </w:tr>
      <w:tr w14:paraId="4DBB8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386E7690">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35</w:t>
            </w:r>
          </w:p>
        </w:tc>
        <w:tc>
          <w:tcPr>
            <w:tcW w:w="416" w:type="dxa"/>
            <w:tcBorders>
              <w:top w:val="single" w:color="000000" w:sz="4" w:space="0"/>
              <w:left w:val="single" w:color="000000" w:sz="4" w:space="0"/>
              <w:bottom w:val="nil"/>
              <w:right w:val="single" w:color="000000" w:sz="4" w:space="0"/>
            </w:tcBorders>
            <w:shd w:val="clear" w:color="auto" w:fill="auto"/>
            <w:vAlign w:val="top"/>
          </w:tcPr>
          <w:p w14:paraId="25C41573">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01940852">
            <w:pPr>
              <w:keepNext w:val="0"/>
              <w:keepLines w:val="0"/>
              <w:widowControl/>
              <w:suppressLineNumbers w:val="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对违反商品现货市场交易相关规定行为的处罚</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508D9943">
            <w:pPr>
              <w:jc w:val="both"/>
              <w:rPr>
                <w:rFonts w:hint="default" w:ascii="Times New Roman" w:hAnsi="Times New Roman" w:eastAsia="宋体" w:cs="Times New Roman"/>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3F0BAA0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7C3F847E">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5E778081">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【部门规章】《商品现货市场交易特别规定（试行）》（2013年商务部、中国人民银行、中国证券监督管理委员会令2013第3号）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一条市场经营者应当履行下列职责：（一）提供交易的场所、设施及相关服务；（二）按照本规定确定的交易方式和交易对象，建立健全交易、交收、结算、仓储、信息发布、风险控制、市场管理等业务规则与各项规章制度；（三）法律法规规定的其他职责。</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第十二条市场经营者应当公开业务规则和规章制度。制定、修改和变更业务规则和规章制度，应当在合理时间内提前公示。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第十三条商品现货市场应当制定应急预案。出现异常情况时，应当及时采取有效措施，防止出现市场风险。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第十四条市场经营者应当采取合同约束、系统控制、强化内部管理等措施，加强资金管理力度。市场经营者不得以任何形式侵占或挪用交易者的资金。</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第十七条市场经营者应当建立完善商品信息发布制度，公布交易商品的名称、数量、质量、规格、产地等相关信息，保证信息的真实、准确，不得发布虚假信息。</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第十八条采用现代信息化技术开展交易活动的，市场经营者应当实时记录商品仓储、交易、交收、结算、支付等相关信息，采取措施保证相关信息的完整和安全，并保存五年以上。</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第十九条市场经营者不得擅自篡改、销毁相关信息和资料。</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第二十一条市场经营者应当根据相关部门的要求报送有关经营信息与资料。</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三条市场经营者违反第十一条、第十二条、第十三条、第十四条、第十七条、第十八条、第十九条、第二十一条规定，由县级以上商务主管部门会同有关部门责令改正。逾期不改的，处一万元以上三万元以下罚款。</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310ED96D">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1、立案阶段责任：发现涉嫌违法行为，应及时制止（对正在实施的违法行为，下达《责令停止违法行为通知书》），并予以审查，决定是否立案。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2、调查阶段责任：对立案的案件，指定专人负责，及时组织调查取证，与当事人有直接利害关系的应当回避。执法人员不得少于两人，调查时应出示执法证件，允许当事人辩解陈述。执法人员应保守有关秘密。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3、审查阶段责任：审理案件调查报告，对案件违法事实、证据、调查取证程序、法律适用、处罚种类和幅度、当事人陈述和申辩理由等方面进行审查，提出处理意见。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4、告知阶段责任：作出行政处罚决定前，告知违法事实及其享有的陈述、申辩等权利。符合听证规定的，告知当事人有要求举行听证的权利。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5、决定阶段责任：制作行政处罚决定书，载明行政处罚告知、当事人陈述申辩或者听证情况等内容。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6、送达阶段责任：行政处罚决定书按法律规定的方式送达当事人。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7、执行阶段责任：依照生效的行政处罚决定，监督当事人履行。当事人逾期不履行的，可依法采取加处罚款、申请法院强制执行等措施。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8、其他法律法规规章规定应履行的责任。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757C2FED">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1.【地方政府规章】《广西壮族自治区行政执法程序规定》（1997年广西壮族自治区人民政府令第13号）第二十八条行政执法机关对违法事项经过审查，认为有违法事实，依法需要给予行政处罚的，应当登记立案。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2.【法律】《中华人民共和国行政处罚法》第五十四条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符合立案标准的，行政机关应当及时立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3.【法律】《中华人民共和国行政处罚法》第四十条　公民、法人或者其他组织违反行政管理秩序的行为，依法应当给予行政处罚的，行政机关必须查明事实；违法事实不清、证据不足的，不得给予行政处罚。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4-1.【法律】《中华人民共和国行政处罚法》第六十二条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4-2.【法律】同上第六十三条　行政机关拟作出下列行政处罚决定，应当告知当事人有要求听证的权利，当事人要求听证的，行政机关应当组织听证：（一）较大数额罚款；（二）没收较大数额违法所得、没收较大价值非法财物；（三）降低资质等级、吊销许可证件；（四）责令停产停业、责令关闭、限制从业；（五）其他较重的行政处罚；（六）法律、法规、规章规定的其他情形。当事人不承担行政机关组织听证的费用。</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六十四条听证应当依照以下程序组织：（一）当事人要求听证的，应当在行政机关告知后五日内提出；（二）行政机关应当在举行听证的七日前，通知当事人及有关人员听证的时间、地点；（三）除涉及国家秘密、商业秘密或者个人隐私依法予以保密外，听证公开举行；（四）听证由行政机关指定的非本案调查人员主持；当事人认为主持人与本案有直接利害关系的，有权申请回避；（五）当事人可以亲自参加听证，也可以委托一至二人代理；（六）当事人及其代理人无正当理由拒不出席听证或者未经许可中途退出听证的，视为放弃听证权利，行政机关终止听证；（七）举行听证时，调查人员提出当事人违法的事实、证据和行政处罚建议，当事人进行申辩和质证；（八）听证应当制作笔录。笔录应当交当事人或者其代理人核对无误后签字或者盖章。当事人或者其代理人拒绝签字或者盖章的，由听证主持人在笔录中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5.【法律】《中华人民共和国行政处罚法》第五十九条行政机关依照本法第五十七条的规定给予行政处罚，应当制作行政处罚决定书。</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六十一条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七十二条当事人逾期不履行行政处罚决定的，作出行政处罚决定的行政机关可以采取下列措施：（一）到期不缴纳罚款的，每日按罚款数额的百分之三加处罚款，加处罚款的数额不得超出罚款的数额；（二）根据法律规定，将查封、扣押的财物拍卖、依法处理或者将冻结的存款、汇款划拨抵缴罚款；（三）根据法律规定，采取其他行政强制执行方式；（四）依照《中华人民共和国行政强制法》的规定申请人民法院强制执行。行政机关批准延期、分期缴纳罚款的，申请人民法院强制执行的期限，自暂缓或者分期缴纳罚款期限结束之日起计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5BFA6C8A">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因不履行或不正确履行行政职责，有下列情形的，行政机关及相关工作人员应承担相应的责任：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1.不具备行政处罚主体资格（机关纪委）；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2.没有事实和法律依据（机关纪委）；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3.擅自改变处罚种类、幅度（机关纪委）；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4.违反法定程序（机关纪委）；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5.违法处理罚没财物（机关纪委）；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6.涉嫌犯罪，不移交司法机关（机关纪委）；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7.对违法行为应当处罚不处罚或者乱处罚（机关纪委）；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8.除以上追责情形外，其他违反法律法规规章的行为依法追究相应责任。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7DE455D1">
            <w:pPr>
              <w:keepNext w:val="0"/>
              <w:keepLines w:val="0"/>
              <w:widowControl/>
              <w:suppressLineNumbers w:val="0"/>
              <w:jc w:val="both"/>
              <w:textAlignment w:val="top"/>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1.【法律】《中华人民共和国行政处罚法》第七十六条 行政机关实施行政处罚，有下列情形之一，由上级行政机关或者有关机关责令改正，对直接负责的主管人员和其他直接责任人员依法给予处分：（一）没有法定的行政处罚依据的；（二）擅自改变行政处罚种类、幅度的；（三）违反法定的行政处罚程序的；（四）违反本法第二十条关于委托处罚的规定的；（五）执法人员未取得执法证件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行政机关对符合立案标准的案件不及时立案的，依照前款规定予以处理。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5.【法律】《中华人民共和国行政处罚法》第七十九条 行政机关截留、私分或者变相私分罚款、没收的违法所得或者财物的，由财政部门或者有关机关予以追缴，对直接负责的主管人员和其他直接责任人员依法给予处分；情节严重构成犯罪的，依法追究刑事责任。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6.【法律】《中华人民共和国行政处罚法》第八十二条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7.【法律】《中华人民共和国行政处罚法》第八十一条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568447D3">
            <w:pPr>
              <w:jc w:val="both"/>
              <w:rPr>
                <w:rFonts w:hint="default" w:ascii="Times New Roman" w:hAnsi="Times New Roman" w:eastAsia="宋体" w:cs="Times New Roman"/>
                <w:i w:val="0"/>
                <w:iCs w:val="0"/>
                <w:color w:val="000000"/>
                <w:sz w:val="20"/>
                <w:szCs w:val="20"/>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4F218567">
            <w:pPr>
              <w:jc w:val="both"/>
              <w:rPr>
                <w:rFonts w:hint="eastAsia" w:ascii="宋体" w:hAnsi="宋体" w:eastAsia="宋体" w:cs="宋体"/>
                <w:i w:val="0"/>
                <w:iCs w:val="0"/>
                <w:color w:val="000000"/>
                <w:sz w:val="22"/>
                <w:szCs w:val="22"/>
                <w:u w:val="none"/>
              </w:rPr>
            </w:pPr>
          </w:p>
        </w:tc>
      </w:tr>
      <w:tr w14:paraId="08620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2802E888">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36</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73D55EC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行政强制</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7B869DC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扣押易制毒化学品进出口相关证据材料、违法物品和查封有关场所</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5E886653">
            <w:pPr>
              <w:jc w:val="both"/>
              <w:rPr>
                <w:rFonts w:hint="eastAsia" w:ascii="宋体" w:hAnsi="宋体" w:eastAsia="宋体" w:cs="宋体"/>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100A902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54944FBC">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348EDCB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1.【行政法规】《易制毒化学品管理条例》（2005年国务院令第445号发布,2018年国务院令第703号修订）</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二条县级以上人民政府公安机关、食品药品监督管理部门、安全生产监督管理部门、商务主管部门、卫生主管部门、价格主管部门、铁路主管部门、交通主管部门、工商行政管理部门、环境保护主管部门和海关，应当依照本条例和有关法律、行政法规的规定，在各自的职责范围内，加强对易制毒化学品生产、经营、购买、运输、价格以及进口、出口的监督检查；对非法生产、经营、购买、运输易制毒化学品，或者走私易制毒化学品的行为，依法予以查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前款规定的行政主管部门在进行易制毒化学品监督检查时，可以依法查看现场、查阅和复制有关资料、记录有关情况、扣押相关的证据材料和违法物品；必要时，可以临时查封有关场所。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2.【部门规章】《易制毒化学品进出口管理规定》（2006年商务部令2006年第7号, 2015年商务部令2015年第2号修订）</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 县级以上商务主管部门负责本地区易制毒化学品进出口监督检查工作。第四十一条 县级以上商务主管部门应当按照本规定和其他有关法律、法规规定，严格履行对本地区易制毒化学品进出口的监督检查职责，依法查处违法行为。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第四十二条 县级以上商务主管部门对经营者进行监督检查时，可以依法查看现场、查阅和复制有关资料、记录有关情况、扣押相关的证据材料和物品；必要时，可以临时查封有关场所。</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464A3C2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1.取得批准责任：向行政机关负责人报告，由2名以上执法人员执行。</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2.告知责任：执法人员通知当事人到场且出示行政执法证件，当场告知当事人采取行政强制措施的理由、依据以及当事人依法享有的权利、救济途径，听取当事人的陈述和申辩。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3.决定阶段责任：做出行政强制决定。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4.执行阶段责任：执行并交付查封、扣押决定书和清单。</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5.其他法律法规规章文件应履行的责任。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4609ADE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【法律】《中华人民共和国行政强制法》（第十一届全国人民代表大会常务委员会第二十一次会议于2011年6月30日通过，自2012年1月1日起施行）</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第十八条行政机关实施行政强制措施应当遵守下列规定：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（一）实施前须向行政机关负责人报告并经批准；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（二）由两名以上行政执法人员实施；</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（三）出示执法身份证件；</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（四）通知当事人到场；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（五）当场告知当事人采取行政强制措施的理由、依据以及当事人依法享有的权利、救济途径；</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（六）听取当事人的陈述和申辩；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（七）制作现场笔录；</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（八）现场笔录由当事人和行政执法人员签名或者盖章，当事人拒绝的，在笔录中予以注明；</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（九）当事人不到场的，邀请见证人到场，由见证人和行政执法人员在现场笔录上签名或者盖章；</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（十）法律、法规规定的其他程序。</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查封、扣押决定书应当载明下列事项：</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（一）当事人的姓名或者名称、地址；</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（二）查封、扣押的理由、依据和期限；</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（三）查封、扣押场所、设施或者财物的名称、数量等；</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（四）申请行政复议或者提起行政诉讼的途径和期限；</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（五）行政机关的名称、印章和日期。</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查封、扣押清单一式二份，由当事人和行政机关分别保存。</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7273432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1.对符合条件的申请不予办理或不在法定期限内办理（机关纪委）；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2.对不符合条件的予以办理的（机关纪委）；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3.未严格审查申报材料或弄虚作假审批、有失职行为的（机关纪委）；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4.不按照法定条件或者违反法定程序审核，以及乱收费用，情节严重的（机关纪委）；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5.在审核过程中徇私舞弊、滥用职权、玩忽职守的（机关纪委）；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6.利用职务上的便利，索取他人财物，为他人谋取利益的（机关纪委）；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7593000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 xml:space="preserve">1.【法律】《中华人民共和国公务员法》第一百零八条：公务员主管部门的工作人员，违反本法规定，滥用职权、玩忽职守、徇私舞弊，构成犯罪的，依法追究刑事责任；尚不构成犯罪的，给予处分或者由监察机关依法给予政务处分。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6.同1。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0F3D3310">
            <w:pPr>
              <w:jc w:val="both"/>
              <w:rPr>
                <w:rFonts w:hint="eastAsia" w:ascii="宋体" w:hAnsi="宋体" w:eastAsia="宋体" w:cs="宋体"/>
                <w:i w:val="0"/>
                <w:iCs w:val="0"/>
                <w:color w:val="000000"/>
                <w:sz w:val="22"/>
                <w:szCs w:val="22"/>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65310FB3">
            <w:pPr>
              <w:jc w:val="both"/>
              <w:rPr>
                <w:rFonts w:hint="eastAsia" w:ascii="宋体" w:hAnsi="宋体" w:eastAsia="宋体" w:cs="宋体"/>
                <w:i w:val="0"/>
                <w:iCs w:val="0"/>
                <w:color w:val="000000"/>
                <w:sz w:val="22"/>
                <w:szCs w:val="22"/>
                <w:u w:val="none"/>
              </w:rPr>
            </w:pPr>
          </w:p>
        </w:tc>
      </w:tr>
      <w:tr w14:paraId="4A4D1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1E76DF17">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37</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559934E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行政检查</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6F2BD0A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发卡企业和售卡企业单用途卡业务活动、内部控制和风险状况等监督检查</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6821204">
            <w:pPr>
              <w:jc w:val="both"/>
              <w:rPr>
                <w:rFonts w:hint="eastAsia" w:ascii="宋体" w:hAnsi="宋体" w:eastAsia="宋体" w:cs="宋体"/>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53B583E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1D7F5677">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7715E87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【部门规章】《单用途商业预付卡管理办法（试行）》（2012年商务部令2012年第9号,2016年商务部令2016年第2号修正）</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第三十三条 商务部和地方人民政府商务主管部门应对发卡企业和售卡企业的单用途卡业务活动、内部控制和风险状况等进行定期或不定期的现场及非现场检查。发卡企业和售卡企业应配合商务主管部门的检查。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第三十四条 商务部应建立健全“单用途商业预付卡业务信息系统”。地方人民政府商务主管部门应充分运用信息化手段加强对发卡企业的监督管理。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第三十五条 商务部和地方人民政府商务主管部门应通过12313商务举报投诉服务平台接受与本办法有关的举报和投诉。</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35FA070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1.选案阶段责任：根据举报或上级安排以及日常管理中发现的问题确定进行检查.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检查阶段责任：检查应按有关程序进行，指定专人负责，及时组织调查取证，与当事人有直接利害关系的应当回避.检查人员不得少于两人，调查时应出示执法证件，允许当事人辩解陈述.检查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3.审查环节责任：对违法事实、证据资料、调查程序、法律适用、当事人陈述理由等进行审查，提出初步处理意见.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4、告知环节责任：对违法事实、处理依据、处理意见告知，听取当事人陈述申辩.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5、决定环节责任：根据违法事实以及当事人陈述意见作出处理决定，重大案件应组织集体审议.</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217992F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1-1.【部门规章】《单用途商业预付卡管理办法（试行）》（2012年商务部令2012年第9号,2016年商务部令2016年第2号修正）</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第三十三条 商务部和地方人民政府商务主管部门应对发卡企业和售卡企业的单用途卡业务活动、内部控制和风险状况等进行定期或不定期的现场及非现场检查。发卡企业和售卡企业应配合商务主管部门的检查。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1-2.商务部应建立健全“单用途商业预付卡业务信息系统”。地方人民政府商务主管部门应充分运用信息化手段加强对发卡企业的监督管理。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2.参照《中华人民共和国行政许可法》第三十四条：“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3.参照《中华人民共和国行政处罚法》第四十条“行政处罚决定书应当在宣告后当场交付当事人；当事人不在场的，行政机关应当在七日内依照民事诉讼法的有关规定，将行政处罚决定书送达当事人.”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4.同3.</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5.同3.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3F63D8C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1.在监督检查中玩忽职守、徇私舞弊的（机关纪委）；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2.在监督检查中滥用职权，谋取不正当利益和发生腐败行为的（机关纪委）；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355E560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 xml:space="preserve">1.【法律】《中华人民共和国公务员法》第一百零八条：公务员主管部门的工作人员，违反本法规定，滥用职权、玩忽职守、徇私舞弊，构成犯罪的，依法追究刑事责任；尚不构成犯罪的，给予处分或者由监察机关依法给予政务处分。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2E3C70A1">
            <w:pPr>
              <w:jc w:val="both"/>
              <w:rPr>
                <w:rFonts w:hint="eastAsia" w:ascii="宋体" w:hAnsi="宋体" w:eastAsia="宋体" w:cs="宋体"/>
                <w:i w:val="0"/>
                <w:iCs w:val="0"/>
                <w:color w:val="000000"/>
                <w:sz w:val="22"/>
                <w:szCs w:val="22"/>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6798C484">
            <w:pPr>
              <w:jc w:val="both"/>
              <w:rPr>
                <w:rFonts w:hint="eastAsia" w:ascii="宋体" w:hAnsi="宋体" w:eastAsia="宋体" w:cs="宋体"/>
                <w:i w:val="0"/>
                <w:iCs w:val="0"/>
                <w:color w:val="000000"/>
                <w:sz w:val="22"/>
                <w:szCs w:val="22"/>
                <w:u w:val="none"/>
              </w:rPr>
            </w:pPr>
          </w:p>
        </w:tc>
      </w:tr>
      <w:tr w14:paraId="1F34C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29E28008">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38</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4205236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行政检查</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4FF15C0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报废机动车回收企业监督检查</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9342C94">
            <w:pPr>
              <w:jc w:val="both"/>
              <w:rPr>
                <w:rFonts w:hint="eastAsia" w:ascii="宋体" w:hAnsi="宋体" w:eastAsia="宋体" w:cs="宋体"/>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56889D6B">
            <w:pPr>
              <w:keepNext w:val="0"/>
              <w:keepLines w:val="0"/>
              <w:widowControl/>
              <w:suppressLineNumbers w:val="0"/>
              <w:jc w:val="both"/>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县科技工贸和信息化局</w:t>
            </w:r>
          </w:p>
        </w:tc>
        <w:tc>
          <w:tcPr>
            <w:tcW w:w="916" w:type="dxa"/>
            <w:tcBorders>
              <w:top w:val="single" w:color="000000" w:sz="4" w:space="0"/>
              <w:left w:val="single" w:color="000000" w:sz="4" w:space="0"/>
              <w:bottom w:val="single" w:color="000000" w:sz="4" w:space="0"/>
              <w:right w:val="nil"/>
            </w:tcBorders>
            <w:shd w:val="clear" w:color="auto" w:fill="auto"/>
            <w:vAlign w:val="top"/>
          </w:tcPr>
          <w:p w14:paraId="654424CE">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31F568D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【行政法规】《报废机动车回收管理办法》（2019国务院令第715号）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第十六条　县级以上地方人民政府负责报废机动车回收管理的部门应当加强对报废机动车回收企业的监督检查，建立和完善以随机抽查为重点的日常监督检查制度，公布抽查事项目录，明确抽查的依据、频次、方式、内容和程序，随机抽取被检查企业，随机选派检查人员。抽查情况和查处结果应当及时向社会公布。</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在监督检查中发现报废机动车回收企业不具备本办法规定的资质认定条件的，应当责令限期改正；拒不改正或者逾期未改正的，由原发证部门吊销资质认定书。</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216DF27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1.选案阶段责任：根据举报或上级安排以及日常管理中发现的问题确定进行检查.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检查阶段责任：检查应按有关程序进行，指定专人负责，及时组织调查取证，与当事人有直接利害关系的应当回避.检查人员不得少于两人，调查时应出示执法证件，允许当事人辩解陈述.检查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3.审查环节责任：对违法事实、证据资料、调查程序、法律适用、当事人陈述理由等进行审查，提出初步处理意见.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4、告知环节责任：对违法事实、处理依据、处理意见告知，听取当事人陈述申辩.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5、决定环节责任：根据违法事实以及当事人陈述意见作出处理决定，重大案件应组织集体审议.</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41244C1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1.【行政法规】《报废机动车回收管理办法》（2019年5月6日 国务院令第715号）第十六条　县级以上地方人民政府负责报废机动车回收管理的部门应当加强对报废机动车回收企业的监督检查，建立和完善以随机抽查为重点的日常监督检查制度，公布抽查事项目录，明确抽查的依据、频次、方式、内容和程序，随机抽取被检查企业，随机选派检查人员。抽查情况和查处结果应当及时向社会公布。</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2.参照《中华人民共和国行政许可法》第三十四条：“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3.参照《中华人民共和国行政处罚法》第四十条“行政处罚决定书应当在宣告后当场交付当事人；当事人不在场的，行政机关应当在七日内依照民事诉讼法的有关规定，将行政处罚决定书送达当事人.”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4.同3.</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5.同3.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3E0658C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1.在监督检查中玩忽职守、徇私舞弊的（机关纪委）；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2.在监督检查中滥用职权，谋取不正当利益和发生腐败行为的（机关纪委）；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0DB1154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 xml:space="preserve">1.【法律】《中华人民共和国公务员法》第一百零八条：公务员主管部门的工作人员，违反本法规定，滥用职权、玩忽职守、徇私舞弊，构成犯罪的，依法追究刑事责任；尚不构成犯罪的，给予处分或者由监察机关依法给予政务处分。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106B4C08">
            <w:pPr>
              <w:jc w:val="both"/>
              <w:rPr>
                <w:rFonts w:hint="eastAsia" w:ascii="宋体" w:hAnsi="宋体" w:eastAsia="宋体" w:cs="宋体"/>
                <w:i w:val="0"/>
                <w:iCs w:val="0"/>
                <w:color w:val="000000"/>
                <w:sz w:val="22"/>
                <w:szCs w:val="22"/>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5C433C1A">
            <w:pPr>
              <w:jc w:val="both"/>
              <w:rPr>
                <w:rFonts w:hint="eastAsia" w:ascii="宋体" w:hAnsi="宋体" w:eastAsia="宋体" w:cs="宋体"/>
                <w:i w:val="0"/>
                <w:iCs w:val="0"/>
                <w:color w:val="000000"/>
                <w:sz w:val="22"/>
                <w:szCs w:val="22"/>
                <w:u w:val="none"/>
              </w:rPr>
            </w:pPr>
          </w:p>
        </w:tc>
      </w:tr>
      <w:tr w14:paraId="20030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42CAAE96">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39</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779A667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行政检查</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3DB1CDA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对外劳务合作监督检查</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33E1941F">
            <w:pPr>
              <w:jc w:val="both"/>
              <w:rPr>
                <w:rFonts w:hint="eastAsia" w:ascii="宋体" w:hAnsi="宋体" w:eastAsia="宋体" w:cs="宋体"/>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181EBCC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top"/>
          </w:tcPr>
          <w:p w14:paraId="4D1E9B56">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529ACA1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【行政法规】《对外劳务合作管理条例》（2012年国务院令第620号）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第四条县级以上地方人民政府商务主管部门负责本行政区域的对外劳务合作监督管理工作，其他有关部门在各自职责范围内负责对外劳务合作监督管理的相关工作。</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00DB7B2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1.选案阶段责任：根据举报或上级安排以及日常管理中发现的问题确定进行检查.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检查阶段责任：检查应按有关程序进行，指定专人负责，及时组织调查取证，与当事人有直接利害关系的应当回避.检查人员不得少于两人，调查时应出示执法证件，允许当事人辩解陈述.检查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3.审查环节责任：对违法事实、证据资料、调查程序、法律适用、当事人陈述理由等进行审查，提出初步处理意见.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4、告知环节责任：对违法事实、处理依据、处理意见告知，听取当事人陈述申辩.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5、决定环节责任：根据违法事实以及当事人陈述意见作出处理决定，重大案件应组织集体审议.</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5208FA1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行政法规】《对外劳务合作管理条例》（2012年国务院令第620号）第四条县级以上地方人民政府商务主管部门负责本行政区域的对外劳务合作监督管理工作，其他有关部门在各自职责范围内负责对外劳务合作监督管理的相关工作。</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2.参照《中华人民共和国行政许可法》第三十四条：“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3.参照《中华人民共和国行政处罚法》第四十条“行政处罚决定书应当在宣告后当场交付当事人；当事人不在场的，行政机关应当在七日内依照民事诉讼法的有关规定，将行政处罚决定书送达当事人.”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4.同3.</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5.同3.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3D9349D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1.在监督检查中玩忽职守、徇私舞弊的（机关纪委）；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2.在监督检查中滥用职权，谋取不正当利益和发生腐败行为的（机关纪委）；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68EE7D4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 xml:space="preserve">1.【法律】《中华人民共和国公务员法》第一百零八条：公务员主管部门的工作人员，违反本法规定，滥用职权、玩忽职守、徇私舞弊，构成犯罪的，依法追究刑事责任；尚不构成犯罪的，给予处分或者由监察机关依法给予政务处分。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54DA23FC">
            <w:pPr>
              <w:jc w:val="both"/>
              <w:rPr>
                <w:rFonts w:hint="eastAsia" w:ascii="宋体" w:hAnsi="宋体" w:eastAsia="宋体" w:cs="宋体"/>
                <w:i w:val="0"/>
                <w:iCs w:val="0"/>
                <w:color w:val="000000"/>
                <w:sz w:val="22"/>
                <w:szCs w:val="22"/>
                <w:u w:val="none"/>
              </w:rPr>
            </w:pPr>
          </w:p>
        </w:tc>
        <w:tc>
          <w:tcPr>
            <w:tcW w:w="585" w:type="dxa"/>
            <w:tcBorders>
              <w:top w:val="nil"/>
              <w:left w:val="nil"/>
              <w:bottom w:val="nil"/>
              <w:right w:val="nil"/>
            </w:tcBorders>
            <w:shd w:val="clear" w:color="auto" w:fill="auto"/>
            <w:noWrap/>
            <w:vAlign w:val="top"/>
          </w:tcPr>
          <w:p w14:paraId="770E02A6">
            <w:pPr>
              <w:jc w:val="both"/>
              <w:rPr>
                <w:rFonts w:hint="eastAsia" w:ascii="宋体" w:hAnsi="宋体" w:eastAsia="宋体" w:cs="宋体"/>
                <w:i w:val="0"/>
                <w:iCs w:val="0"/>
                <w:color w:val="000000"/>
                <w:sz w:val="22"/>
                <w:szCs w:val="22"/>
                <w:u w:val="none"/>
              </w:rPr>
            </w:pPr>
          </w:p>
        </w:tc>
      </w:tr>
      <w:tr w14:paraId="5D645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6F06AD05">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3FCCEA5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行政检查</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1557848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对餐饮行业开展反食品浪费相关行为的监督检查</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7819F11A">
            <w:pPr>
              <w:jc w:val="both"/>
              <w:rPr>
                <w:rFonts w:hint="eastAsia" w:ascii="宋体" w:hAnsi="宋体" w:eastAsia="宋体" w:cs="宋体"/>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5054569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top"/>
          </w:tcPr>
          <w:p w14:paraId="03164275">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1B2E327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【部门规章】《餐饮业经营管理办法（试行）》（2014年商务部、国家发展和改革委员会令2014年第4号发布）</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第十八条县级以上地方商务主管部门应当定期对餐饮行业开展反食品浪费相关行为进行监督检查，并给予相应奖励或处罚。</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5681FB6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1.选案阶段责任：根据举报或上级安排以及日常管理中发现的问题确定进行检查.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检查阶段责任：检查应按有关程序进行，指定专人负责，及时组织调查取证，与当事人有直接利害关系的应当回避.检查人员不得少于两人，调查时应出示执法证件，允许当事人辩解陈述.检查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3.审查环节责任：对违法事实、证据资料、调查程序、法律适用、当事人陈述理由等进行审查，提出初步处理意见.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4、告知环节责任：对违法事实、处理依据、处理意见告知，听取当事人陈述申辩.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5、决定环节责任：根据违法事实以及当事人陈述意见作出处理决定，重大案件应组织集体审议.</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2638FEB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1.【部门规章】《餐饮业经营管理办法（试行）》（2014年商务部、国家发展和改革委员会令2014年第4号发布）第十八条 县级以上地方商务主管部门应当定期对餐饮行业开展反食品浪费相关行为进行监督检查，并给予相应奖励或处罚。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2.参照《中华人民共和国行政许可法》第三十四条：“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3.参照《中华人民共和国行政处罚法》第四十条“行政处罚决定书应当在宣告后当场交付当事人；当事人不在场的，行政机关应当在七日内依照民事诉讼法的有关规定，将行政处罚决定书送达当事人.”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4.同3.</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5.同3.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5741BAC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1.在监督检查中玩忽职守、徇私舞弊的（机关纪委）；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2.在监督检查中滥用职权，谋取不正当利益和发生腐败行为的（机关纪委）；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479D198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 xml:space="preserve">1.【法律】《中华人民共和国公务员法》第一百零八条：公务员主管部门的工作人员，违反本法规定，滥用职权、玩忽职守、徇私舞弊，构成犯罪的，依法追究刑事责任；尚不构成犯罪的，给予处分或者由监察机关依法给予政务处分。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0DEB33C8">
            <w:pPr>
              <w:jc w:val="both"/>
              <w:rPr>
                <w:rFonts w:hint="eastAsia" w:ascii="宋体" w:hAnsi="宋体" w:eastAsia="宋体" w:cs="宋体"/>
                <w:i w:val="0"/>
                <w:iCs w:val="0"/>
                <w:color w:val="000000"/>
                <w:sz w:val="22"/>
                <w:szCs w:val="22"/>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4CA38E6F">
            <w:pPr>
              <w:jc w:val="both"/>
              <w:rPr>
                <w:rFonts w:hint="eastAsia" w:ascii="宋体" w:hAnsi="宋体" w:eastAsia="宋体" w:cs="宋体"/>
                <w:i w:val="0"/>
                <w:iCs w:val="0"/>
                <w:color w:val="000000"/>
                <w:sz w:val="22"/>
                <w:szCs w:val="22"/>
                <w:u w:val="none"/>
              </w:rPr>
            </w:pPr>
          </w:p>
        </w:tc>
      </w:tr>
      <w:tr w14:paraId="2BECF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3AB3B20F">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41</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551A40A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行政检查</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6762A95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易制毒化学品进出口监督检查</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655B018">
            <w:pPr>
              <w:jc w:val="both"/>
              <w:rPr>
                <w:rFonts w:hint="eastAsia" w:ascii="宋体" w:hAnsi="宋体" w:eastAsia="宋体" w:cs="宋体"/>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0F54C96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top"/>
          </w:tcPr>
          <w:p w14:paraId="7D906C1E">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516E9CF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【行政法规】《易制毒化学品管理条例》（2005年国务院令第445号发布,2018年国务院令第703号修订）</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第三十二条　县级以上人民政府公安机关、食品药品监督管理部门、安全生产监督管理部门、商务主管部门、卫生主管部门、价格主管部门、铁路主管部门、交通主管部门、工商行政管理部门、环境保护主管部门和海关，应当依照本条例和有关法律、行政法规的规定，在各自的职责范围内，加强对易制毒化学品生产、经营、购买、运输、价格以及进口、出口的监督检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【部门规章】《易制毒化学品进出口管理规定》（2006年商务部令2006年第7号, 2015年商务部令2015年第2号修订）</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第四条县级以上商务主管部门负责本地区易制毒化学品进出口监督检查工作。</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第四十一条 县级以上商务主管部门应当按照本规定和其他有关法律、法规规定，严格履行对本地区易制毒化学品进出口的监督检查职责，依法查处违法行为。</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第四十二条 县级以上商务主管部门对经营者进行监督检查时，可以依法查看现场、查阅和复制有关资料、记录有关情况、扣押相关的证据材料和物品；必要时，可以临时查封有关场所。</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3FCFD61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1.选案阶段责任：根据举报或上级安排以及日常管理中发现的问题确定进行检查.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检查阶段责任：检查应按有关程序进行，指定专人负责，及时组织调查取证，与当事人有直接利害关系的应当回避.检查人员不得少于两人，调查时应出示执法证件，允许当事人辩解陈述.检查人员应保守有关秘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3.审查环节责任：对违法事实、证据资料、调查程序、法律适用、当事人陈述理由等进行审查，提出初步处理意见.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4、告知环节责任：对违法事实、处理依据、处理意见告知，听取当事人陈述申辩.</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5、决定环节责任：根据违法事实以及当事人陈述意见作出处理决定，重大案件应组织集体审议.</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0FFBE0A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1.【行政法规】《易制毒化学品管理条例》（2005年国务院令第445号发布,2018年国务院令第703号修订）第三十二条　县级以上人民政府公安机关、食品药品监督管理部门、安全生产监督管理部门、商务主管部门、卫生主管部门、价格主管部门、铁路主管部门、交通主管部门、工商行政管理部门、环境保护主管部门和海关，应当依照本条例和有关法律、行政法规的规定，在各自的职责范围内，加强对易制毒化学品生产、经营、购买、运输、价格以及进口、出口的监督检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2.参照《中华人民共和国行政许可法》第三十四条：“ 行政机关应当对申请人提交的申请材料进行审查. 申请人提交的申请材料齐全、符合法定形式，行政机关能够当场作出决定的，应当当场作出书面的行政许可决定. 根据法定条件和程序，需要对申请材料的实质内容进行核实的，行政机关应当指派两名以上工作人员进行核查.”</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3.参照《中华人民共和国行政处罚法》第四十条“行政处罚决定书应当在宣告后当场交付当事人；当事人不在场的，行政机关应当在七日内依照民事诉讼法的有关规定，将行政处罚决定书送达当事人.”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4.同3.</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5.同3.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371D15B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1.在监督检查中玩忽职守、徇私舞弊的（机关纪委）；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2.在监督检查中滥用职权，谋取不正当利益和发生腐败行为的（机关纪委）；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1418DEF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 xml:space="preserve">1.【法律】《中华人民共和国公务员法》第一百零八条：公务员主管部门的工作人员，违反本法规定，滥用职权、玩忽职守、徇私舞弊，构成犯罪的，依法追究刑事责任；尚不构成犯罪的，给予处分或者由监察机关依法给予政务处分。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137E2785">
            <w:pPr>
              <w:jc w:val="both"/>
              <w:rPr>
                <w:rFonts w:hint="eastAsia" w:ascii="宋体" w:hAnsi="宋体" w:eastAsia="宋体" w:cs="宋体"/>
                <w:i w:val="0"/>
                <w:iCs w:val="0"/>
                <w:color w:val="000000"/>
                <w:sz w:val="22"/>
                <w:szCs w:val="22"/>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2B1BA816">
            <w:pPr>
              <w:jc w:val="both"/>
              <w:rPr>
                <w:rFonts w:hint="eastAsia" w:ascii="宋体" w:hAnsi="宋体" w:eastAsia="宋体" w:cs="宋体"/>
                <w:i w:val="0"/>
                <w:iCs w:val="0"/>
                <w:color w:val="000000"/>
                <w:sz w:val="22"/>
                <w:szCs w:val="22"/>
                <w:u w:val="none"/>
              </w:rPr>
            </w:pPr>
          </w:p>
        </w:tc>
      </w:tr>
      <w:tr w14:paraId="35306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5A62BE7E">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42</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1CD3A56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行政奖励</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1381C3D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对参加生活必需品市场异常波动应急处理作出贡献的单位和人员的奖励</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448E64F0">
            <w:pPr>
              <w:jc w:val="both"/>
              <w:rPr>
                <w:rFonts w:hint="eastAsia" w:ascii="宋体" w:hAnsi="宋体" w:eastAsia="宋体" w:cs="宋体"/>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2FB862DA">
            <w:pPr>
              <w:keepNext w:val="0"/>
              <w:keepLines w:val="0"/>
              <w:widowControl/>
              <w:suppressLineNumbers w:val="0"/>
              <w:jc w:val="both"/>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top"/>
          </w:tcPr>
          <w:p w14:paraId="29805729">
            <w:pPr>
              <w:keepNext w:val="0"/>
              <w:keepLines w:val="0"/>
              <w:widowControl/>
              <w:suppressLineNumbers w:val="0"/>
              <w:jc w:val="both"/>
              <w:textAlignment w:val="top"/>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5F7250D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【部门规章】《生活必需品市场供应应急管理办法》（2011年商务部令2011年第4号）</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第七条　县级以上商务主管部门，可对参加市场异常波动应急处理作出贡献的单位和人员，给予表彰和奖励。</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7D894D3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1.前期阶段责任：收集整理在参加生活必需品市场异常波动应急处理工作中作出贡献的组织或者个人相关材料，及时呈报处理。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2.审查阶段责任：审查材料的真伪及作用，提出审查意见。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3.决定阶段责任：决定是否对在生活必需品市场异常波动应急处理作出贡献组织或者个人的奖励标准和方式。</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4.执行阶段责任：兑现奖励。</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5.其他法律法规规章文件规定应履行的责任。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1E00652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1.【部门规章】《生活必需品市场供应应急管理办法》（商务部令（2011年第4号）第七条　县级以上商务主管部门，可对参加市场异常波动应急处理作出贡献的单位和人员，给予表彰和奖励。</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5.同1.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3A339CC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1.对符合条件的申请不予办理或不在法定期限内办理（机关纪委）；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2.对不符合条件的予以办理的（机关纪委）；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3.未严格审查申报材料或弄虚作假审批、有失职行为的（机关纪委）；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4.不按照法定条件或者违反法定程序审核，以及乱收费用，情节严重的（机关纪委）；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5.在审核过程中徇私舞弊、滥用职权、玩忽职守的（机关纪委）；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6.利用职务上的便利，索取他人财物，为他人谋取利益的（机关纪委）；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13CECF1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公务员法》第一百零八条：公务员主管部门的工作人员，违反本法规定，滥用职权、玩忽职守、徇私舞弊，构成犯罪的，依法追究刑事责任；尚不构成犯罪的，给予处分或者由监察机关依法给予政务处分。</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6.同1。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73CD0711">
            <w:pPr>
              <w:jc w:val="both"/>
              <w:rPr>
                <w:rFonts w:hint="eastAsia" w:ascii="宋体" w:hAnsi="宋体" w:eastAsia="宋体" w:cs="宋体"/>
                <w:i w:val="0"/>
                <w:iCs w:val="0"/>
                <w:color w:val="000000"/>
                <w:sz w:val="22"/>
                <w:szCs w:val="22"/>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0B0A241B">
            <w:pPr>
              <w:jc w:val="both"/>
              <w:rPr>
                <w:rFonts w:hint="eastAsia" w:ascii="宋体" w:hAnsi="宋体" w:eastAsia="宋体" w:cs="宋体"/>
                <w:i w:val="0"/>
                <w:iCs w:val="0"/>
                <w:color w:val="000000"/>
                <w:sz w:val="22"/>
                <w:szCs w:val="22"/>
                <w:u w:val="none"/>
              </w:rPr>
            </w:pPr>
          </w:p>
        </w:tc>
      </w:tr>
      <w:tr w14:paraId="5156B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top"/>
          </w:tcPr>
          <w:p w14:paraId="4AB95CC8">
            <w:pPr>
              <w:keepNext w:val="0"/>
              <w:keepLines w:val="0"/>
              <w:widowControl/>
              <w:suppressLineNumbers w:val="0"/>
              <w:jc w:val="both"/>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highlight w:val="none"/>
                <w:u w:val="none"/>
                <w:lang w:val="en-US" w:eastAsia="zh-CN" w:bidi="ar"/>
              </w:rPr>
              <w:t>43</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4772671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其他行政权力</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top"/>
          </w:tcPr>
          <w:p w14:paraId="0B90327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单用途商业预付卡规模发卡企业备案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483F017B">
            <w:pPr>
              <w:jc w:val="both"/>
              <w:rPr>
                <w:rFonts w:hint="eastAsia" w:ascii="宋体" w:hAnsi="宋体" w:eastAsia="宋体" w:cs="宋体"/>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top"/>
          </w:tcPr>
          <w:p w14:paraId="6C05FF1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县科技工贸和信息化局</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top"/>
          </w:tcPr>
          <w:p w14:paraId="083EEE65">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商务股</w:t>
            </w:r>
          </w:p>
        </w:tc>
        <w:tc>
          <w:tcPr>
            <w:tcW w:w="3371" w:type="dxa"/>
            <w:tcBorders>
              <w:top w:val="single" w:color="000000" w:sz="4" w:space="0"/>
              <w:left w:val="single" w:color="000000" w:sz="4" w:space="0"/>
              <w:bottom w:val="single" w:color="000000" w:sz="4" w:space="0"/>
              <w:right w:val="single" w:color="000000" w:sz="4" w:space="0"/>
            </w:tcBorders>
            <w:shd w:val="clear" w:color="auto" w:fill="auto"/>
            <w:vAlign w:val="top"/>
          </w:tcPr>
          <w:p w14:paraId="2C0877D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【部门规章】《单用途商业预付卡管理办法（试行）》（2012年商务部令2012年第9号,2016年商务部令2016年第2号修正）</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第七条 发卡企业应在开展单用途卡业务之日起31日内按照下列规定办理备案：（一）集团发卡企业和品牌发卡企业向其工商登记注册地省、自治区、直辖市人民政府商务主管部门备案；（二）规模发卡企业向其工商登记注册地设区的市人民政府商务主管部门备案；（三）其他发卡企业向其工商登记注册地县（市、区）人民政府商务主管部门备案。</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5ECACEE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1.受理阶段责任：依法受理；不予受理的书面告知理由；一次性告知补正材料。</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2.审查阶段责任：对初审材料进行审核，提出初审意见。</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3.备案阶段责任：企业提交的备案材料齐全，准予备案；不符合的，不予备案并书面告知企业。</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4.信息公开责任：定期公告已备案企业名录。</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5.其他法律法规规章文件规定应履行的责任。</w:t>
            </w:r>
          </w:p>
        </w:tc>
        <w:tc>
          <w:tcPr>
            <w:tcW w:w="4950" w:type="dxa"/>
            <w:tcBorders>
              <w:top w:val="single" w:color="000000" w:sz="4" w:space="0"/>
              <w:left w:val="single" w:color="000000" w:sz="4" w:space="0"/>
              <w:bottom w:val="single" w:color="000000" w:sz="4" w:space="0"/>
              <w:right w:val="single" w:color="000000" w:sz="4" w:space="0"/>
            </w:tcBorders>
            <w:shd w:val="clear" w:color="auto" w:fill="auto"/>
            <w:vAlign w:val="top"/>
          </w:tcPr>
          <w:p w14:paraId="77C29AE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2.【部门规章】《单用途商业预付卡管理办法（试行）》（2012年商务部令2012年第9号,2016年商务部令2016年第2号修正）第七条 发卡企业应在开展单用途卡业务之日起30日内按照下列规定办理备案：（一）集团发卡企业和品牌发卡企业向其工商登记注册地省、自治区、直辖市人民政府商务主管部门备案；（二）规模发卡企业向其工商登记注册地设区的市人民政府商务主管部门备案；（三）其他发卡企业向其工商登记注册地县（市、区）人民政府商务主管部门备案。</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3.【部门规章】《单用途商业预付卡管理办法（试行）》（2012年商务部令2012年第9号,2016年商务部令2016年第2号修正）第八条 发卡企业应向备案机关提交下列材料：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（一）《单用途卡发卡企业备案表》；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（二）《企业法人营业执照》（副本）复印件；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（三）组织机构代码证复印件；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 xml:space="preserve"> 发卡企业为外商投资企业的，还应提交外商投资企业批准证书复印件。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4.【部门规章】《单用途商业预付卡管理办法（试行）》（2012年商务部令2012年第9号,2016年商务部令2016年第2号修正）第十一条 备案机关对已备案的发卡企业予以编号，并在商务部和备案机关指定的媒体上公告，提供公众查询服务。</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top"/>
          </w:tcPr>
          <w:p w14:paraId="020FDBC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1.对符合条件的申请不予办理或不在法定期限内办理（机关纪委）；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2.对不符合备案条件的予以备案的（机关纪委）；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3.未严格审查申报材料或弄虚作假审批、有失职行为的（机关纪委）；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4.不按照法定条件或者违反法定程序审核，以及乱收费用，情节严重的（机关纪委）；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5.在审核过程中徇私舞弊、滥用职权、玩忽职守的（机关纪委）；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6.利用职务上的便利，索取他人财物，为他人谋取利益的（机关纪委）；</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7.除以上追责情形外，其他违反法律法规规章的行为依法追究相应责任。</w:t>
            </w:r>
          </w:p>
        </w:tc>
        <w:tc>
          <w:tcPr>
            <w:tcW w:w="3510" w:type="dxa"/>
            <w:tcBorders>
              <w:top w:val="single" w:color="000000" w:sz="4" w:space="0"/>
              <w:left w:val="single" w:color="000000" w:sz="4" w:space="0"/>
              <w:bottom w:val="single" w:color="000000" w:sz="4" w:space="0"/>
              <w:right w:val="single" w:color="000000" w:sz="4" w:space="0"/>
            </w:tcBorders>
            <w:shd w:val="clear" w:color="auto" w:fill="auto"/>
            <w:vAlign w:val="top"/>
          </w:tcPr>
          <w:p w14:paraId="2F7AEC5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仿宋_GB2312" w:hAnsi="宋体" w:eastAsia="仿宋_GB2312" w:cs="仿宋_GB2312"/>
                <w:i w:val="0"/>
                <w:color w:val="000000"/>
                <w:kern w:val="0"/>
                <w:sz w:val="18"/>
                <w:szCs w:val="18"/>
                <w:u w:val="none"/>
                <w:lang w:val="en-US" w:eastAsia="zh-CN" w:bidi="ar"/>
              </w:rPr>
              <w:t xml:space="preserve">1.【法律】《中华人民共和国公务员法》第一百零八条：公务员主管部门的工作人员，违反本法规定，滥用职权、玩忽职守、徇私舞弊，构成犯罪的，依法追究刑事责任；尚不构成犯罪的，给予处分或者由监察机关依法给予政务处分。 </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2.同1。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3.同1。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4.同1。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5.同1。</w:t>
            </w:r>
            <w:r>
              <w:rPr>
                <w:rFonts w:hint="eastAsia" w:ascii="仿宋_GB2312" w:hAnsi="宋体" w:eastAsia="仿宋_GB2312" w:cs="仿宋_GB2312"/>
                <w:i w:val="0"/>
                <w:color w:val="000000"/>
                <w:kern w:val="0"/>
                <w:sz w:val="18"/>
                <w:szCs w:val="18"/>
                <w:u w:val="none"/>
                <w:lang w:val="en-US" w:eastAsia="zh-CN" w:bidi="ar"/>
              </w:rPr>
              <w:br w:type="textWrapping"/>
            </w:r>
            <w:r>
              <w:rPr>
                <w:rFonts w:hint="eastAsia" w:ascii="仿宋_GB2312" w:hAnsi="宋体" w:eastAsia="仿宋_GB2312" w:cs="仿宋_GB2312"/>
                <w:i w:val="0"/>
                <w:color w:val="000000"/>
                <w:kern w:val="0"/>
                <w:sz w:val="18"/>
                <w:szCs w:val="18"/>
                <w:u w:val="none"/>
                <w:lang w:val="en-US" w:eastAsia="zh-CN" w:bidi="ar"/>
              </w:rPr>
              <w:t>6.同1。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top"/>
          </w:tcPr>
          <w:p w14:paraId="608556B8">
            <w:pPr>
              <w:jc w:val="both"/>
              <w:rPr>
                <w:rFonts w:hint="eastAsia" w:ascii="宋体" w:hAnsi="宋体" w:eastAsia="宋体" w:cs="宋体"/>
                <w:i w:val="0"/>
                <w:iCs w:val="0"/>
                <w:color w:val="000000"/>
                <w:sz w:val="22"/>
                <w:szCs w:val="22"/>
                <w:u w:val="none"/>
              </w:rPr>
            </w:pPr>
            <w:r>
              <w:rPr>
                <w:rFonts w:hint="eastAsia" w:ascii="仿宋_GB2312" w:hAnsi="宋体" w:eastAsia="仿宋_GB2312" w:cs="仿宋_GB2312"/>
                <w:i w:val="0"/>
                <w:color w:val="000000"/>
                <w:kern w:val="0"/>
                <w:sz w:val="18"/>
                <w:szCs w:val="18"/>
                <w:highlight w:val="none"/>
                <w:u w:val="none"/>
                <w:lang w:val="en-US" w:eastAsia="zh-CN" w:bidi="ar"/>
              </w:rPr>
              <w:t>法律法规规章规定的免责情形以及市委市政府、县委县政府规定的免责情形。</w:t>
            </w:r>
          </w:p>
        </w:tc>
        <w:tc>
          <w:tcPr>
            <w:tcW w:w="585" w:type="dxa"/>
            <w:tcBorders>
              <w:top w:val="nil"/>
              <w:left w:val="nil"/>
              <w:bottom w:val="nil"/>
              <w:right w:val="nil"/>
            </w:tcBorders>
            <w:shd w:val="clear" w:color="auto" w:fill="auto"/>
            <w:noWrap/>
            <w:vAlign w:val="top"/>
          </w:tcPr>
          <w:p w14:paraId="494A2C22">
            <w:pPr>
              <w:jc w:val="both"/>
              <w:rPr>
                <w:rFonts w:hint="eastAsia" w:ascii="宋体" w:hAnsi="宋体" w:eastAsia="宋体" w:cs="宋体"/>
                <w:i w:val="0"/>
                <w:iCs w:val="0"/>
                <w:color w:val="000000"/>
                <w:sz w:val="22"/>
                <w:szCs w:val="22"/>
                <w:u w:val="none"/>
              </w:rPr>
            </w:pPr>
          </w:p>
        </w:tc>
      </w:tr>
      <w:tr w14:paraId="698B7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36" w:type="dxa"/>
            <w:vMerge w:val="restart"/>
            <w:tcBorders>
              <w:top w:val="nil"/>
              <w:left w:val="single" w:color="000000" w:sz="8" w:space="0"/>
              <w:bottom w:val="single" w:color="000000" w:sz="8" w:space="0"/>
              <w:right w:val="single" w:color="000000" w:sz="8" w:space="0"/>
            </w:tcBorders>
            <w:shd w:val="clear" w:color="auto" w:fill="auto"/>
            <w:vAlign w:val="top"/>
          </w:tcPr>
          <w:p w14:paraId="62B05AA5">
            <w:pPr>
              <w:keepNext w:val="0"/>
              <w:keepLines w:val="0"/>
              <w:widowControl/>
              <w:suppressLineNumbers w:val="0"/>
              <w:jc w:val="both"/>
              <w:textAlignment w:val="center"/>
              <w:rPr>
                <w:rFonts w:hint="default" w:ascii="仿宋_GB2312" w:hAnsi="宋体" w:eastAsia="仿宋_GB2312" w:cs="仿宋_GB2312"/>
                <w:i w:val="0"/>
                <w:iCs w:val="0"/>
                <w:color w:val="000000"/>
                <w:sz w:val="20"/>
                <w:szCs w:val="20"/>
                <w:u w:val="none"/>
                <w:lang w:val="en-US" w:eastAsia="zh-CN"/>
              </w:rPr>
            </w:pPr>
            <w:r>
              <w:rPr>
                <w:rFonts w:hint="default" w:ascii="仿宋_GB2312" w:hAnsi="宋体" w:eastAsia="仿宋_GB2312" w:cs="仿宋_GB2312"/>
                <w:i w:val="0"/>
                <w:iCs w:val="0"/>
                <w:color w:val="000000"/>
                <w:sz w:val="20"/>
                <w:szCs w:val="20"/>
                <w:u w:val="none"/>
                <w:lang w:val="en-US" w:eastAsia="zh-CN"/>
              </w:rPr>
              <w:t>44</w:t>
            </w:r>
          </w:p>
        </w:tc>
        <w:tc>
          <w:tcPr>
            <w:tcW w:w="416" w:type="dxa"/>
            <w:vMerge w:val="restart"/>
            <w:tcBorders>
              <w:top w:val="nil"/>
              <w:left w:val="nil"/>
              <w:bottom w:val="single" w:color="000000" w:sz="8" w:space="0"/>
              <w:right w:val="single" w:color="000000" w:sz="8" w:space="0"/>
            </w:tcBorders>
            <w:shd w:val="clear" w:color="auto" w:fill="auto"/>
            <w:vAlign w:val="top"/>
          </w:tcPr>
          <w:p w14:paraId="23687337">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其他行政权力</w:t>
            </w:r>
          </w:p>
        </w:tc>
        <w:tc>
          <w:tcPr>
            <w:tcW w:w="616" w:type="dxa"/>
            <w:vMerge w:val="restart"/>
            <w:tcBorders>
              <w:top w:val="nil"/>
              <w:left w:val="nil"/>
              <w:bottom w:val="single" w:color="000000" w:sz="8" w:space="0"/>
              <w:right w:val="single" w:color="000000" w:sz="8" w:space="0"/>
            </w:tcBorders>
            <w:shd w:val="clear" w:color="auto" w:fill="auto"/>
            <w:vAlign w:val="top"/>
          </w:tcPr>
          <w:p w14:paraId="3FA7A23C">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科技计划项目审批</w:t>
            </w:r>
          </w:p>
        </w:tc>
        <w:tc>
          <w:tcPr>
            <w:tcW w:w="416" w:type="dxa"/>
            <w:vMerge w:val="restart"/>
            <w:tcBorders>
              <w:top w:val="nil"/>
              <w:left w:val="nil"/>
              <w:bottom w:val="single" w:color="000000" w:sz="8" w:space="0"/>
              <w:right w:val="single" w:color="000000" w:sz="8" w:space="0"/>
            </w:tcBorders>
            <w:shd w:val="clear" w:color="auto" w:fill="auto"/>
            <w:vAlign w:val="top"/>
          </w:tcPr>
          <w:p w14:paraId="3FF187A7">
            <w:pPr>
              <w:jc w:val="both"/>
              <w:rPr>
                <w:rFonts w:hint="eastAsia" w:ascii="仿宋_GB2312" w:hAnsi="仿宋_GB2312" w:eastAsia="仿宋_GB2312" w:cs="仿宋_GB2312"/>
                <w:i w:val="0"/>
                <w:iCs w:val="0"/>
                <w:color w:val="000000"/>
                <w:sz w:val="18"/>
                <w:szCs w:val="18"/>
                <w:u w:val="none"/>
              </w:rPr>
            </w:pPr>
          </w:p>
        </w:tc>
        <w:tc>
          <w:tcPr>
            <w:tcW w:w="416" w:type="dxa"/>
            <w:vMerge w:val="restart"/>
            <w:tcBorders>
              <w:top w:val="nil"/>
              <w:left w:val="nil"/>
              <w:bottom w:val="single" w:color="000000" w:sz="8" w:space="0"/>
              <w:right w:val="single" w:color="000000" w:sz="8" w:space="0"/>
            </w:tcBorders>
            <w:shd w:val="clear" w:color="auto" w:fill="auto"/>
            <w:vAlign w:val="top"/>
          </w:tcPr>
          <w:p w14:paraId="28BC94B9">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县科技工贸和信息化局</w:t>
            </w:r>
          </w:p>
        </w:tc>
        <w:tc>
          <w:tcPr>
            <w:tcW w:w="916" w:type="dxa"/>
            <w:vMerge w:val="restart"/>
            <w:tcBorders>
              <w:top w:val="nil"/>
              <w:left w:val="nil"/>
              <w:bottom w:val="single" w:color="000000" w:sz="8" w:space="0"/>
              <w:right w:val="single" w:color="000000" w:sz="8" w:space="0"/>
            </w:tcBorders>
            <w:shd w:val="clear" w:color="auto" w:fill="auto"/>
            <w:vAlign w:val="top"/>
          </w:tcPr>
          <w:p w14:paraId="2C9564DE">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科技推广管理股</w:t>
            </w:r>
          </w:p>
        </w:tc>
        <w:tc>
          <w:tcPr>
            <w:tcW w:w="3371" w:type="dxa"/>
            <w:vMerge w:val="restart"/>
            <w:tcBorders>
              <w:top w:val="nil"/>
              <w:left w:val="nil"/>
              <w:bottom w:val="single" w:color="000000" w:sz="8" w:space="0"/>
              <w:right w:val="single" w:color="000000" w:sz="8" w:space="0"/>
            </w:tcBorders>
            <w:shd w:val="clear" w:color="auto" w:fill="auto"/>
            <w:vAlign w:val="top"/>
          </w:tcPr>
          <w:p w14:paraId="165899BA">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Style w:val="8"/>
                <w:rFonts w:hint="eastAsia" w:ascii="仿宋_GB2312" w:hAnsi="仿宋_GB2312" w:eastAsia="仿宋_GB2312" w:cs="仿宋_GB2312"/>
                <w:sz w:val="18"/>
                <w:szCs w:val="18"/>
                <w:lang w:val="en-US" w:eastAsia="zh-CN" w:bidi="ar"/>
              </w:rPr>
              <w:t>【法律】《中华人民共和国科学技术进步法》（2021年12月24日中华人民共和国主席令第一〇三号公布，自2022年1月1日起施行，</w:t>
            </w:r>
            <w:r>
              <w:rPr>
                <w:rStyle w:val="17"/>
                <w:rFonts w:hint="eastAsia" w:ascii="仿宋_GB2312" w:hAnsi="仿宋_GB2312" w:eastAsia="仿宋_GB2312" w:cs="仿宋_GB2312"/>
                <w:sz w:val="18"/>
                <w:szCs w:val="18"/>
                <w:lang w:val="en-US" w:eastAsia="zh-CN" w:bidi="ar"/>
              </w:rPr>
              <w:t>第十七条</w:t>
            </w:r>
            <w:r>
              <w:rPr>
                <w:rStyle w:val="8"/>
                <w:rFonts w:hint="eastAsia" w:ascii="仿宋_GB2312" w:hAnsi="仿宋_GB2312" w:eastAsia="仿宋_GB2312" w:cs="仿宋_GB2312"/>
                <w:sz w:val="18"/>
                <w:szCs w:val="18"/>
                <w:lang w:val="en-US" w:eastAsia="zh-CN" w:bidi="ar"/>
              </w:rPr>
              <w:t xml:space="preserve"> 国家建立科学技术进步工作协调机制，协调国家科学技术基金和国家科学技术计划项目的设立及相互衔接，协调军用与民用科学技术资源配置、科学技术研究开发机构的整合以及科学技术研究开发与高等教育、产业发展相结合等重大事项。               【地方性法规】《广西壮族自治区科技创新条例》（已由广西壮族自治区第十三届人民代表大会常务委员会第二十九次会议于2022年5月13日通过，现予公布，自2022年7月1日起施行。）</w:t>
            </w:r>
            <w:r>
              <w:rPr>
                <w:rStyle w:val="17"/>
                <w:rFonts w:hint="eastAsia" w:ascii="仿宋_GB2312" w:hAnsi="仿宋_GB2312" w:eastAsia="仿宋_GB2312" w:cs="仿宋_GB2312"/>
                <w:sz w:val="18"/>
                <w:szCs w:val="18"/>
                <w:lang w:val="en-US" w:eastAsia="zh-CN" w:bidi="ar"/>
              </w:rPr>
              <w:t>第八十三条</w:t>
            </w:r>
            <w:r>
              <w:rPr>
                <w:rStyle w:val="8"/>
                <w:rFonts w:hint="eastAsia" w:ascii="仿宋_GB2312" w:hAnsi="仿宋_GB2312" w:eastAsia="仿宋_GB2312" w:cs="仿宋_GB2312"/>
                <w:sz w:val="18"/>
                <w:szCs w:val="18"/>
                <w:lang w:val="en-US" w:eastAsia="zh-CN" w:bidi="ar"/>
              </w:rPr>
              <w:t>　县级以上人民政府应当完善科技攻关项目的立项、组织和管理方式，以产业发展、企业技术创新需求为导向，综合运用择优支持、定向委托、“揭榜挂帅”和“赛马”等方式，鼓励高等院校、科学技术研究开发机构、企业以及科研人员开展科技攻关，提高科技项目管理效能。</w:t>
            </w:r>
            <w:r>
              <w:rPr>
                <w:rStyle w:val="17"/>
                <w:rFonts w:hint="eastAsia" w:ascii="仿宋_GB2312" w:hAnsi="仿宋_GB2312" w:eastAsia="仿宋_GB2312" w:cs="仿宋_GB2312"/>
                <w:sz w:val="18"/>
                <w:szCs w:val="18"/>
                <w:lang w:val="en-US" w:eastAsia="zh-CN" w:bidi="ar"/>
              </w:rPr>
              <w:t>第八十四条</w:t>
            </w:r>
            <w:r>
              <w:rPr>
                <w:rStyle w:val="8"/>
                <w:rFonts w:hint="eastAsia" w:ascii="仿宋_GB2312" w:hAnsi="仿宋_GB2312" w:eastAsia="仿宋_GB2312" w:cs="仿宋_GB2312"/>
                <w:sz w:val="18"/>
                <w:szCs w:val="18"/>
                <w:lang w:val="en-US" w:eastAsia="zh-CN" w:bidi="ar"/>
              </w:rPr>
              <w:t>　县级以上人民政府科技、财政等部门应当简化科技创新项目申报和过程管理，精简项目申报要求，推行“里程碑式”考核，减少项目实施周期内各类评估、检查、抽查等活动。对同一项目同一年度的监督、检查、绩效评价等结果互通互认。</w:t>
            </w:r>
          </w:p>
        </w:tc>
        <w:tc>
          <w:tcPr>
            <w:tcW w:w="1965" w:type="dxa"/>
            <w:vMerge w:val="restart"/>
            <w:tcBorders>
              <w:top w:val="nil"/>
              <w:left w:val="nil"/>
              <w:bottom w:val="single" w:color="000000" w:sz="8" w:space="0"/>
              <w:right w:val="single" w:color="000000" w:sz="8" w:space="0"/>
            </w:tcBorders>
            <w:shd w:val="clear" w:color="auto" w:fill="auto"/>
            <w:vAlign w:val="top"/>
          </w:tcPr>
          <w:p w14:paraId="1113771C">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1.受理责任：通知依法依规应当提交的材料；一次性告知补正材料；依法受理或不予受理（不予受理应当告知理由）。                                             2.评估评审责任：对申报项目的材料进行汇总、整理、分类；组织专家评审；提出评审意见。                                           3.决定责任：会议审议立项方案，作出同意或不同意立项的决定。                                                   4.送达责任：经公示无异议后制发相关文件，按时办结告知。                                5.监管责任：设区市科技局对项目评审活动进行监督检查。                                          6.其他法律法规规定的应该履行的责任。</w:t>
            </w:r>
          </w:p>
        </w:tc>
        <w:tc>
          <w:tcPr>
            <w:tcW w:w="4950" w:type="dxa"/>
            <w:vMerge w:val="restart"/>
            <w:tcBorders>
              <w:top w:val="nil"/>
              <w:left w:val="nil"/>
              <w:bottom w:val="single" w:color="000000" w:sz="8" w:space="0"/>
              <w:right w:val="nil"/>
            </w:tcBorders>
            <w:shd w:val="clear" w:color="auto" w:fill="auto"/>
            <w:vAlign w:val="top"/>
          </w:tcPr>
          <w:p w14:paraId="4F9689F9">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【规范性文件】《广西科技计划项目立项评审管理办法（试行）》（桂科政字〔2018〕174号）第三十六条  各市、县（市）科技行政主管部门可参考本办法组织开展科技计划项目评审工作。                   2.同1                      3.同1                        4.同1                                5.同1</w:t>
            </w:r>
          </w:p>
        </w:tc>
        <w:tc>
          <w:tcPr>
            <w:tcW w:w="186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0AC16D81">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因不履行或不正确履行行政职责，有下列情形的，行政机关及相关工作人员应承担相应责任：</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 xml:space="preserve">    1.未一次性告知补正材料；对符合条件的申请不予受理或不在法定期限内受理；不予受理的未在法定期限内告知。</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 xml:space="preserve">    2.对受理的申请未组织评审、未提出评审意见。</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 xml:space="preserve">    3.未作出同意或不同意立项的决定。</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 xml:space="preserve">    4.未公示立项决定；未制作相关文件，未按时办结告知。</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 xml:space="preserve">   5.除以上追责情形外，其他违反法律法规规章的行为，依法追究相应责任。</w:t>
            </w:r>
          </w:p>
        </w:tc>
        <w:tc>
          <w:tcPr>
            <w:tcW w:w="351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FCF45B8">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法律】《中华人民共和国行政许可法》（2003年主席令第七号公布）第七十二条：“行政机关及其工作人员违反本法的规定，有下列情形之一的，由其上级行政机关或者监察机关责令改正；情节严重的，对直接负责的主管人员和其他直接责任人员依法给予行政处分：（一）对符合法定条件的行政许可申请不予受理的；（二）不在办公场所公示依法应当公示的材料的；（三）在受理、审查、决定行政许可过程中，未向申请人、利害关系人履行法定告知义务的；（四）申请人提交的申请材料不齐全、不符合法定形式，不一次告知申请人必须补正的全部内容的；（五）未依法说明不受理行政许可申请或者不予行政许可的理由的；（六）依法应当举行听证而不举行听证的。”</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 xml:space="preserve">  2.【法律】《中华人民共和国行政许可法》（2003年主席令第七号公布）第七十四条：“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三）依法应当根据招标、拍卖结果或者考试成绩择优作出准予行政许可决定，未经招标、拍卖或者考试，或者不根据招标、拍卖结果或者考试成绩择优作出准予行政许可决定的。”</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 xml:space="preserve">  3.【法规】《行政机关公务员处分条例》（国务院令第495号）第二十一条　有下列行为之一的，给予警告或者记过处分；情节较重的，给予记大过或者降级处分；情节严重的，给予撤职处分：（一）在行政许可工作中违反法定权限、条件和程序设定或者实施行政许可的；</w:t>
            </w:r>
            <w:r>
              <w:rPr>
                <w:rFonts w:hint="eastAsia" w:ascii="仿宋_GB2312" w:hAnsi="仿宋_GB2312" w:eastAsia="仿宋_GB2312" w:cs="仿宋_GB2312"/>
                <w:i w:val="0"/>
                <w:iCs w:val="0"/>
                <w:color w:val="000000"/>
                <w:kern w:val="0"/>
                <w:sz w:val="18"/>
                <w:szCs w:val="18"/>
                <w:u w:val="none"/>
                <w:lang w:val="en-US" w:eastAsia="zh-CN" w:bidi="ar"/>
              </w:rPr>
              <w:br w:type="textWrapping"/>
            </w:r>
            <w:r>
              <w:rPr>
                <w:rFonts w:hint="eastAsia" w:ascii="仿宋_GB2312" w:hAnsi="仿宋_GB2312" w:eastAsia="仿宋_GB2312" w:cs="仿宋_GB2312"/>
                <w:i w:val="0"/>
                <w:iCs w:val="0"/>
                <w:color w:val="000000"/>
                <w:kern w:val="0"/>
                <w:sz w:val="18"/>
                <w:szCs w:val="18"/>
                <w:u w:val="none"/>
                <w:lang w:val="en-US" w:eastAsia="zh-CN" w:bidi="ar"/>
              </w:rPr>
              <w:t xml:space="preserve">  4.《公务员法》第一百零四条 公务员主管部门的工作人员，违反本法规定，滥用职权、玩忽职守、徇私舞弊，构成犯罪的，依法追究刑事责任；尚不构成犯罪的，给予处分。</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7F4CD42F">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1、法律法规规章规定的免责情形。2、受理项目申请材料环节，工作人员只对项目材料进行形式审查，确认必须材料的有或无，并一次性告知补正事项；不负责材料的实质审查，不负责甄别材料、印章的真假。</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D070B2D">
            <w:pPr>
              <w:keepNext w:val="0"/>
              <w:keepLines w:val="0"/>
              <w:widowControl/>
              <w:suppressLineNumbers w:val="0"/>
              <w:jc w:val="both"/>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项目申报主体在申报项目过程中出具虚假证明材料，加盖虚假印章骗取项目立项，由其负相关法律责任。</w:t>
            </w:r>
          </w:p>
        </w:tc>
      </w:tr>
      <w:tr w14:paraId="5515A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36" w:type="dxa"/>
            <w:vMerge w:val="continue"/>
            <w:tcBorders>
              <w:top w:val="nil"/>
              <w:left w:val="single" w:color="000000" w:sz="8" w:space="0"/>
              <w:bottom w:val="single" w:color="000000" w:sz="8" w:space="0"/>
              <w:right w:val="single" w:color="000000" w:sz="8" w:space="0"/>
            </w:tcBorders>
            <w:shd w:val="clear" w:color="auto" w:fill="auto"/>
            <w:vAlign w:val="top"/>
          </w:tcPr>
          <w:p w14:paraId="01DC002B">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31821854">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nil"/>
              <w:left w:val="nil"/>
              <w:bottom w:val="single" w:color="000000" w:sz="8" w:space="0"/>
              <w:right w:val="single" w:color="000000" w:sz="8" w:space="0"/>
            </w:tcBorders>
            <w:shd w:val="clear" w:color="auto" w:fill="auto"/>
            <w:vAlign w:val="top"/>
          </w:tcPr>
          <w:p w14:paraId="74DCD2B9">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4BC3AB96">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6A22A436">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nil"/>
              <w:left w:val="nil"/>
              <w:bottom w:val="single" w:color="000000" w:sz="8" w:space="0"/>
              <w:right w:val="single" w:color="000000" w:sz="8" w:space="0"/>
            </w:tcBorders>
            <w:shd w:val="clear" w:color="auto" w:fill="auto"/>
            <w:vAlign w:val="top"/>
          </w:tcPr>
          <w:p w14:paraId="3A40EAD9">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nil"/>
              <w:left w:val="nil"/>
              <w:bottom w:val="single" w:color="000000" w:sz="8" w:space="0"/>
              <w:right w:val="single" w:color="000000" w:sz="8" w:space="0"/>
            </w:tcBorders>
            <w:shd w:val="clear" w:color="auto" w:fill="auto"/>
            <w:vAlign w:val="top"/>
          </w:tcPr>
          <w:p w14:paraId="6C354C3A">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nil"/>
              <w:left w:val="nil"/>
              <w:bottom w:val="single" w:color="000000" w:sz="8" w:space="0"/>
              <w:right w:val="single" w:color="000000" w:sz="8" w:space="0"/>
            </w:tcBorders>
            <w:shd w:val="clear" w:color="auto" w:fill="auto"/>
            <w:vAlign w:val="top"/>
          </w:tcPr>
          <w:p w14:paraId="6EDF5C6C">
            <w:pPr>
              <w:jc w:val="both"/>
              <w:rPr>
                <w:rFonts w:hint="eastAsia" w:ascii="仿宋_GB2312" w:hAnsi="宋体" w:eastAsia="仿宋_GB2312" w:cs="仿宋_GB2312"/>
                <w:i w:val="0"/>
                <w:iCs w:val="0"/>
                <w:color w:val="000000"/>
                <w:sz w:val="20"/>
                <w:szCs w:val="20"/>
                <w:u w:val="none"/>
              </w:rPr>
            </w:pPr>
          </w:p>
        </w:tc>
        <w:tc>
          <w:tcPr>
            <w:tcW w:w="4950" w:type="dxa"/>
            <w:vMerge w:val="continue"/>
            <w:tcBorders>
              <w:top w:val="nil"/>
              <w:left w:val="nil"/>
              <w:bottom w:val="single" w:color="000000" w:sz="8" w:space="0"/>
              <w:right w:val="nil"/>
            </w:tcBorders>
            <w:shd w:val="clear" w:color="auto" w:fill="auto"/>
            <w:vAlign w:val="top"/>
          </w:tcPr>
          <w:p w14:paraId="64331748">
            <w:pPr>
              <w:jc w:val="both"/>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3FF177">
            <w:pPr>
              <w:jc w:val="both"/>
              <w:rPr>
                <w:rFonts w:hint="eastAsia" w:ascii="仿宋_GB2312" w:hAnsi="宋体" w:eastAsia="仿宋_GB2312" w:cs="仿宋_GB2312"/>
                <w:i w:val="0"/>
                <w:iCs w:val="0"/>
                <w:color w:val="000000"/>
                <w:sz w:val="18"/>
                <w:szCs w:val="18"/>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9AA8D39">
            <w:pPr>
              <w:jc w:val="both"/>
              <w:rPr>
                <w:rFonts w:hint="eastAsia" w:ascii="仿宋_GB2312" w:hAnsi="宋体" w:eastAsia="仿宋_GB2312" w:cs="仿宋_GB2312"/>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06E3AAD">
            <w:pPr>
              <w:jc w:val="both"/>
              <w:rPr>
                <w:rFonts w:hint="eastAsia" w:ascii="仿宋_GB2312" w:hAnsi="宋体" w:eastAsia="仿宋_GB2312" w:cs="仿宋_GB2312"/>
                <w:i w:val="0"/>
                <w:iCs w:val="0"/>
                <w:color w:val="000000"/>
                <w:sz w:val="22"/>
                <w:szCs w:val="22"/>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DD66D96">
            <w:pPr>
              <w:jc w:val="both"/>
              <w:rPr>
                <w:rFonts w:hint="eastAsia" w:ascii="宋体" w:hAnsi="宋体" w:eastAsia="宋体" w:cs="宋体"/>
                <w:i w:val="0"/>
                <w:iCs w:val="0"/>
                <w:color w:val="000000"/>
                <w:sz w:val="22"/>
                <w:szCs w:val="22"/>
                <w:u w:val="none"/>
              </w:rPr>
            </w:pPr>
          </w:p>
        </w:tc>
      </w:tr>
      <w:tr w14:paraId="18A5C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36" w:type="dxa"/>
            <w:vMerge w:val="continue"/>
            <w:tcBorders>
              <w:top w:val="nil"/>
              <w:left w:val="single" w:color="000000" w:sz="8" w:space="0"/>
              <w:bottom w:val="single" w:color="000000" w:sz="8" w:space="0"/>
              <w:right w:val="single" w:color="000000" w:sz="8" w:space="0"/>
            </w:tcBorders>
            <w:shd w:val="clear" w:color="auto" w:fill="auto"/>
            <w:vAlign w:val="top"/>
          </w:tcPr>
          <w:p w14:paraId="2C82B263">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069E6F05">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nil"/>
              <w:left w:val="nil"/>
              <w:bottom w:val="single" w:color="000000" w:sz="8" w:space="0"/>
              <w:right w:val="single" w:color="000000" w:sz="8" w:space="0"/>
            </w:tcBorders>
            <w:shd w:val="clear" w:color="auto" w:fill="auto"/>
            <w:vAlign w:val="top"/>
          </w:tcPr>
          <w:p w14:paraId="39B18B4B">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5B946FCB">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5FE12419">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nil"/>
              <w:left w:val="nil"/>
              <w:bottom w:val="single" w:color="000000" w:sz="8" w:space="0"/>
              <w:right w:val="single" w:color="000000" w:sz="8" w:space="0"/>
            </w:tcBorders>
            <w:shd w:val="clear" w:color="auto" w:fill="auto"/>
            <w:vAlign w:val="top"/>
          </w:tcPr>
          <w:p w14:paraId="451DBEBD">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nil"/>
              <w:left w:val="nil"/>
              <w:bottom w:val="single" w:color="000000" w:sz="8" w:space="0"/>
              <w:right w:val="single" w:color="000000" w:sz="8" w:space="0"/>
            </w:tcBorders>
            <w:shd w:val="clear" w:color="auto" w:fill="auto"/>
            <w:vAlign w:val="top"/>
          </w:tcPr>
          <w:p w14:paraId="7ADE66D2">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nil"/>
              <w:left w:val="nil"/>
              <w:bottom w:val="single" w:color="000000" w:sz="8" w:space="0"/>
              <w:right w:val="single" w:color="000000" w:sz="8" w:space="0"/>
            </w:tcBorders>
            <w:shd w:val="clear" w:color="auto" w:fill="auto"/>
            <w:vAlign w:val="top"/>
          </w:tcPr>
          <w:p w14:paraId="384FBCA0">
            <w:pPr>
              <w:jc w:val="both"/>
              <w:rPr>
                <w:rFonts w:hint="eastAsia" w:ascii="仿宋_GB2312" w:hAnsi="宋体" w:eastAsia="仿宋_GB2312" w:cs="仿宋_GB2312"/>
                <w:i w:val="0"/>
                <w:iCs w:val="0"/>
                <w:color w:val="000000"/>
                <w:sz w:val="20"/>
                <w:szCs w:val="20"/>
                <w:u w:val="none"/>
              </w:rPr>
            </w:pPr>
          </w:p>
        </w:tc>
        <w:tc>
          <w:tcPr>
            <w:tcW w:w="4950" w:type="dxa"/>
            <w:vMerge w:val="continue"/>
            <w:tcBorders>
              <w:top w:val="nil"/>
              <w:left w:val="nil"/>
              <w:bottom w:val="single" w:color="000000" w:sz="8" w:space="0"/>
              <w:right w:val="nil"/>
            </w:tcBorders>
            <w:shd w:val="clear" w:color="auto" w:fill="auto"/>
            <w:vAlign w:val="top"/>
          </w:tcPr>
          <w:p w14:paraId="3FD2F5E7">
            <w:pPr>
              <w:jc w:val="both"/>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671B02">
            <w:pPr>
              <w:jc w:val="both"/>
              <w:rPr>
                <w:rFonts w:hint="eastAsia" w:ascii="仿宋_GB2312" w:hAnsi="宋体" w:eastAsia="仿宋_GB2312" w:cs="仿宋_GB2312"/>
                <w:i w:val="0"/>
                <w:iCs w:val="0"/>
                <w:color w:val="000000"/>
                <w:sz w:val="18"/>
                <w:szCs w:val="18"/>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BADC13">
            <w:pPr>
              <w:jc w:val="both"/>
              <w:rPr>
                <w:rFonts w:hint="eastAsia" w:ascii="仿宋_GB2312" w:hAnsi="宋体" w:eastAsia="仿宋_GB2312" w:cs="仿宋_GB2312"/>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0AECF9E">
            <w:pPr>
              <w:jc w:val="both"/>
              <w:rPr>
                <w:rFonts w:hint="eastAsia" w:ascii="仿宋_GB2312" w:hAnsi="宋体" w:eastAsia="仿宋_GB2312" w:cs="仿宋_GB2312"/>
                <w:i w:val="0"/>
                <w:iCs w:val="0"/>
                <w:color w:val="000000"/>
                <w:sz w:val="22"/>
                <w:szCs w:val="22"/>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F04F91">
            <w:pPr>
              <w:jc w:val="both"/>
              <w:rPr>
                <w:rFonts w:hint="eastAsia" w:ascii="宋体" w:hAnsi="宋体" w:eastAsia="宋体" w:cs="宋体"/>
                <w:i w:val="0"/>
                <w:iCs w:val="0"/>
                <w:color w:val="000000"/>
                <w:sz w:val="22"/>
                <w:szCs w:val="22"/>
                <w:u w:val="none"/>
              </w:rPr>
            </w:pPr>
          </w:p>
        </w:tc>
      </w:tr>
      <w:tr w14:paraId="61F1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36" w:type="dxa"/>
            <w:vMerge w:val="continue"/>
            <w:tcBorders>
              <w:top w:val="nil"/>
              <w:left w:val="single" w:color="000000" w:sz="8" w:space="0"/>
              <w:bottom w:val="single" w:color="000000" w:sz="8" w:space="0"/>
              <w:right w:val="single" w:color="000000" w:sz="8" w:space="0"/>
            </w:tcBorders>
            <w:shd w:val="clear" w:color="auto" w:fill="auto"/>
            <w:vAlign w:val="top"/>
          </w:tcPr>
          <w:p w14:paraId="25B3200D">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02D7D0AD">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nil"/>
              <w:left w:val="nil"/>
              <w:bottom w:val="single" w:color="000000" w:sz="8" w:space="0"/>
              <w:right w:val="single" w:color="000000" w:sz="8" w:space="0"/>
            </w:tcBorders>
            <w:shd w:val="clear" w:color="auto" w:fill="auto"/>
            <w:vAlign w:val="top"/>
          </w:tcPr>
          <w:p w14:paraId="4E908F16">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4212080A">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2781D49D">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nil"/>
              <w:left w:val="nil"/>
              <w:bottom w:val="single" w:color="000000" w:sz="8" w:space="0"/>
              <w:right w:val="single" w:color="000000" w:sz="8" w:space="0"/>
            </w:tcBorders>
            <w:shd w:val="clear" w:color="auto" w:fill="auto"/>
            <w:vAlign w:val="top"/>
          </w:tcPr>
          <w:p w14:paraId="7F13EBF4">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nil"/>
              <w:left w:val="nil"/>
              <w:bottom w:val="single" w:color="000000" w:sz="8" w:space="0"/>
              <w:right w:val="single" w:color="000000" w:sz="8" w:space="0"/>
            </w:tcBorders>
            <w:shd w:val="clear" w:color="auto" w:fill="auto"/>
            <w:vAlign w:val="top"/>
          </w:tcPr>
          <w:p w14:paraId="4D632F65">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nil"/>
              <w:left w:val="nil"/>
              <w:bottom w:val="single" w:color="000000" w:sz="8" w:space="0"/>
              <w:right w:val="single" w:color="000000" w:sz="8" w:space="0"/>
            </w:tcBorders>
            <w:shd w:val="clear" w:color="auto" w:fill="auto"/>
            <w:vAlign w:val="top"/>
          </w:tcPr>
          <w:p w14:paraId="06FB9A7B">
            <w:pPr>
              <w:jc w:val="both"/>
              <w:rPr>
                <w:rFonts w:hint="eastAsia" w:ascii="仿宋_GB2312" w:hAnsi="宋体" w:eastAsia="仿宋_GB2312" w:cs="仿宋_GB2312"/>
                <w:i w:val="0"/>
                <w:iCs w:val="0"/>
                <w:color w:val="000000"/>
                <w:sz w:val="20"/>
                <w:szCs w:val="20"/>
                <w:u w:val="none"/>
              </w:rPr>
            </w:pPr>
          </w:p>
        </w:tc>
        <w:tc>
          <w:tcPr>
            <w:tcW w:w="4950" w:type="dxa"/>
            <w:vMerge w:val="continue"/>
            <w:tcBorders>
              <w:top w:val="nil"/>
              <w:left w:val="nil"/>
              <w:bottom w:val="single" w:color="000000" w:sz="8" w:space="0"/>
              <w:right w:val="nil"/>
            </w:tcBorders>
            <w:shd w:val="clear" w:color="auto" w:fill="auto"/>
            <w:vAlign w:val="top"/>
          </w:tcPr>
          <w:p w14:paraId="205531FD">
            <w:pPr>
              <w:jc w:val="both"/>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86F59A">
            <w:pPr>
              <w:jc w:val="both"/>
              <w:rPr>
                <w:rFonts w:hint="eastAsia" w:ascii="仿宋_GB2312" w:hAnsi="宋体" w:eastAsia="仿宋_GB2312" w:cs="仿宋_GB2312"/>
                <w:i w:val="0"/>
                <w:iCs w:val="0"/>
                <w:color w:val="000000"/>
                <w:sz w:val="18"/>
                <w:szCs w:val="18"/>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EE3BD69">
            <w:pPr>
              <w:jc w:val="both"/>
              <w:rPr>
                <w:rFonts w:hint="eastAsia" w:ascii="仿宋_GB2312" w:hAnsi="宋体" w:eastAsia="仿宋_GB2312" w:cs="仿宋_GB2312"/>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D0DF35F">
            <w:pPr>
              <w:jc w:val="both"/>
              <w:rPr>
                <w:rFonts w:hint="eastAsia" w:ascii="仿宋_GB2312" w:hAnsi="宋体" w:eastAsia="仿宋_GB2312" w:cs="仿宋_GB2312"/>
                <w:i w:val="0"/>
                <w:iCs w:val="0"/>
                <w:color w:val="000000"/>
                <w:sz w:val="22"/>
                <w:szCs w:val="22"/>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C73E56">
            <w:pPr>
              <w:jc w:val="both"/>
              <w:rPr>
                <w:rFonts w:hint="eastAsia" w:ascii="宋体" w:hAnsi="宋体" w:eastAsia="宋体" w:cs="宋体"/>
                <w:i w:val="0"/>
                <w:iCs w:val="0"/>
                <w:color w:val="000000"/>
                <w:sz w:val="22"/>
                <w:szCs w:val="22"/>
                <w:u w:val="none"/>
              </w:rPr>
            </w:pPr>
          </w:p>
        </w:tc>
      </w:tr>
      <w:tr w14:paraId="1A0A0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36" w:type="dxa"/>
            <w:vMerge w:val="continue"/>
            <w:tcBorders>
              <w:top w:val="nil"/>
              <w:left w:val="single" w:color="000000" w:sz="8" w:space="0"/>
              <w:bottom w:val="single" w:color="000000" w:sz="8" w:space="0"/>
              <w:right w:val="single" w:color="000000" w:sz="8" w:space="0"/>
            </w:tcBorders>
            <w:shd w:val="clear" w:color="auto" w:fill="auto"/>
            <w:vAlign w:val="top"/>
          </w:tcPr>
          <w:p w14:paraId="142072E8">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57257E8B">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nil"/>
              <w:left w:val="nil"/>
              <w:bottom w:val="single" w:color="000000" w:sz="8" w:space="0"/>
              <w:right w:val="single" w:color="000000" w:sz="8" w:space="0"/>
            </w:tcBorders>
            <w:shd w:val="clear" w:color="auto" w:fill="auto"/>
            <w:vAlign w:val="top"/>
          </w:tcPr>
          <w:p w14:paraId="5F9BFA05">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7661409A">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6877942A">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nil"/>
              <w:left w:val="nil"/>
              <w:bottom w:val="single" w:color="000000" w:sz="8" w:space="0"/>
              <w:right w:val="single" w:color="000000" w:sz="8" w:space="0"/>
            </w:tcBorders>
            <w:shd w:val="clear" w:color="auto" w:fill="auto"/>
            <w:vAlign w:val="top"/>
          </w:tcPr>
          <w:p w14:paraId="45980DC8">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nil"/>
              <w:left w:val="nil"/>
              <w:bottom w:val="single" w:color="000000" w:sz="8" w:space="0"/>
              <w:right w:val="single" w:color="000000" w:sz="8" w:space="0"/>
            </w:tcBorders>
            <w:shd w:val="clear" w:color="auto" w:fill="auto"/>
            <w:vAlign w:val="top"/>
          </w:tcPr>
          <w:p w14:paraId="45D93047">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nil"/>
              <w:left w:val="nil"/>
              <w:bottom w:val="single" w:color="000000" w:sz="8" w:space="0"/>
              <w:right w:val="single" w:color="000000" w:sz="8" w:space="0"/>
            </w:tcBorders>
            <w:shd w:val="clear" w:color="auto" w:fill="auto"/>
            <w:vAlign w:val="top"/>
          </w:tcPr>
          <w:p w14:paraId="387A1B6E">
            <w:pPr>
              <w:jc w:val="both"/>
              <w:rPr>
                <w:rFonts w:hint="eastAsia" w:ascii="仿宋_GB2312" w:hAnsi="宋体" w:eastAsia="仿宋_GB2312" w:cs="仿宋_GB2312"/>
                <w:i w:val="0"/>
                <w:iCs w:val="0"/>
                <w:color w:val="000000"/>
                <w:sz w:val="20"/>
                <w:szCs w:val="20"/>
                <w:u w:val="none"/>
              </w:rPr>
            </w:pPr>
          </w:p>
        </w:tc>
        <w:tc>
          <w:tcPr>
            <w:tcW w:w="4950" w:type="dxa"/>
            <w:vMerge w:val="continue"/>
            <w:tcBorders>
              <w:top w:val="nil"/>
              <w:left w:val="nil"/>
              <w:bottom w:val="single" w:color="000000" w:sz="8" w:space="0"/>
              <w:right w:val="nil"/>
            </w:tcBorders>
            <w:shd w:val="clear" w:color="auto" w:fill="auto"/>
            <w:vAlign w:val="top"/>
          </w:tcPr>
          <w:p w14:paraId="5268359F">
            <w:pPr>
              <w:jc w:val="both"/>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1331BE9">
            <w:pPr>
              <w:jc w:val="both"/>
              <w:rPr>
                <w:rFonts w:hint="eastAsia" w:ascii="仿宋_GB2312" w:hAnsi="宋体" w:eastAsia="仿宋_GB2312" w:cs="仿宋_GB2312"/>
                <w:i w:val="0"/>
                <w:iCs w:val="0"/>
                <w:color w:val="000000"/>
                <w:sz w:val="18"/>
                <w:szCs w:val="18"/>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7E0BB3F">
            <w:pPr>
              <w:jc w:val="both"/>
              <w:rPr>
                <w:rFonts w:hint="eastAsia" w:ascii="仿宋_GB2312" w:hAnsi="宋体" w:eastAsia="仿宋_GB2312" w:cs="仿宋_GB2312"/>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00B2686">
            <w:pPr>
              <w:jc w:val="both"/>
              <w:rPr>
                <w:rFonts w:hint="eastAsia" w:ascii="仿宋_GB2312" w:hAnsi="宋体" w:eastAsia="仿宋_GB2312" w:cs="仿宋_GB2312"/>
                <w:i w:val="0"/>
                <w:iCs w:val="0"/>
                <w:color w:val="000000"/>
                <w:sz w:val="22"/>
                <w:szCs w:val="22"/>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A16CE2">
            <w:pPr>
              <w:jc w:val="both"/>
              <w:rPr>
                <w:rFonts w:hint="eastAsia" w:ascii="宋体" w:hAnsi="宋体" w:eastAsia="宋体" w:cs="宋体"/>
                <w:i w:val="0"/>
                <w:iCs w:val="0"/>
                <w:color w:val="000000"/>
                <w:sz w:val="22"/>
                <w:szCs w:val="22"/>
                <w:u w:val="none"/>
              </w:rPr>
            </w:pPr>
          </w:p>
        </w:tc>
      </w:tr>
      <w:tr w14:paraId="0B1E8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0" w:hRule="atLeast"/>
        </w:trPr>
        <w:tc>
          <w:tcPr>
            <w:tcW w:w="436" w:type="dxa"/>
            <w:vMerge w:val="continue"/>
            <w:tcBorders>
              <w:top w:val="nil"/>
              <w:left w:val="single" w:color="000000" w:sz="8" w:space="0"/>
              <w:bottom w:val="single" w:color="000000" w:sz="8" w:space="0"/>
              <w:right w:val="single" w:color="000000" w:sz="8" w:space="0"/>
            </w:tcBorders>
            <w:shd w:val="clear" w:color="auto" w:fill="auto"/>
            <w:vAlign w:val="top"/>
          </w:tcPr>
          <w:p w14:paraId="3EECA9C3">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3F0C36DA">
            <w:pPr>
              <w:jc w:val="both"/>
              <w:rPr>
                <w:rFonts w:hint="eastAsia" w:ascii="仿宋_GB2312" w:hAnsi="宋体" w:eastAsia="仿宋_GB2312" w:cs="仿宋_GB2312"/>
                <w:i w:val="0"/>
                <w:iCs w:val="0"/>
                <w:color w:val="000000"/>
                <w:sz w:val="20"/>
                <w:szCs w:val="20"/>
                <w:u w:val="none"/>
              </w:rPr>
            </w:pPr>
          </w:p>
        </w:tc>
        <w:tc>
          <w:tcPr>
            <w:tcW w:w="616" w:type="dxa"/>
            <w:vMerge w:val="continue"/>
            <w:tcBorders>
              <w:top w:val="nil"/>
              <w:left w:val="nil"/>
              <w:bottom w:val="single" w:color="000000" w:sz="8" w:space="0"/>
              <w:right w:val="single" w:color="000000" w:sz="8" w:space="0"/>
            </w:tcBorders>
            <w:shd w:val="clear" w:color="auto" w:fill="auto"/>
            <w:vAlign w:val="top"/>
          </w:tcPr>
          <w:p w14:paraId="06717BFF">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29438304">
            <w:pPr>
              <w:jc w:val="both"/>
              <w:rPr>
                <w:rFonts w:hint="eastAsia" w:ascii="仿宋_GB2312" w:hAnsi="宋体" w:eastAsia="仿宋_GB2312" w:cs="仿宋_GB2312"/>
                <w:i w:val="0"/>
                <w:iCs w:val="0"/>
                <w:color w:val="000000"/>
                <w:sz w:val="20"/>
                <w:szCs w:val="20"/>
                <w:u w:val="none"/>
              </w:rPr>
            </w:pPr>
          </w:p>
        </w:tc>
        <w:tc>
          <w:tcPr>
            <w:tcW w:w="416" w:type="dxa"/>
            <w:vMerge w:val="continue"/>
            <w:tcBorders>
              <w:top w:val="nil"/>
              <w:left w:val="nil"/>
              <w:bottom w:val="single" w:color="000000" w:sz="8" w:space="0"/>
              <w:right w:val="single" w:color="000000" w:sz="8" w:space="0"/>
            </w:tcBorders>
            <w:shd w:val="clear" w:color="auto" w:fill="auto"/>
            <w:vAlign w:val="top"/>
          </w:tcPr>
          <w:p w14:paraId="4FB5C8C9">
            <w:pPr>
              <w:jc w:val="both"/>
              <w:rPr>
                <w:rFonts w:hint="eastAsia" w:ascii="仿宋_GB2312" w:hAnsi="宋体" w:eastAsia="仿宋_GB2312" w:cs="仿宋_GB2312"/>
                <w:i w:val="0"/>
                <w:iCs w:val="0"/>
                <w:color w:val="000000"/>
                <w:sz w:val="20"/>
                <w:szCs w:val="20"/>
                <w:u w:val="none"/>
              </w:rPr>
            </w:pPr>
          </w:p>
        </w:tc>
        <w:tc>
          <w:tcPr>
            <w:tcW w:w="916" w:type="dxa"/>
            <w:vMerge w:val="continue"/>
            <w:tcBorders>
              <w:top w:val="nil"/>
              <w:left w:val="nil"/>
              <w:bottom w:val="single" w:color="000000" w:sz="8" w:space="0"/>
              <w:right w:val="single" w:color="000000" w:sz="8" w:space="0"/>
            </w:tcBorders>
            <w:shd w:val="clear" w:color="auto" w:fill="auto"/>
            <w:vAlign w:val="top"/>
          </w:tcPr>
          <w:p w14:paraId="0917C13C">
            <w:pPr>
              <w:jc w:val="both"/>
              <w:rPr>
                <w:rFonts w:hint="eastAsia" w:ascii="仿宋_GB2312" w:hAnsi="宋体" w:eastAsia="仿宋_GB2312" w:cs="仿宋_GB2312"/>
                <w:i w:val="0"/>
                <w:iCs w:val="0"/>
                <w:color w:val="000000"/>
                <w:sz w:val="20"/>
                <w:szCs w:val="20"/>
                <w:u w:val="none"/>
              </w:rPr>
            </w:pPr>
          </w:p>
        </w:tc>
        <w:tc>
          <w:tcPr>
            <w:tcW w:w="3371" w:type="dxa"/>
            <w:vMerge w:val="continue"/>
            <w:tcBorders>
              <w:top w:val="nil"/>
              <w:left w:val="nil"/>
              <w:bottom w:val="single" w:color="000000" w:sz="8" w:space="0"/>
              <w:right w:val="single" w:color="000000" w:sz="8" w:space="0"/>
            </w:tcBorders>
            <w:shd w:val="clear" w:color="auto" w:fill="auto"/>
            <w:vAlign w:val="top"/>
          </w:tcPr>
          <w:p w14:paraId="5C58CA1F">
            <w:pPr>
              <w:jc w:val="both"/>
              <w:rPr>
                <w:rFonts w:hint="eastAsia" w:ascii="仿宋_GB2312" w:hAnsi="宋体" w:eastAsia="仿宋_GB2312" w:cs="仿宋_GB2312"/>
                <w:i w:val="0"/>
                <w:iCs w:val="0"/>
                <w:color w:val="000000"/>
                <w:sz w:val="20"/>
                <w:szCs w:val="20"/>
                <w:u w:val="none"/>
              </w:rPr>
            </w:pPr>
          </w:p>
        </w:tc>
        <w:tc>
          <w:tcPr>
            <w:tcW w:w="1965" w:type="dxa"/>
            <w:vMerge w:val="continue"/>
            <w:tcBorders>
              <w:top w:val="nil"/>
              <w:left w:val="nil"/>
              <w:bottom w:val="single" w:color="000000" w:sz="8" w:space="0"/>
              <w:right w:val="single" w:color="000000" w:sz="8" w:space="0"/>
            </w:tcBorders>
            <w:shd w:val="clear" w:color="auto" w:fill="auto"/>
            <w:vAlign w:val="top"/>
          </w:tcPr>
          <w:p w14:paraId="524B904E">
            <w:pPr>
              <w:jc w:val="both"/>
              <w:rPr>
                <w:rFonts w:hint="eastAsia" w:ascii="仿宋_GB2312" w:hAnsi="宋体" w:eastAsia="仿宋_GB2312" w:cs="仿宋_GB2312"/>
                <w:i w:val="0"/>
                <w:iCs w:val="0"/>
                <w:color w:val="000000"/>
                <w:sz w:val="20"/>
                <w:szCs w:val="20"/>
                <w:u w:val="none"/>
              </w:rPr>
            </w:pPr>
          </w:p>
        </w:tc>
        <w:tc>
          <w:tcPr>
            <w:tcW w:w="4950" w:type="dxa"/>
            <w:vMerge w:val="continue"/>
            <w:tcBorders>
              <w:top w:val="nil"/>
              <w:left w:val="nil"/>
              <w:bottom w:val="single" w:color="000000" w:sz="8" w:space="0"/>
              <w:right w:val="nil"/>
            </w:tcBorders>
            <w:shd w:val="clear" w:color="auto" w:fill="auto"/>
            <w:vAlign w:val="top"/>
          </w:tcPr>
          <w:p w14:paraId="6FA08E4C">
            <w:pPr>
              <w:jc w:val="both"/>
              <w:rPr>
                <w:rFonts w:hint="eastAsia" w:ascii="仿宋_GB2312" w:hAnsi="宋体" w:eastAsia="仿宋_GB2312" w:cs="仿宋_GB2312"/>
                <w:i w:val="0"/>
                <w:iCs w:val="0"/>
                <w:color w:val="000000"/>
                <w:sz w:val="20"/>
                <w:szCs w:val="20"/>
                <w:u w:val="none"/>
              </w:rPr>
            </w:pPr>
          </w:p>
        </w:tc>
        <w:tc>
          <w:tcPr>
            <w:tcW w:w="186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326DE8">
            <w:pPr>
              <w:jc w:val="both"/>
              <w:rPr>
                <w:rFonts w:hint="eastAsia" w:ascii="仿宋_GB2312" w:hAnsi="宋体" w:eastAsia="仿宋_GB2312" w:cs="仿宋_GB2312"/>
                <w:i w:val="0"/>
                <w:iCs w:val="0"/>
                <w:color w:val="000000"/>
                <w:sz w:val="18"/>
                <w:szCs w:val="18"/>
                <w:u w:val="none"/>
              </w:rPr>
            </w:pPr>
          </w:p>
        </w:tc>
        <w:tc>
          <w:tcPr>
            <w:tcW w:w="351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EE3949">
            <w:pPr>
              <w:jc w:val="both"/>
              <w:rPr>
                <w:rFonts w:hint="eastAsia" w:ascii="仿宋_GB2312" w:hAnsi="宋体" w:eastAsia="仿宋_GB2312" w:cs="仿宋_GB2312"/>
                <w:i w:val="0"/>
                <w:iCs w:val="0"/>
                <w:color w:val="000000"/>
                <w:sz w:val="18"/>
                <w:szCs w:val="18"/>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453FE4">
            <w:pPr>
              <w:jc w:val="both"/>
              <w:rPr>
                <w:rFonts w:hint="eastAsia" w:ascii="仿宋_GB2312" w:hAnsi="宋体" w:eastAsia="仿宋_GB2312" w:cs="仿宋_GB2312"/>
                <w:i w:val="0"/>
                <w:iCs w:val="0"/>
                <w:color w:val="000000"/>
                <w:sz w:val="22"/>
                <w:szCs w:val="22"/>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47D833">
            <w:pPr>
              <w:jc w:val="both"/>
              <w:rPr>
                <w:rFonts w:hint="eastAsia" w:ascii="宋体" w:hAnsi="宋体" w:eastAsia="宋体" w:cs="宋体"/>
                <w:i w:val="0"/>
                <w:iCs w:val="0"/>
                <w:color w:val="000000"/>
                <w:sz w:val="22"/>
                <w:szCs w:val="22"/>
                <w:u w:val="none"/>
              </w:rPr>
            </w:pPr>
          </w:p>
        </w:tc>
      </w:tr>
    </w:tbl>
    <w:p w14:paraId="5ED34ACC">
      <w:bookmarkStart w:id="0" w:name="_GoBack"/>
      <w:bookmarkEnd w:id="0"/>
    </w:p>
    <w:sectPr>
      <w:pgSz w:w="23811" w:h="16838"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100784"/>
    <w:rsid w:val="055C2FDE"/>
    <w:rsid w:val="1BF17A78"/>
    <w:rsid w:val="1FE77B67"/>
    <w:rsid w:val="23100784"/>
    <w:rsid w:val="2EDFF82A"/>
    <w:rsid w:val="2FDF2C8A"/>
    <w:rsid w:val="2FFFCC55"/>
    <w:rsid w:val="38EF1165"/>
    <w:rsid w:val="3BF4203E"/>
    <w:rsid w:val="3F7BCEF6"/>
    <w:rsid w:val="3FFDC612"/>
    <w:rsid w:val="4FE68BFB"/>
    <w:rsid w:val="57EBA303"/>
    <w:rsid w:val="5BFFC711"/>
    <w:rsid w:val="6FF7AF53"/>
    <w:rsid w:val="737FD995"/>
    <w:rsid w:val="77213753"/>
    <w:rsid w:val="7937C890"/>
    <w:rsid w:val="7AFE18EA"/>
    <w:rsid w:val="7F1F278C"/>
    <w:rsid w:val="7F7850DB"/>
    <w:rsid w:val="7FA7DBA1"/>
    <w:rsid w:val="7FFBB4FD"/>
    <w:rsid w:val="ABC17DA4"/>
    <w:rsid w:val="B6FBA4C5"/>
    <w:rsid w:val="CFB7F5B7"/>
    <w:rsid w:val="DCBD6AD2"/>
    <w:rsid w:val="DF3EB39E"/>
    <w:rsid w:val="DFEA8BCC"/>
    <w:rsid w:val="F073A915"/>
    <w:rsid w:val="F3EF99CE"/>
    <w:rsid w:val="F6B3C4D5"/>
    <w:rsid w:val="F7714656"/>
    <w:rsid w:val="F7DE24A3"/>
    <w:rsid w:val="F9EE65B8"/>
    <w:rsid w:val="F9EF3048"/>
    <w:rsid w:val="FEBF00F6"/>
    <w:rsid w:val="FEFC06CA"/>
    <w:rsid w:val="FFBF6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qFormat/>
    <w:uiPriority w:val="0"/>
    <w:pPr>
      <w:ind w:firstLine="200" w:firstLineChars="200"/>
    </w:pPr>
    <w:rPr>
      <w:sz w:val="21"/>
    </w:rPr>
  </w:style>
  <w:style w:type="paragraph" w:customStyle="1" w:styleId="3">
    <w:name w:val="正文文本缩进1"/>
    <w:basedOn w:val="1"/>
    <w:qFormat/>
    <w:uiPriority w:val="0"/>
    <w:pPr>
      <w:spacing w:after="120"/>
      <w:ind w:left="20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font71"/>
    <w:basedOn w:val="7"/>
    <w:qFormat/>
    <w:uiPriority w:val="0"/>
    <w:rPr>
      <w:rFonts w:hint="eastAsia" w:ascii="仿宋_GB2312" w:eastAsia="仿宋_GB2312" w:cs="仿宋_GB2312"/>
      <w:color w:val="000000"/>
      <w:sz w:val="20"/>
      <w:szCs w:val="20"/>
      <w:u w:val="none"/>
    </w:rPr>
  </w:style>
  <w:style w:type="character" w:customStyle="1" w:styleId="9">
    <w:name w:val="font121"/>
    <w:basedOn w:val="7"/>
    <w:qFormat/>
    <w:uiPriority w:val="0"/>
    <w:rPr>
      <w:rFonts w:hint="eastAsia" w:ascii="仿宋_GB2312" w:eastAsia="仿宋_GB2312" w:cs="仿宋_GB2312"/>
      <w:color w:val="000000"/>
      <w:sz w:val="20"/>
      <w:szCs w:val="20"/>
      <w:u w:val="none"/>
    </w:rPr>
  </w:style>
  <w:style w:type="character" w:customStyle="1" w:styleId="10">
    <w:name w:val="font61"/>
    <w:basedOn w:val="7"/>
    <w:qFormat/>
    <w:uiPriority w:val="0"/>
    <w:rPr>
      <w:rFonts w:hint="eastAsia" w:ascii="仿宋_GB2312" w:eastAsia="仿宋_GB2312" w:cs="仿宋_GB2312"/>
      <w:color w:val="000000"/>
      <w:sz w:val="20"/>
      <w:szCs w:val="20"/>
      <w:u w:val="none"/>
    </w:rPr>
  </w:style>
  <w:style w:type="character" w:customStyle="1" w:styleId="11">
    <w:name w:val="font131"/>
    <w:basedOn w:val="7"/>
    <w:qFormat/>
    <w:uiPriority w:val="0"/>
    <w:rPr>
      <w:rFonts w:ascii="Arial" w:hAnsi="Arial" w:cs="Arial"/>
      <w:color w:val="000000"/>
      <w:sz w:val="20"/>
      <w:szCs w:val="20"/>
      <w:u w:val="none"/>
    </w:rPr>
  </w:style>
  <w:style w:type="character" w:customStyle="1" w:styleId="12">
    <w:name w:val="font141"/>
    <w:basedOn w:val="7"/>
    <w:qFormat/>
    <w:uiPriority w:val="0"/>
    <w:rPr>
      <w:rFonts w:ascii="方正书宋_GBK" w:hAnsi="方正书宋_GBK" w:eastAsia="方正书宋_GBK" w:cs="方正书宋_GBK"/>
      <w:color w:val="000000"/>
      <w:sz w:val="20"/>
      <w:szCs w:val="20"/>
      <w:u w:val="none"/>
    </w:rPr>
  </w:style>
  <w:style w:type="character" w:customStyle="1" w:styleId="13">
    <w:name w:val="font161"/>
    <w:basedOn w:val="7"/>
    <w:qFormat/>
    <w:uiPriority w:val="0"/>
    <w:rPr>
      <w:rFonts w:hint="eastAsia" w:ascii="宋体" w:hAnsi="宋体" w:eastAsia="宋体" w:cs="宋体"/>
      <w:color w:val="000000"/>
      <w:sz w:val="20"/>
      <w:szCs w:val="20"/>
      <w:u w:val="none"/>
    </w:rPr>
  </w:style>
  <w:style w:type="character" w:customStyle="1" w:styleId="14">
    <w:name w:val="font81"/>
    <w:basedOn w:val="7"/>
    <w:qFormat/>
    <w:uiPriority w:val="0"/>
    <w:rPr>
      <w:rFonts w:hint="eastAsia" w:ascii="宋体" w:hAnsi="宋体" w:eastAsia="宋体" w:cs="宋体"/>
      <w:color w:val="000000"/>
      <w:sz w:val="20"/>
      <w:szCs w:val="20"/>
      <w:u w:val="none"/>
    </w:rPr>
  </w:style>
  <w:style w:type="character" w:customStyle="1" w:styleId="15">
    <w:name w:val="font21"/>
    <w:basedOn w:val="7"/>
    <w:qFormat/>
    <w:uiPriority w:val="0"/>
    <w:rPr>
      <w:rFonts w:hint="default" w:ascii="Times New Roman" w:hAnsi="Times New Roman" w:cs="Times New Roman"/>
      <w:color w:val="000000"/>
      <w:sz w:val="20"/>
      <w:szCs w:val="20"/>
      <w:u w:val="none"/>
    </w:rPr>
  </w:style>
  <w:style w:type="character" w:customStyle="1" w:styleId="16">
    <w:name w:val="font151"/>
    <w:basedOn w:val="7"/>
    <w:qFormat/>
    <w:uiPriority w:val="0"/>
    <w:rPr>
      <w:rFonts w:hint="default" w:ascii="Times New Roman" w:hAnsi="Times New Roman" w:cs="Times New Roman"/>
      <w:color w:val="000000"/>
      <w:sz w:val="20"/>
      <w:szCs w:val="20"/>
      <w:u w:val="none"/>
    </w:rPr>
  </w:style>
  <w:style w:type="character" w:customStyle="1" w:styleId="17">
    <w:name w:val="font171"/>
    <w:basedOn w:val="7"/>
    <w:qFormat/>
    <w:uiPriority w:val="0"/>
    <w:rPr>
      <w:rFonts w:hint="eastAsia" w:ascii="仿宋_GB2312" w:eastAsia="仿宋_GB2312" w:cs="仿宋_GB2312"/>
      <w:b/>
      <w:bCs/>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72</Pages>
  <Words>0</Words>
  <Characters>0</Characters>
  <Lines>0</Lines>
  <Paragraphs>0</Paragraphs>
  <TotalTime>16</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2023-08-25T09:34:00Z</dcterms:created>
  <dc:creator>想要变成猫</dc:creator>
  <cp:lastModifiedBy>gxxc</cp:lastModifiedBy>
  <dcterms:modified xsi:type="dcterms:W3CDTF">2026-10-23T15:42:04Z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6E285C861E0741849E53B9F5A961279B</vt:lpwstr>
  </property>
</Properties>
</file>