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outlineLvl w:val="0"/>
        <w:rPr>
          <w:rFonts w:eastAsia="方正小标宋简体" w:cs="方正小标宋简体"/>
          <w:snapToGrid w:val="0"/>
          <w:sz w:val="44"/>
          <w:szCs w:val="44"/>
        </w:rPr>
      </w:pPr>
      <w:bookmarkStart w:id="0" w:name="_Toc89999792"/>
      <w:r>
        <w:rPr>
          <w:rFonts w:hint="eastAsia" w:eastAsia="方正小标宋简体" w:cs="方正小标宋简体"/>
          <w:snapToGrid w:val="0"/>
          <w:sz w:val="44"/>
          <w:szCs w:val="44"/>
        </w:rPr>
        <w:t>融水苗族自治县和睦镇人民政府权责清单</w:t>
      </w:r>
      <w:bookmarkEnd w:id="0"/>
    </w:p>
    <w:tbl>
      <w:tblPr>
        <w:tblStyle w:val="11"/>
        <w:tblW w:w="0" w:type="auto"/>
        <w:tblInd w:w="0" w:type="dxa"/>
        <w:tblLayout w:type="fixed"/>
        <w:tblCellMar>
          <w:top w:w="28" w:type="dxa"/>
          <w:left w:w="28" w:type="dxa"/>
          <w:bottom w:w="28" w:type="dxa"/>
          <w:right w:w="28" w:type="dxa"/>
        </w:tblCellMar>
      </w:tblPr>
      <w:tblGrid>
        <w:gridCol w:w="527"/>
        <w:gridCol w:w="457"/>
        <w:gridCol w:w="480"/>
        <w:gridCol w:w="575"/>
        <w:gridCol w:w="443"/>
        <w:gridCol w:w="783"/>
        <w:gridCol w:w="2938"/>
        <w:gridCol w:w="2730"/>
        <w:gridCol w:w="3811"/>
        <w:gridCol w:w="2969"/>
        <w:gridCol w:w="4161"/>
        <w:gridCol w:w="1150"/>
        <w:gridCol w:w="757"/>
      </w:tblGrid>
      <w:tr>
        <w:tblPrEx>
          <w:tblCellMar>
            <w:top w:w="28" w:type="dxa"/>
            <w:left w:w="28" w:type="dxa"/>
            <w:bottom w:w="28" w:type="dxa"/>
            <w:right w:w="28" w:type="dxa"/>
          </w:tblCellMar>
        </w:tblPrEx>
        <w:trPr>
          <w:trHeight w:val="90" w:hRule="atLeast"/>
          <w:tblHeader/>
        </w:trPr>
        <w:tc>
          <w:tcPr>
            <w:tcW w:w="52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序号</w:t>
            </w:r>
          </w:p>
        </w:tc>
        <w:tc>
          <w:tcPr>
            <w:tcW w:w="45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w:t>
            </w:r>
          </w:p>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分类</w:t>
            </w:r>
          </w:p>
        </w:tc>
        <w:tc>
          <w:tcPr>
            <w:tcW w:w="5219" w:type="dxa"/>
            <w:gridSpan w:val="5"/>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权力清单</w:t>
            </w:r>
          </w:p>
        </w:tc>
        <w:tc>
          <w:tcPr>
            <w:tcW w:w="13671"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责任清单</w:t>
            </w:r>
          </w:p>
        </w:tc>
        <w:tc>
          <w:tcPr>
            <w:tcW w:w="11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p>
        </w:tc>
        <w:tc>
          <w:tcPr>
            <w:tcW w:w="75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备注</w:t>
            </w:r>
          </w:p>
        </w:tc>
      </w:tr>
      <w:tr>
        <w:tblPrEx>
          <w:tblCellMar>
            <w:top w:w="28" w:type="dxa"/>
            <w:left w:w="28" w:type="dxa"/>
            <w:bottom w:w="28" w:type="dxa"/>
            <w:right w:w="28" w:type="dxa"/>
          </w:tblCellMar>
        </w:tblPrEx>
        <w:trPr>
          <w:trHeight w:val="90" w:hRule="atLeast"/>
          <w:tblHeader/>
        </w:trPr>
        <w:tc>
          <w:tcPr>
            <w:tcW w:w="52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p>
        </w:tc>
        <w:tc>
          <w:tcPr>
            <w:tcW w:w="45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p>
        </w:tc>
        <w:tc>
          <w:tcPr>
            <w:tcW w:w="48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项目名称</w:t>
            </w:r>
          </w:p>
        </w:tc>
        <w:tc>
          <w:tcPr>
            <w:tcW w:w="57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子项名称</w:t>
            </w:r>
          </w:p>
        </w:tc>
        <w:tc>
          <w:tcPr>
            <w:tcW w:w="443"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300" w:lineRule="exact"/>
              <w:jc w:val="center"/>
              <w:rPr>
                <w:rFonts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实施主体</w:t>
            </w:r>
          </w:p>
        </w:tc>
        <w:tc>
          <w:tcPr>
            <w:tcW w:w="783"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300" w:lineRule="exact"/>
              <w:jc w:val="center"/>
              <w:rPr>
                <w:rFonts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承办的内设机构</w:t>
            </w:r>
          </w:p>
        </w:tc>
        <w:tc>
          <w:tcPr>
            <w:tcW w:w="2938"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设定依据</w:t>
            </w:r>
          </w:p>
        </w:tc>
        <w:tc>
          <w:tcPr>
            <w:tcW w:w="273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w:t>
            </w:r>
          </w:p>
        </w:tc>
        <w:tc>
          <w:tcPr>
            <w:tcW w:w="381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责任事项依据</w:t>
            </w:r>
          </w:p>
        </w:tc>
        <w:tc>
          <w:tcPr>
            <w:tcW w:w="2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追责情形</w:t>
            </w:r>
          </w:p>
        </w:tc>
        <w:tc>
          <w:tcPr>
            <w:tcW w:w="416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追责依据</w:t>
            </w:r>
          </w:p>
        </w:tc>
        <w:tc>
          <w:tcPr>
            <w:tcW w:w="11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免责事项</w:t>
            </w:r>
          </w:p>
        </w:tc>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p>
        </w:tc>
      </w:tr>
      <w:tr>
        <w:tblPrEx>
          <w:tblCellMar>
            <w:top w:w="28" w:type="dxa"/>
            <w:left w:w="28" w:type="dxa"/>
            <w:bottom w:w="28" w:type="dxa"/>
            <w:right w:w="28" w:type="dxa"/>
          </w:tblCellMar>
        </w:tblPrEx>
        <w:trPr>
          <w:trHeight w:val="11821" w:hRule="atLeast"/>
        </w:trPr>
        <w:tc>
          <w:tcPr>
            <w:tcW w:w="5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w:t>
            </w:r>
          </w:p>
        </w:tc>
        <w:tc>
          <w:tcPr>
            <w:tcW w:w="457"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行行政许可</w:t>
            </w:r>
          </w:p>
        </w:tc>
        <w:tc>
          <w:tcPr>
            <w:tcW w:w="480" w:type="dxa"/>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适龄儿童、少年因身体状况需要延缓入学或者休学审批</w:t>
            </w:r>
          </w:p>
        </w:tc>
        <w:tc>
          <w:tcPr>
            <w:tcW w:w="575"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center"/>
              <w:rPr>
                <w:rFonts w:ascii="仿宋_GB2312" w:hAnsi="仿宋_GB2312" w:eastAsia="仿宋_GB2312" w:cs="仿宋_GB2312"/>
                <w:color w:val="000000" w:themeColor="text1"/>
                <w:kern w:val="0"/>
                <w:sz w:val="20"/>
                <w:szCs w:val="20"/>
                <w14:textFill>
                  <w14:solidFill>
                    <w14:schemeClr w14:val="tx1"/>
                  </w14:solidFill>
                </w14:textFill>
              </w:rPr>
            </w:pPr>
          </w:p>
        </w:tc>
        <w:tc>
          <w:tcPr>
            <w:tcW w:w="443"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大县教育局</w:t>
            </w:r>
          </w:p>
        </w:tc>
        <w:tc>
          <w:tcPr>
            <w:tcW w:w="783" w:type="dxa"/>
            <w:tcBorders>
              <w:top w:val="single" w:color="auto" w:sz="4" w:space="0"/>
              <w:left w:val="nil"/>
              <w:bottom w:val="single" w:color="auto" w:sz="4" w:space="0"/>
              <w:right w:val="single" w:color="auto" w:sz="4" w:space="0"/>
            </w:tcBorders>
            <w:vAlign w:val="center"/>
          </w:tcPr>
          <w:p>
            <w:pPr>
              <w:adjustRightInd w:val="0"/>
              <w:snapToGrid w:val="0"/>
              <w:spacing w:line="300" w:lineRule="exact"/>
              <w:jc w:val="both"/>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auto"/>
                <w:kern w:val="0"/>
                <w:sz w:val="20"/>
                <w:szCs w:val="20"/>
                <w:lang w:val="en-US" w:eastAsia="zh-CN"/>
              </w:rPr>
              <w:t>社会事务办公室</w:t>
            </w:r>
          </w:p>
        </w:tc>
        <w:tc>
          <w:tcPr>
            <w:tcW w:w="2938"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1.【法律】《中华人民共和国义务教育法》第十一条：   适龄儿童、少年因身体状况需要延缓入学或者休学的，其父母或者其他法定监护人应当提出申请，由当地乡镇人民政府或者县级人民政府教育行政部门批准。</w:t>
            </w:r>
          </w:p>
          <w:p>
            <w:pPr>
              <w:adjustRightInd w:val="0"/>
              <w:snapToGrid w:val="0"/>
              <w:spacing w:line="300" w:lineRule="exact"/>
              <w:ind w:firstLine="400" w:firstLineChars="200"/>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规范性文件】《广西壮族自治区义务教育学籍管理实施办法》（桂教规范〔2013〕2号）第七条：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2730"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1.受理阶段责任：在办公场所公示依法应当提交的材料；一次性告知补正材料；依法受理或不予受理（不予受理应当告知理由）。</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2.审查阶段责任：依据相关法律法规对申请材料进行审查。必要时应当告知并听取各方当事人的意见。</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3.决定阶段责任：作出许可决定、审核意见或不予准许决定，法定告知（不予核准的书面告知并说明理由）。</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4.送达阶段责任：制发许可决定书，按规定抄送有关部门、信息公开。</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5.事后监管阶段责任：建立行政许可档案，加强监督检查。</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6.其他法律法规规章文件规定应承担的责任。</w:t>
            </w:r>
          </w:p>
        </w:tc>
        <w:tc>
          <w:tcPr>
            <w:tcW w:w="3811"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1.【部门规章】《实施教育行政许可若干规定》（2005年教育部令第22号）第六条：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一条：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实施教育行政许可若干规定》（2005年教育部令第22号）第十二条：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adjustRightInd w:val="0"/>
              <w:snapToGrid w:val="0"/>
              <w:spacing w:line="300" w:lineRule="exact"/>
              <w:ind w:firstLine="400" w:firstLineChars="200"/>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部门规章】《实施教育行政许可若干规定》（2005年教育部令第22号）第十八条：除法律、法规授权组织外，实施行政许可，应当以教育行政部门名义作出。有关行政许可的文书、证件，应当以实施行政许可的教育行政部门名义签发并对外发布。</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九条：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部门规章】《实施教育行政许可若干规定》（2005年教育部令第22号）第二十条：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部门规章】《实施教育行政许可若干规定》（2005年教育部令第22号）第二十三条：教育行政部门应当按照行政许可法的规定，建立检查、备案、档案管理等制度。对被许可人从事行政许可事项的活动进行监督检查时，应当制作笔录，笔录归档后，公众有权查阅。</w:t>
            </w:r>
          </w:p>
          <w:p>
            <w:pPr>
              <w:adjustRightInd w:val="0"/>
              <w:snapToGrid w:val="0"/>
              <w:spacing w:line="300" w:lineRule="exact"/>
              <w:ind w:firstLine="400" w:firstLineChars="200"/>
              <w:jc w:val="center"/>
              <w:rPr>
                <w:rFonts w:ascii="仿宋_GB2312" w:hAnsi="仿宋_GB2312" w:eastAsia="仿宋_GB2312" w:cs="仿宋_GB2312"/>
                <w:kern w:val="0"/>
                <w:sz w:val="20"/>
                <w:szCs w:val="20"/>
              </w:rPr>
            </w:pPr>
          </w:p>
          <w:p>
            <w:pPr>
              <w:adjustRightInd w:val="0"/>
              <w:snapToGrid w:val="0"/>
              <w:spacing w:line="300" w:lineRule="exact"/>
              <w:ind w:firstLine="400" w:firstLineChars="200"/>
              <w:jc w:val="center"/>
              <w:rPr>
                <w:rFonts w:ascii="仿宋_GB2312" w:hAnsi="仿宋_GB2312" w:eastAsia="仿宋_GB2312" w:cs="仿宋_GB2312"/>
                <w:kern w:val="0"/>
                <w:sz w:val="20"/>
                <w:szCs w:val="20"/>
              </w:rPr>
            </w:pPr>
          </w:p>
          <w:p>
            <w:pPr>
              <w:adjustRightInd w:val="0"/>
              <w:snapToGrid w:val="0"/>
              <w:spacing w:line="300" w:lineRule="exact"/>
              <w:ind w:firstLine="400" w:firstLineChars="200"/>
              <w:jc w:val="center"/>
              <w:rPr>
                <w:rFonts w:ascii="仿宋_GB2312" w:hAnsi="仿宋_GB2312" w:eastAsia="仿宋_GB2312" w:cs="仿宋_GB2312"/>
                <w:kern w:val="0"/>
                <w:sz w:val="20"/>
                <w:szCs w:val="20"/>
              </w:rPr>
            </w:pPr>
          </w:p>
          <w:p>
            <w:pPr>
              <w:adjustRightInd w:val="0"/>
              <w:snapToGrid w:val="0"/>
              <w:spacing w:line="300" w:lineRule="exact"/>
              <w:ind w:firstLine="400" w:firstLineChars="200"/>
              <w:jc w:val="center"/>
              <w:rPr>
                <w:rFonts w:ascii="仿宋_GB2312" w:hAnsi="仿宋_GB2312" w:eastAsia="仿宋_GB2312" w:cs="仿宋_GB2312"/>
                <w:kern w:val="0"/>
                <w:sz w:val="20"/>
                <w:szCs w:val="20"/>
              </w:rPr>
            </w:pPr>
          </w:p>
        </w:tc>
        <w:tc>
          <w:tcPr>
            <w:tcW w:w="2969"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因不履行或不正确履行行政职责，有下列情形的，行政机关及相关工作人员应承担相应责任：</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1.对符合法定条件的行政许可申请不予受理的。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2.不在办公场所公示依法应当公示的材料的。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3.在受理、审查、决定行政许可过程中，未向申请人、利害关系人履行法定告知义务的。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4.申请人提交的申请材料不齐全、不符合法定形式，不一次告知申请人必须补正的全部内容</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5.未依法说明不受理行政许可申请或者不予行政许可的理由的。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6.向申请人提出不正当要求的；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7.无正当理由对符合法定条件的申请不予受理、不予批准的。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8.其他违反法律法规规章规定的行为。</w:t>
            </w:r>
          </w:p>
        </w:tc>
        <w:tc>
          <w:tcPr>
            <w:tcW w:w="4161" w:type="dxa"/>
            <w:tcBorders>
              <w:top w:val="single" w:color="auto" w:sz="4" w:space="0"/>
              <w:left w:val="nil"/>
              <w:bottom w:val="single" w:color="auto" w:sz="4" w:space="0"/>
              <w:right w:val="single" w:color="auto" w:sz="4" w:space="0"/>
            </w:tcBorders>
          </w:tcPr>
          <w:p>
            <w:pPr>
              <w:adjustRightInd w:val="0"/>
              <w:snapToGrid w:val="0"/>
              <w:spacing w:line="300" w:lineRule="exact"/>
              <w:ind w:firstLine="400" w:firstLineChars="200"/>
              <w:jc w:val="left"/>
              <w:rPr>
                <w:rFonts w:ascii="仿宋_GB2312" w:hAnsi="仿宋_GB2312" w:eastAsia="仿宋_GB2312" w:cs="仿宋_GB2312"/>
                <w:kern w:val="0"/>
                <w:sz w:val="20"/>
                <w:szCs w:val="20"/>
              </w:rPr>
            </w:pPr>
          </w:p>
          <w:p>
            <w:pPr>
              <w:adjustRightInd w:val="0"/>
              <w:snapToGrid w:val="0"/>
              <w:spacing w:line="300" w:lineRule="exact"/>
              <w:ind w:firstLine="400" w:firstLineChars="200"/>
              <w:jc w:val="left"/>
              <w:rPr>
                <w:rFonts w:ascii="仿宋_GB2312" w:hAnsi="仿宋_GB2312" w:eastAsia="仿宋_GB2312" w:cs="仿宋_GB2312"/>
                <w:kern w:val="0"/>
                <w:sz w:val="20"/>
                <w:szCs w:val="20"/>
              </w:rPr>
            </w:pPr>
          </w:p>
          <w:p>
            <w:pPr>
              <w:adjustRightInd w:val="0"/>
              <w:snapToGrid w:val="0"/>
              <w:spacing w:line="300" w:lineRule="exact"/>
              <w:ind w:firstLine="400" w:firstLineChars="200"/>
              <w:jc w:val="left"/>
              <w:rPr>
                <w:rFonts w:ascii="仿宋_GB2312" w:hAnsi="仿宋_GB2312" w:eastAsia="仿宋_GB2312" w:cs="仿宋_GB2312"/>
                <w:kern w:val="0"/>
                <w:sz w:val="20"/>
                <w:szCs w:val="20"/>
              </w:rPr>
            </w:pPr>
          </w:p>
          <w:p>
            <w:pPr>
              <w:adjustRightInd w:val="0"/>
              <w:snapToGrid w:val="0"/>
              <w:spacing w:line="300" w:lineRule="exact"/>
              <w:ind w:firstLine="400" w:firstLineChars="200"/>
              <w:jc w:val="left"/>
              <w:rPr>
                <w:rFonts w:ascii="仿宋_GB2312" w:hAnsi="仿宋_GB2312" w:eastAsia="仿宋_GB2312" w:cs="仿宋_GB2312"/>
                <w:kern w:val="0"/>
                <w:sz w:val="20"/>
                <w:szCs w:val="20"/>
              </w:rPr>
            </w:pPr>
          </w:p>
          <w:p>
            <w:pPr>
              <w:adjustRightInd w:val="0"/>
              <w:snapToGrid w:val="0"/>
              <w:spacing w:line="300" w:lineRule="exact"/>
              <w:jc w:val="center"/>
              <w:rPr>
                <w:rFonts w:ascii="仿宋_GB2312" w:hAnsi="仿宋_GB2312" w:eastAsia="仿宋_GB2312" w:cs="仿宋_GB2312"/>
                <w:kern w:val="0"/>
                <w:sz w:val="20"/>
                <w:szCs w:val="20"/>
              </w:rPr>
            </w:pPr>
          </w:p>
          <w:p>
            <w:pPr>
              <w:widowControl/>
              <w:adjustRightInd w:val="0"/>
              <w:snapToGrid w:val="0"/>
              <w:spacing w:line="300" w:lineRule="exact"/>
              <w:jc w:val="center"/>
              <w:rPr>
                <w:rFonts w:ascii="仿宋_GB2312" w:hAnsi="仿宋_GB2312" w:eastAsia="仿宋_GB2312" w:cs="仿宋_GB2312"/>
                <w:kern w:val="0"/>
                <w:sz w:val="20"/>
                <w:szCs w:val="20"/>
              </w:rPr>
            </w:pPr>
          </w:p>
          <w:p>
            <w:pPr>
              <w:adjustRightInd w:val="0"/>
              <w:snapToGrid w:val="0"/>
              <w:spacing w:line="300" w:lineRule="exact"/>
              <w:ind w:firstLine="400" w:firstLineChars="200"/>
              <w:jc w:val="left"/>
              <w:rPr>
                <w:rFonts w:ascii="仿宋_GB2312" w:hAnsi="仿宋_GB2312" w:eastAsia="仿宋_GB2312" w:cs="仿宋_GB2312"/>
                <w:kern w:val="0"/>
                <w:sz w:val="20"/>
                <w:szCs w:val="20"/>
              </w:rPr>
            </w:pPr>
          </w:p>
          <w:p>
            <w:pPr>
              <w:adjustRightInd w:val="0"/>
              <w:snapToGrid w:val="0"/>
              <w:spacing w:line="300" w:lineRule="exact"/>
              <w:ind w:firstLine="400" w:firstLineChars="200"/>
              <w:jc w:val="left"/>
              <w:rPr>
                <w:rFonts w:ascii="仿宋_GB2312" w:hAnsi="仿宋_GB2312" w:eastAsia="仿宋_GB2312" w:cs="仿宋_GB2312"/>
                <w:kern w:val="0"/>
                <w:sz w:val="20"/>
                <w:szCs w:val="20"/>
              </w:rPr>
            </w:pPr>
          </w:p>
          <w:p>
            <w:pPr>
              <w:adjustRightInd w:val="0"/>
              <w:snapToGrid w:val="0"/>
              <w:spacing w:line="300" w:lineRule="exact"/>
              <w:ind w:firstLine="400" w:firstLineChars="200"/>
              <w:jc w:val="left"/>
              <w:rPr>
                <w:rFonts w:ascii="仿宋_GB2312" w:hAnsi="仿宋_GB2312" w:eastAsia="仿宋_GB2312" w:cs="仿宋_GB2312"/>
                <w:kern w:val="0"/>
                <w:sz w:val="20"/>
                <w:szCs w:val="20"/>
              </w:rPr>
            </w:pPr>
          </w:p>
          <w:p>
            <w:pPr>
              <w:adjustRightInd w:val="0"/>
              <w:snapToGrid w:val="0"/>
              <w:spacing w:line="300" w:lineRule="exact"/>
              <w:ind w:firstLine="400" w:firstLineChars="200"/>
              <w:jc w:val="left"/>
              <w:rPr>
                <w:rFonts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p>
        </w:tc>
        <w:tc>
          <w:tcPr>
            <w:tcW w:w="1150"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w:t>
            </w:r>
          </w:p>
        </w:tc>
        <w:tc>
          <w:tcPr>
            <w:tcW w:w="757"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center"/>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10492" w:hRule="atLeast"/>
        </w:trPr>
        <w:tc>
          <w:tcPr>
            <w:tcW w:w="5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200" w:firstLineChars="1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457" w:type="dxa"/>
            <w:tcBorders>
              <w:top w:val="single" w:color="auto" w:sz="4" w:space="0"/>
              <w:left w:val="nil"/>
              <w:bottom w:val="single" w:color="auto" w:sz="4" w:space="0"/>
              <w:right w:val="single" w:color="auto" w:sz="4" w:space="0"/>
            </w:tcBorders>
            <w:vAlign w:val="center"/>
          </w:tcPr>
          <w:p>
            <w:pPr>
              <w:adjustRightInd w:val="0"/>
              <w:snapToGrid w:val="0"/>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行政许可</w:t>
            </w:r>
          </w:p>
        </w:tc>
        <w:tc>
          <w:tcPr>
            <w:tcW w:w="480"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乡村建设规划许可证核发</w:t>
            </w:r>
          </w:p>
        </w:tc>
        <w:tc>
          <w:tcPr>
            <w:tcW w:w="575"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left"/>
              <w:rPr>
                <w:rFonts w:ascii="仿宋_GB2312" w:hAnsi="仿宋_GB2312" w:eastAsia="仿宋_GB2312" w:cs="仿宋_GB2312"/>
                <w:kern w:val="0"/>
                <w:sz w:val="20"/>
                <w:szCs w:val="20"/>
              </w:rPr>
            </w:pPr>
          </w:p>
        </w:tc>
        <w:tc>
          <w:tcPr>
            <w:tcW w:w="443"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X和睦镇人民政府</w:t>
            </w:r>
          </w:p>
        </w:tc>
        <w:tc>
          <w:tcPr>
            <w:tcW w:w="783" w:type="dxa"/>
            <w:tcBorders>
              <w:top w:val="single" w:color="auto" w:sz="4" w:space="0"/>
              <w:left w:val="nil"/>
              <w:bottom w:val="single" w:color="auto" w:sz="4" w:space="0"/>
              <w:right w:val="single" w:color="auto" w:sz="4" w:space="0"/>
            </w:tcBorders>
            <w:vAlign w:val="center"/>
          </w:tcPr>
          <w:p>
            <w:pPr>
              <w:adjustRightInd w:val="0"/>
              <w:snapToGrid w:val="0"/>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lang w:val="en-US" w:eastAsia="zh-CN"/>
              </w:rPr>
              <w:t>经济发展办公室</w:t>
            </w:r>
          </w:p>
        </w:tc>
        <w:tc>
          <w:tcPr>
            <w:tcW w:w="29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第三十八条：村民在乡、村庄规划区范围内进行住宅建设的，应当办理乡村建设规划许可证。</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县级人民政府城乡规划主管部门可以委托乡（镇）人民政府核发乡村建设规划许可证。</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在乡、村庄规划区内进行本条第一款规定的建设，应当在取得乡村建设规划许可证后，依法办理用地审批手续。</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2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1.受理责任：公示应当提交的材料；一次性告知补正材料；依法受理或不予受理（不予受理应当告知理由）。</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2.审查责任：按照政策规定对书面材料进行审查，提出是否同意审批的初步意见，告知申请人、利害相关人享有听证权利；涉及公共利益的重大许可，向社会公告，并举行听证。</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3.决定责任：作出行政许可或者不予行政许可决定，法定告知（不予许可的应当书面告知理由）。</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4.送达责任：准予许可的制发送达审批决定。</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5.事后监管环节责任：分管领导对审批后的相关事宜实施监督管理</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6.其他法律法规规章文件规定应履行的责任。</w:t>
            </w:r>
          </w:p>
        </w:tc>
        <w:tc>
          <w:tcPr>
            <w:tcW w:w="3811"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3-1.【法律】《中华人民共和国行政许可法》第三十七条：行政机关对行政许可申请进行审.查后，除了当场作出行政许可决定的，应在法定期限内按照规定程序作出行政许可决定。</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4-1.【法律】《中华人民共和国行政许可法》第四十条：行政机关作出的准予行政许可决定，应当予以公开，公众有权查阅。</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4-2【法律】《中华人民共和国行政许可法》第四十四条：行政机关作出准予行政许可的决定，应当自作出决定之日起十日内向申请人颁发、送达行政许可证件、或者加贴标签、加盖检验、检测、检疫印章。</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5.【法律】《中华人民共和国行政许可法》第六十一条：行政机关应当建立健全监督制度，通过核查反映被许可人从事行政许可事项活动情况的有关材料，履行监督责任。</w:t>
            </w:r>
          </w:p>
        </w:tc>
        <w:tc>
          <w:tcPr>
            <w:tcW w:w="2969"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因不履行或不正确履行行政职责，有下列情形的，行政机关及相关工作人员应承担相应责任：</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1.对符合法定条件的行政许可申请不予受理的。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2.不在办公场所公示依法应当公示的材料的。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3.在受理、审查、决定行政许可过程中，未向申请人、利害关系人履行法定告知义务的。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4.申请人提交的申请材料不齐全、不符合法定形式，不一次告知申请人必须补正的全部内容的。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5.未依法说明不受理行政许可申请或者不予行政许可的理由的。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6.向申请人提出不正当要求的。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7.无正当理由对符合法定条件的申请不予受理、不予批准的。</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8.其他违反法律法规规章规定的行为。</w:t>
            </w:r>
          </w:p>
        </w:tc>
        <w:tc>
          <w:tcPr>
            <w:tcW w:w="416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8.同1.</w:t>
            </w:r>
          </w:p>
        </w:tc>
        <w:tc>
          <w:tcPr>
            <w:tcW w:w="1150"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法律法规规章规定的免责情况。</w:t>
            </w:r>
          </w:p>
        </w:tc>
        <w:tc>
          <w:tcPr>
            <w:tcW w:w="757" w:type="dxa"/>
            <w:tcBorders>
              <w:top w:val="single" w:color="auto" w:sz="4" w:space="0"/>
              <w:left w:val="nil"/>
              <w:bottom w:val="single" w:color="auto" w:sz="4" w:space="0"/>
              <w:right w:val="single" w:color="auto"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90" w:hRule="atLeast"/>
        </w:trPr>
        <w:tc>
          <w:tcPr>
            <w:tcW w:w="5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p>
        </w:tc>
        <w:tc>
          <w:tcPr>
            <w:tcW w:w="45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ascii="仿宋_GB2312" w:hAnsi="仿宋_GB2312" w:eastAsia="仿宋_GB2312" w:cs="仿宋_GB2312"/>
                <w:snapToGrid w:val="0"/>
                <w:color w:val="000000"/>
                <w:sz w:val="20"/>
                <w:szCs w:val="20"/>
              </w:rPr>
            </w:pPr>
          </w:p>
        </w:tc>
        <w:tc>
          <w:tcPr>
            <w:tcW w:w="48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rPr>
                <w:rFonts w:ascii="仿宋_GB2312" w:hAnsi="仿宋_GB2312" w:eastAsia="仿宋_GB2312" w:cs="仿宋_GB2312"/>
                <w:snapToGrid w:val="0"/>
                <w:color w:val="000000"/>
                <w:sz w:val="20"/>
                <w:szCs w:val="20"/>
              </w:rPr>
            </w:pPr>
          </w:p>
        </w:tc>
        <w:tc>
          <w:tcPr>
            <w:tcW w:w="57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rPr>
                <w:rFonts w:ascii="仿宋_GB2312" w:hAnsi="仿宋_GB2312" w:eastAsia="仿宋_GB2312" w:cs="仿宋_GB2312"/>
                <w:snapToGrid w:val="0"/>
                <w:color w:val="000000"/>
                <w:sz w:val="20"/>
                <w:szCs w:val="20"/>
              </w:rPr>
            </w:pPr>
          </w:p>
        </w:tc>
        <w:tc>
          <w:tcPr>
            <w:tcW w:w="4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rPr>
                <w:rFonts w:ascii="仿宋_GB2312" w:hAnsi="仿宋_GB2312" w:eastAsia="仿宋_GB2312" w:cs="仿宋_GB2312"/>
                <w:snapToGrid w:val="0"/>
                <w:sz w:val="20"/>
                <w:szCs w:val="20"/>
              </w:rPr>
            </w:pPr>
          </w:p>
        </w:tc>
        <w:tc>
          <w:tcPr>
            <w:tcW w:w="78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rPr>
                <w:rFonts w:ascii="仿宋_GB2312" w:hAnsi="仿宋_GB2312" w:eastAsia="仿宋_GB2312" w:cs="仿宋_GB2312"/>
                <w:snapToGrid w:val="0"/>
                <w:sz w:val="20"/>
                <w:szCs w:val="20"/>
              </w:rPr>
            </w:pPr>
          </w:p>
        </w:tc>
        <w:tc>
          <w:tcPr>
            <w:tcW w:w="29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rPr>
                <w:rFonts w:ascii="仿宋_GB2312" w:hAnsi="仿宋_GB2312" w:eastAsia="仿宋_GB2312" w:cs="仿宋_GB2312"/>
                <w:snapToGrid w:val="0"/>
                <w:color w:val="000000"/>
                <w:spacing w:val="-4"/>
                <w:sz w:val="20"/>
                <w:szCs w:val="20"/>
              </w:rPr>
            </w:pPr>
          </w:p>
        </w:tc>
        <w:tc>
          <w:tcPr>
            <w:tcW w:w="27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ind w:firstLine="384" w:firstLineChars="200"/>
              <w:rPr>
                <w:rFonts w:ascii="仿宋_GB2312" w:hAnsi="仿宋_GB2312" w:eastAsia="仿宋_GB2312" w:cs="仿宋_GB2312"/>
                <w:snapToGrid w:val="0"/>
                <w:color w:val="000000"/>
                <w:spacing w:val="-4"/>
                <w:sz w:val="20"/>
                <w:szCs w:val="20"/>
              </w:rPr>
            </w:pPr>
          </w:p>
        </w:tc>
        <w:tc>
          <w:tcPr>
            <w:tcW w:w="381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384" w:firstLineChars="200"/>
              <w:rPr>
                <w:rFonts w:ascii="仿宋_GB2312" w:hAnsi="仿宋_GB2312" w:eastAsia="仿宋_GB2312" w:cs="仿宋_GB2312"/>
                <w:snapToGrid w:val="0"/>
                <w:color w:val="000000"/>
                <w:spacing w:val="-4"/>
                <w:sz w:val="20"/>
                <w:szCs w:val="20"/>
              </w:rPr>
            </w:pPr>
          </w:p>
        </w:tc>
        <w:tc>
          <w:tcPr>
            <w:tcW w:w="2969"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rPr>
                <w:rFonts w:ascii="仿宋_GB2312" w:hAnsi="仿宋_GB2312" w:eastAsia="仿宋_GB2312" w:cs="仿宋_GB2312"/>
                <w:color w:val="000000"/>
                <w:kern w:val="0"/>
                <w:sz w:val="20"/>
                <w:szCs w:val="20"/>
              </w:rPr>
            </w:pPr>
          </w:p>
        </w:tc>
        <w:tc>
          <w:tcPr>
            <w:tcW w:w="4161"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rPr>
                <w:rFonts w:ascii="仿宋_GB2312" w:hAnsi="仿宋_GB2312" w:eastAsia="仿宋_GB2312" w:cs="仿宋_GB2312"/>
                <w:color w:val="000000"/>
                <w:kern w:val="0"/>
                <w:sz w:val="20"/>
                <w:szCs w:val="20"/>
              </w:rPr>
            </w:pPr>
          </w:p>
        </w:tc>
        <w:tc>
          <w:tcPr>
            <w:tcW w:w="1150" w:type="dxa"/>
            <w:tcBorders>
              <w:top w:val="single" w:color="auto" w:sz="4" w:space="0"/>
              <w:left w:val="nil"/>
              <w:bottom w:val="single" w:color="auto" w:sz="4" w:space="0"/>
              <w:right w:val="single" w:color="auto" w:sz="4" w:space="0"/>
            </w:tcBorders>
            <w:vAlign w:val="center"/>
          </w:tcPr>
          <w:p>
            <w:pPr>
              <w:spacing w:line="300" w:lineRule="exact"/>
              <w:ind w:firstLine="384" w:firstLineChars="200"/>
              <w:rPr>
                <w:rFonts w:ascii="仿宋_GB2312" w:hAnsi="仿宋_GB2312" w:eastAsia="仿宋_GB2312" w:cs="仿宋_GB2312"/>
                <w:snapToGrid w:val="0"/>
                <w:color w:val="000000"/>
                <w:spacing w:val="-4"/>
                <w:sz w:val="20"/>
                <w:szCs w:val="20"/>
              </w:rPr>
            </w:pPr>
          </w:p>
        </w:tc>
        <w:tc>
          <w:tcPr>
            <w:tcW w:w="757"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rPr>
                <w:rFonts w:ascii="仿宋_GB2312" w:hAnsi="仿宋_GB2312" w:eastAsia="仿宋_GB2312" w:cs="仿宋_GB2312"/>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27" w:type="dxa"/>
            <w:tcBorders>
              <w:top w:val="single" w:color="auto" w:sz="4" w:space="0"/>
              <w:left w:val="single" w:color="auto" w:sz="4" w:space="0"/>
              <w:bottom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w:t>
            </w:r>
          </w:p>
        </w:tc>
        <w:tc>
          <w:tcPr>
            <w:tcW w:w="457" w:type="dxa"/>
            <w:tcBorders>
              <w:top w:val="single" w:color="auto" w:sz="4" w:space="0"/>
              <w:bottom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行政许可</w:t>
            </w:r>
          </w:p>
        </w:tc>
        <w:tc>
          <w:tcPr>
            <w:tcW w:w="480" w:type="dxa"/>
            <w:tcBorders>
              <w:top w:val="single" w:color="auto" w:sz="4" w:space="0"/>
              <w:bottom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工商企业等社会资本通过流转取得土地经营权审批</w:t>
            </w:r>
          </w:p>
        </w:tc>
        <w:tc>
          <w:tcPr>
            <w:tcW w:w="575" w:type="dxa"/>
            <w:tcBorders>
              <w:top w:val="single" w:color="auto" w:sz="4" w:space="0"/>
              <w:bottom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color w:val="000000" w:themeColor="text1"/>
                <w:kern w:val="0"/>
                <w:sz w:val="20"/>
                <w:szCs w:val="20"/>
                <w14:textFill>
                  <w14:solidFill>
                    <w14:schemeClr w14:val="tx1"/>
                  </w14:solidFill>
                </w14:textFill>
              </w:rPr>
            </w:pPr>
          </w:p>
        </w:tc>
        <w:tc>
          <w:tcPr>
            <w:tcW w:w="443" w:type="dxa"/>
            <w:tcBorders>
              <w:top w:val="single" w:color="auto" w:sz="4" w:space="0"/>
              <w:bottom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和睦镇</w:t>
            </w:r>
            <w:r>
              <w:rPr>
                <w:rFonts w:hint="eastAsia" w:ascii="仿宋_GB2312" w:hAnsi="仿宋_GB2312" w:eastAsia="仿宋_GB2312" w:cs="仿宋_GB2312"/>
                <w:color w:val="000000" w:themeColor="text1"/>
                <w:kern w:val="0"/>
                <w:sz w:val="20"/>
                <w:szCs w:val="20"/>
                <w14:textFill>
                  <w14:solidFill>
                    <w14:schemeClr w14:val="tx1"/>
                  </w14:solidFill>
                </w14:textFill>
              </w:rPr>
              <w:t>人民政府</w:t>
            </w:r>
          </w:p>
        </w:tc>
        <w:tc>
          <w:tcPr>
            <w:tcW w:w="783" w:type="dxa"/>
            <w:tcBorders>
              <w:top w:val="single" w:color="auto" w:sz="4" w:space="0"/>
              <w:bottom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经济发展办公室</w:t>
            </w:r>
          </w:p>
        </w:tc>
        <w:tc>
          <w:tcPr>
            <w:tcW w:w="2938" w:type="dxa"/>
            <w:tcBorders>
              <w:top w:val="single" w:color="auto" w:sz="4" w:space="0"/>
              <w:bottom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1.【法律】《中华人民共和国农村土地承包法》（根据2018年12月29日第十三届全国人民代表大会常务委员会第七次会议《关于修改〈中华人民共和国农村土地承包法〉的决定》第二次修正）</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第三十六条：承包方可以自主决定依法采取出租（转包）、入股或者其他方式向他人流转土地经营权，并向发包方备案。</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2.【部门规章】《农村土地经营权流转管理办法》第二十九条 ：县级以上地方人民政府对工商企业等社会资本流转土地经营权，依法建立分级资格审查和项目审核制度。审查审核的一般程序如下：</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（四）审查审核通过的，受让主体与承包方签订土地经营权流转合同。未按规定提交审查审核申请或者审查审核未通过的，不得开展土地经营权流转活动。</w:t>
            </w:r>
          </w:p>
        </w:tc>
        <w:tc>
          <w:tcPr>
            <w:tcW w:w="2730" w:type="dxa"/>
            <w:tcBorders>
              <w:top w:val="single" w:color="auto" w:sz="4" w:space="0"/>
              <w:bottom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1.受理责任：公示应当提交的材料，当场一次性告知补正材料，依法受理或不予受理（不予受理应当告知理由）。</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2.审查责任：对提交材料进行审查，审查是否符合条件，提出审查意见。</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3.决定责任：作出行政许可或者不予行政许可决定，法定告知（不予许可的应当书面告知理由）。</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4.送达责任：制作拖拉机、联合收割机驾驶证，送达并公开信息。</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5.监管责任：建立实施监督检查的运行机制和管理制度，开展定期和不定期检查，依法采取相关处置措施。</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6.其他法律法规规章文件规定应履行的责任。</w:t>
            </w:r>
          </w:p>
        </w:tc>
        <w:tc>
          <w:tcPr>
            <w:tcW w:w="3811" w:type="dxa"/>
            <w:tcBorders>
              <w:top w:val="single" w:color="auto" w:sz="4" w:space="0"/>
              <w:bottom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4.【法律】《中华人民共和国行政许可法》第三十七条:行政机关对行政许可申请进行审查后，除当场作出行政许可决定的外，应当在法定期限内按照规定程序作出行政许可决定。</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6.【法律】《中华人民共和国行政许可法》第四十四条：行政机关作出准予行政许可的决定，应当自作出决定之日起十日内向申请人颁发、送达行政许可证件，或者加贴标签、加盖检验、检测、检疫印章。</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7.【法律】《中华人民共和国行政许可法》第四十条：行政机关作出的准予行政许可决定，应当予以公开，公众有权查阅。</w:t>
            </w:r>
          </w:p>
        </w:tc>
        <w:tc>
          <w:tcPr>
            <w:tcW w:w="2969" w:type="dxa"/>
            <w:tcBorders>
              <w:top w:val="single" w:color="auto" w:sz="4" w:space="0"/>
              <w:bottom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2.行政机关工作人员办理行政许可、实施监督检查，索取或者收受他人财物或者谋取其他利益。</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3.行政机关实施行政许可，擅自收费或者不按照法定项目和标准收费的。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4.行政机关违法实施行政许可，给当事人的合法权益造成损害的</w:t>
            </w:r>
          </w:p>
        </w:tc>
        <w:tc>
          <w:tcPr>
            <w:tcW w:w="4161" w:type="dxa"/>
            <w:tcBorders>
              <w:top w:val="single" w:color="auto" w:sz="4" w:space="0"/>
              <w:bottom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第七十三条 行政机关工作人员办理行政许可、实施监督检查，索取或者收受他人财物或者谋取其他利益，构成犯罪的，依法追究刑事责任；尚不构成犯罪的，依法给予行政处分。</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第七十六条 行政机关违法实施行政许可，给当事人的合法权益造成损害的，应当依照国家赔偿法的规定给予赔偿。</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2.【法律】《中华人民共和国农村土地承包法》（根据2018年12月29日第十三届全国人民代表大会常务委员会第七次会议《关于修改〈中华人民共和国农村土地承包法〉的决定》第二次修正）</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　国家机关及其工作人员有利用职权干涉农村土地承包经营，变更、解除承包经营合同，干涉承包经营当事人依法享有的生产经营自主权，强迫、阻碍承包经营当事人进行土地承包经营权互换、转让或者土地经营权流转等侵害土地承包经营权、土地经营权的行为，给承包经营当事人造成损失的，应当承担损害赔偿等责任；情节严重的，由上级机关或者所在单位给予直接责任人员处分；构成犯罪的，依法追究刑事责任。</w:t>
            </w:r>
          </w:p>
        </w:tc>
        <w:tc>
          <w:tcPr>
            <w:tcW w:w="1150" w:type="dxa"/>
            <w:tcBorders>
              <w:top w:val="single" w:color="auto" w:sz="4" w:space="0"/>
              <w:bottom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w:t>
            </w:r>
          </w:p>
        </w:tc>
        <w:tc>
          <w:tcPr>
            <w:tcW w:w="757" w:type="dxa"/>
            <w:tcBorders>
              <w:top w:val="single" w:color="auto" w:sz="4" w:space="0"/>
              <w:bottom w:val="single" w:color="auto" w:sz="4" w:space="0"/>
              <w:right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12" w:hRule="atLeast"/>
        </w:trPr>
        <w:tc>
          <w:tcPr>
            <w:tcW w:w="527" w:type="dxa"/>
            <w:tcBorders>
              <w:top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457" w:type="dxa"/>
            <w:tcBorders>
              <w:top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行政许可</w:t>
            </w:r>
          </w:p>
        </w:tc>
        <w:tc>
          <w:tcPr>
            <w:tcW w:w="480" w:type="dxa"/>
            <w:tcBorders>
              <w:top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农村村民宅基地审批</w:t>
            </w:r>
          </w:p>
        </w:tc>
        <w:tc>
          <w:tcPr>
            <w:tcW w:w="575" w:type="dxa"/>
            <w:tcBorders>
              <w:top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p>
        </w:tc>
        <w:tc>
          <w:tcPr>
            <w:tcW w:w="443" w:type="dxa"/>
            <w:tcBorders>
              <w:top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和睦镇人民政府</w:t>
            </w:r>
          </w:p>
        </w:tc>
        <w:tc>
          <w:tcPr>
            <w:tcW w:w="783" w:type="dxa"/>
            <w:tcBorders>
              <w:top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经济发展办公室</w:t>
            </w:r>
          </w:p>
        </w:tc>
        <w:tc>
          <w:tcPr>
            <w:tcW w:w="2938" w:type="dxa"/>
            <w:tcBorders>
              <w:top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【法律】《中华人民共和国土地管理法》第六十二条：农村村民一户只能拥有一处宅基地，其宅基地的面积不得超过省、自治区、直辖市规定的标准。</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人均土地少、不能保障一户拥有一处宅基地的地区，县级人民政府在充分尊重农村村民意愿的基础上，可以采取措施，按照省、自治区、直辖市规定的标准保障农村村民实现户有所居。</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农村村民住宅用地，由乡（镇）人民政府审核批准；其中，涉及占用农用地的，依照本法第四十四条的规定办理审批手续。</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农村村民出卖、出租、赠与住宅后，再申请宅基地的，不予批准。</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国家允许进城落户的农村村民依法自愿有偿退出宅基地，鼓励农村集体经济组织及其成员盘活利用闲置宅基地和闲置住宅。</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国务院农业农村主管部门负责全国农村宅基地改革和管理有关工作。</w:t>
            </w:r>
          </w:p>
        </w:tc>
        <w:tc>
          <w:tcPr>
            <w:tcW w:w="2730" w:type="dxa"/>
            <w:tcBorders>
              <w:top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1.受理责任：公示应当提交的材料，一次性告知补正材料，依法受理或不予受理（不予受理应当告知理由）。</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2.审查责任：审查申请材料，组织现场检查。</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3.决定责任：作出行政许可或者不予行政许可决定，法定告知（不予许可的应当书面告知理由）。</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4.送达责任：准予许可的，制发许可证书或批件，送达并信息公开。</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5.监管责任：建立实施监督检查的运行机制和管理制度，开展定期和不定期检查，依法采取相关处置措施。</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6.其他法律法规规章文件规定应履行的责任。</w:t>
            </w:r>
          </w:p>
        </w:tc>
        <w:tc>
          <w:tcPr>
            <w:tcW w:w="3811" w:type="dxa"/>
            <w:tcBorders>
              <w:top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1.【法律】《中华人民共和国行政许可法》第三十二条：行政机关对申请人提出的行政许可申请，应当根据下列情况分别作出处理：</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（一）申请事项依法不需要取得行政许可的，应当即时告知申请人不受理；</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（二）申请事项依法不属于本行政机关职权范围的，应当即时作出不予受理的决定，并告知申请人向有关行政机关申请；</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（三）申请材料存在可以当场更正的错误的，应当允许申请人当场更正；</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（四）申请材料不齐全或者不符合法定形式的，应当当场或者在五日内一次告知申请人需要补正的全部内容，逾期不告知的，自收到申请材料之日起即为受理；</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3.【法律】《中华人民共和国行政许可法》第三十七条：行政机关对行政许可申请进行审查后，除当场作出行政许可决定的外，应当在法定期限内按照规定程序作出行政许可决定。</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4.【法律】《中华人民共和国行政许可法》第四十四条：行政机关作出准予行政许可的决定，应当自作出决定之日起十日内向申请人颁发、送达行政许可证件，或者加贴标签、加盖检验、检测、检疫印章。</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超过省、自治区、直辖市规定的标准，多占的土地以非法占用土地论处。</w:t>
            </w:r>
          </w:p>
        </w:tc>
        <w:tc>
          <w:tcPr>
            <w:tcW w:w="2969" w:type="dxa"/>
            <w:tcBorders>
              <w:top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2.行政机关工作人员办理行政许可、实施监督检查，索取或者收受他人财物或者谋取其他利益。</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3.行政机关实施行政许可，擅自收费或者不按照法定项目和标准收费的。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4.行政机关违法实施行政许可，给当事人的合法权益造成损害的</w:t>
            </w:r>
          </w:p>
        </w:tc>
        <w:tc>
          <w:tcPr>
            <w:tcW w:w="4161" w:type="dxa"/>
            <w:tcBorders>
              <w:top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第七十三条 行政机关工作人员办理行政许可、实施监督检查，索取或者收受他人财物或者谋取其他利益，构成犯罪的，依法追究刑事责任；尚不构成犯罪的，依法给予行政处分。</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第七十六条 行政机关违法实施行政许可，给当事人的合法权益造成损害的，应当依照国家赔偿法的规定给予赔偿。</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【法律】《中华人民共和国土地管理法》第七十九条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  </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第八十四条　自然资源主管部门、农业农村主管部门的工作人员玩忽职守、滥用职权、徇私舞弊，构成犯罪的，依法追究刑事责任；尚不构成犯罪的，依法给予处分。</w:t>
            </w:r>
          </w:p>
          <w:p>
            <w:pPr>
              <w:adjustRightInd w:val="0"/>
              <w:snapToGrid w:val="0"/>
              <w:spacing w:line="300" w:lineRule="exact"/>
              <w:jc w:val="center"/>
              <w:rPr>
                <w:rFonts w:ascii="仿宋_GB2312" w:hAnsi="仿宋_GB2312" w:eastAsia="仿宋_GB2312" w:cs="仿宋_GB2312"/>
                <w:kern w:val="0"/>
                <w:sz w:val="20"/>
                <w:szCs w:val="20"/>
              </w:rPr>
            </w:pPr>
          </w:p>
        </w:tc>
        <w:tc>
          <w:tcPr>
            <w:tcW w:w="1150" w:type="dxa"/>
            <w:tcBorders>
              <w:top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w:t>
            </w:r>
          </w:p>
        </w:tc>
        <w:tc>
          <w:tcPr>
            <w:tcW w:w="757" w:type="dxa"/>
            <w:tcBorders>
              <w:top w:val="single" w:color="auto" w:sz="4" w:space="0"/>
            </w:tcBorders>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457"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行政许可</w:t>
            </w:r>
          </w:p>
        </w:tc>
        <w:tc>
          <w:tcPr>
            <w:tcW w:w="480"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在村庄、集镇规划区内公共场所修建临时建筑等设施审批</w:t>
            </w:r>
          </w:p>
        </w:tc>
        <w:tc>
          <w:tcPr>
            <w:tcW w:w="575"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p>
        </w:tc>
        <w:tc>
          <w:tcPr>
            <w:tcW w:w="443"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和睦镇人民政府</w:t>
            </w:r>
          </w:p>
        </w:tc>
        <w:tc>
          <w:tcPr>
            <w:tcW w:w="783"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经济发展办公室</w:t>
            </w:r>
          </w:p>
        </w:tc>
        <w:tc>
          <w:tcPr>
            <w:tcW w:w="2938"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【行政法规】《村庄和集镇规划建设管理条例》（中华人民共和国国务院令第116号）第六条 国务院建设行政主管部门主管全国的村庄、集镇规划建设管理工作。</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县级以上地方人民政府建设行政主管部门主管本行政区域的村庄、集镇规划建设管理工作。</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乡级人民政府负责本行政区域的村庄、集镇规划建设管理工作。</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第三十二条 未经乡级人民政府批准，任何单位和个人不得擅自在村庄、集镇规划区内的街道、广场、市场和车站等场所修建临时建筑物、构筑物和其他设施。</w:t>
            </w:r>
          </w:p>
        </w:tc>
        <w:tc>
          <w:tcPr>
            <w:tcW w:w="2730"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1.受理责任：公示应当提交的材料，一次性告知补正材料，依法受理或不予受理（不予受理应当告知理由）。</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2.审查责任：审查申请材料，组织专家审查。</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3.决定责任：作出行政许可或者不予行政许可决定，法定告知（不予许可的应当书面告知理由） 。</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4.送达责任：准予许可的，制发许可证书或批件，送达并信息公开。</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5.监管责任：建立企业诚信信息库，建立实施监督检查的运行机制和管理制度，开展定期和不定期检查，依法采取相关处置措施。</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6.法律法规规章文件规定的其他应履行的责任。</w:t>
            </w:r>
          </w:p>
        </w:tc>
        <w:tc>
          <w:tcPr>
            <w:tcW w:w="3811"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1.【法律】《中华人民共和国行政</w:t>
            </w:r>
            <w:r>
              <w:rPr>
                <w:rFonts w:hint="eastAsia" w:ascii="仿宋_GB2312" w:hAnsi="仿宋_GB2312" w:eastAsia="仿宋_GB2312" w:cs="仿宋_GB2312"/>
                <w:kern w:val="0"/>
                <w:sz w:val="20"/>
                <w:szCs w:val="20"/>
                <w:lang w:val="e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w:t>
            </w:r>
            <w:r>
              <w:rPr>
                <w:rFonts w:hint="eastAsia" w:ascii="仿宋_GB2312" w:hAnsi="仿宋_GB2312" w:eastAsia="仿宋_GB2312" w:cs="仿宋_GB2312"/>
                <w:kern w:val="0"/>
                <w:sz w:val="20"/>
                <w:szCs w:val="20"/>
                <w:lang w:val="e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adjustRightInd w:val="0"/>
              <w:snapToGrid w:val="0"/>
              <w:spacing w:line="300" w:lineRule="exact"/>
              <w:jc w:val="center"/>
              <w:rPr>
                <w:rFonts w:ascii="仿宋_GB2312" w:hAnsi="仿宋_GB2312" w:eastAsia="仿宋_GB2312" w:cs="仿宋_GB2312"/>
                <w:kern w:val="0"/>
                <w:sz w:val="20"/>
                <w:szCs w:val="20"/>
              </w:rPr>
            </w:pPr>
          </w:p>
        </w:tc>
        <w:tc>
          <w:tcPr>
            <w:tcW w:w="2969"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因不履行或不正确履行行政职责，有下列情形的，行政机关及相关工作人员应承担相应责任：</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1.对符合条件的申请不予办理或不在法定期限内办理；</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2.对不符合许可条件的予以许可的；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3.未严格审查申报材料或弄虚作假审批、有失职行为，造成消防验收受到损害的；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4.不按照法定条件或者违反法定程序审核、审批，以及乱收费用，情节严重的；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5.在审批过程中徇私舞弊、滥用职权、玩忽职守的；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6.利用职务上的便利，索取他人财物，为他人谋取利益的；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7.除以上追责情形外，其他违反法律法规规章的行为依法追究相应责任。</w:t>
            </w:r>
          </w:p>
        </w:tc>
        <w:tc>
          <w:tcPr>
            <w:tcW w:w="4161"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1－</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第（二）项：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地方政府规章】《广西壮族自治区行政过错责任追究办法》（2007年广西壮族自治区人民政府令第24号公布）第九条：行政机关及其工作人员在行政审批过程中，有下列情形之一的，应当责令纠正并追究行政过错责任：（四）不依照法定程序实施行政审批。</w:t>
            </w:r>
          </w:p>
        </w:tc>
        <w:tc>
          <w:tcPr>
            <w:tcW w:w="1150"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法律法规规定的免责情形以及县委、县人民政府有关文件中明确的免责情形。</w:t>
            </w:r>
          </w:p>
        </w:tc>
        <w:tc>
          <w:tcPr>
            <w:tcW w:w="757"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【行政法规】《村庄和集镇规划建设管理条例》（中华人民共和国国务院令第116号）第六条 国务院建设行政主管部门主管全国的村庄、集镇规划建设管理工作。</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县级以上地方人民政府建设行政主管部门主管本行政区域的村庄、集镇规划建设管理工作。</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乡级人民政府负责本行政区域的村庄、集镇规划建设管理工作。</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第三十二条 未经乡级人民政府批准，任何单位和个人不得擅自在村庄、集镇规划区内的街道、广场、市场和车站等场所修建临时建筑物、构筑物和其他设施。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w:t>
            </w:r>
          </w:p>
        </w:tc>
        <w:tc>
          <w:tcPr>
            <w:tcW w:w="457"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行政许可</w:t>
            </w:r>
          </w:p>
        </w:tc>
        <w:tc>
          <w:tcPr>
            <w:tcW w:w="480"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林木采伐许可证核发</w:t>
            </w:r>
          </w:p>
        </w:tc>
        <w:tc>
          <w:tcPr>
            <w:tcW w:w="575"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p>
        </w:tc>
        <w:tc>
          <w:tcPr>
            <w:tcW w:w="443"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和睦镇人民政府</w:t>
            </w:r>
          </w:p>
        </w:tc>
        <w:tc>
          <w:tcPr>
            <w:tcW w:w="783"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经济发展办公室</w:t>
            </w:r>
          </w:p>
        </w:tc>
        <w:tc>
          <w:tcPr>
            <w:tcW w:w="2938"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中华人民共和国森林法》（2019年12月28日主席令第三十九号公布，2020年7月1日起施行)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五十七条采伐许可证由县级以上人民政府林业主管部门核发。县级以上人民政府林业主管部门应当采取措施，方便申请人办理采伐许可证。农村居民采伐自留山和个人承包集体林地上的林木，由县级人民政府林业主管部门或者其委托的乡镇人民政府核发采伐许可证。</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第五十九条符合林木采伐技术规程的，审核发放采伐许可证的部门应当及时核发采伐许可证。但是，审核发放采伐许可证的部门不得超过年采伐限额发放采伐许可证。</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森林法实施条例》（2000年1月29日国务院令第278号公布并实施，根据2018年3月19日《国务院关于修改和废止部分行政法规的决定》修正）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tc>
        <w:tc>
          <w:tcPr>
            <w:tcW w:w="2730"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1.受理责任：公示依法应当提交的材料；一次性告知补正材料；依法受理或不予受理（不予受理应当告知理由）。</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2.审查责任：对申请材料进行审查，提出是否同意审批的初步意见；直接关系他人重大利益的，告知利害相关人并听取意见。</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3.决定责任：作出准予或者不予行政许可决定。不予许可的书面告知理由。</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4.送达责任：送达审批决定，公开许可结果。</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5.事后监管责任：建立实施监督检查的工作机制，并按照规定开展检查，依法采取相关处置措施。</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6.法律法规规章文件规定的其他应履行的责任。</w:t>
            </w:r>
          </w:p>
        </w:tc>
        <w:tc>
          <w:tcPr>
            <w:tcW w:w="3811"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法律】《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2969"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因不履行或不正确履行行政职责，有下列情形的，行政机关及相关工作人员应承担相应责任：</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1.对符合法定条件的行政许可申请不予受理的。 </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2.不在办公场所公示依法应当公示的材料的。 </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3.在受理、审查、决定行政许可过程中，未向申请人、利害关系人履行法定告知义务的。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4.申请人提交的申请材料不齐全、不符合法定形式，不一次告知申请人必须补正的全部内容的。 </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5.未依法说明不受理行政许可申请或者不予行政许可的理由的。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6.向申请人提出不正当要求的；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7.无正当理由对符合法定条件的申请不予受理、不予批准的。</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8.其他违反法律法规规章规定的行为。</w:t>
            </w:r>
          </w:p>
          <w:p>
            <w:pPr>
              <w:adjustRightInd w:val="0"/>
              <w:snapToGrid w:val="0"/>
              <w:spacing w:line="300" w:lineRule="exact"/>
              <w:jc w:val="center"/>
              <w:rPr>
                <w:rFonts w:ascii="仿宋_GB2312" w:hAnsi="仿宋_GB2312" w:eastAsia="仿宋_GB2312" w:cs="仿宋_GB2312"/>
                <w:kern w:val="0"/>
                <w:sz w:val="20"/>
                <w:szCs w:val="20"/>
              </w:rPr>
            </w:pPr>
          </w:p>
        </w:tc>
        <w:tc>
          <w:tcPr>
            <w:tcW w:w="4161" w:type="dxa"/>
            <w:shd w:val="clear" w:color="auto" w:fill="FFFFFF"/>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adjustRightInd w:val="0"/>
              <w:snapToGrid w:val="0"/>
              <w:spacing w:line="300" w:lineRule="exact"/>
              <w:ind w:firstLine="400" w:firstLineChars="200"/>
              <w:jc w:val="both"/>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8.同1.</w:t>
            </w:r>
          </w:p>
        </w:tc>
        <w:tc>
          <w:tcPr>
            <w:tcW w:w="1150"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法律法规规定的免责情形及县委、县人民政府以及县级以上党委人民政府有关文件中明确的免责情形。</w:t>
            </w:r>
          </w:p>
        </w:tc>
        <w:tc>
          <w:tcPr>
            <w:tcW w:w="757"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县级已由县行政审批局行使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87" w:hRule="atLeast"/>
        </w:trPr>
        <w:tc>
          <w:tcPr>
            <w:tcW w:w="527"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w:t>
            </w:r>
          </w:p>
        </w:tc>
        <w:tc>
          <w:tcPr>
            <w:tcW w:w="457"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行政处罚</w:t>
            </w:r>
          </w:p>
        </w:tc>
        <w:tc>
          <w:tcPr>
            <w:tcW w:w="480"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违反乡村清洁规定行为的处罚</w:t>
            </w:r>
          </w:p>
        </w:tc>
        <w:tc>
          <w:tcPr>
            <w:tcW w:w="575"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p>
        </w:tc>
        <w:tc>
          <w:tcPr>
            <w:tcW w:w="443"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和睦镇人民政府</w:t>
            </w:r>
          </w:p>
        </w:tc>
        <w:tc>
          <w:tcPr>
            <w:tcW w:w="783"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经济发展办公室</w:t>
            </w:r>
          </w:p>
        </w:tc>
        <w:tc>
          <w:tcPr>
            <w:tcW w:w="2938" w:type="dxa"/>
            <w:vMerge w:val="restart"/>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地方性法规】《广西壮族自治区乡村清洁条例》（2016年广西壮族自治区第十二届人民代表大会公告第13号）第十二条：任何单位和个人不得侵占、损坏、擅自拆除、擅自关闭乡村卫生公厕、垃圾和污水处理等乡村清洁设施，或者擅自改变其用途。</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的行为。</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第十九条第三款：任何单位和个人不得在非指定地点倾倒、抛撒或者堆放建筑垃圾。</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第三十九条：违反本条例第十二条规定，侵占、损坏、擅自拆除、擅自关闭乡村卫生公厕、垃圾和污水处理等乡村清洁设施或者擅自改变其用途的，由乡镇人民政府或者其委托的乡镇综合执法机构责令恢复原状，对单位可以并处一千元以上一万元以下罚款，对个人可以并处十元以上一百元以下罚款。</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第四十条：违反本条例第十七条第一项、第二项、第三项、第六项规定，有下列行为之一的，由乡镇人民政府或者其委托的乡镇综合执法机构给予警告，并责令限期改正；逾期未改正的，对单位处五十元以上五百元以下罚款，对个人处五十元以下罚款；多次有下列行为之一的，对单位处五百元以上五千元以下罚款，元以上二百元以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行为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第四十一条：违反本条例第十九条第三款规定，在非指定地点倾倒、抛撒或者堆放建筑垃圾的，由乡镇人民政府或者其委托的乡镇综合执法机构责令限期改正；逾期未改正的，对单位处一千元以上一万元以下罚款，对个人处二十元以上二百元以下罚款；情节严重的，对单位处一万元以上五万元以下罚款，对个人处二百元以上一千元以下罚款。</w:t>
            </w:r>
          </w:p>
        </w:tc>
        <w:tc>
          <w:tcPr>
            <w:tcW w:w="2730" w:type="dxa"/>
            <w:vMerge w:val="restart"/>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1.立案责任：根据日常监管和投诉情况，进行相关监督检查和核实，决定是否立案受理。</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2.调查取证责任：对立案的案件展开调查和取证，制作调查笔录，调查结束出具书面调查终结报告。在调查取证时，应由2名以上执法人员参加，并向当事人出示有效的行政执法证件，允许当事人辩解陈述。</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3.审查核实责任：按照有关规定对案件违法事实、证据、调查取证程序、法律适用、处罚种类和幅度、当事人陈述和申辩理由等方面进行审查，提出处理意见（主要证据不足时，以适当的方式补充调查）。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4.告知责任：作出行政处罚决定前，制作《行政处罚告知书》送达当事人，告知违法事实及其享有的陈述、申辩等权利。符合听证规定的，制作并送达《行政处罚听证告知书》。</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5.决定责任：作出行政处罚决定，制作行政处罚决定书。</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6.送达责任：行政处罚决定书应当在宣告后当场交付当事人；当事人不在场的，行政机关应当在七日内依照民事诉讼法的有关规定，将行政处罚决定书送达当事人。</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7.执行责任：监督当事人在决定的期限内，履行生效的行政处罚决定。当事人在法定期限内不申请行政复议或者提起行政诉讼，又不履行的，可依法采取申请人民法院强制执行。</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8.监督责任：对行政处罚决定执行情况进行监督检查。</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9.其他法律法规规章文件规定应履行的责任。</w:t>
            </w:r>
          </w:p>
        </w:tc>
        <w:tc>
          <w:tcPr>
            <w:tcW w:w="3811" w:type="dxa"/>
            <w:vMerge w:val="restart"/>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1-1.【法律】《中华人民共和国行政处罚法》第四十条：公民、法人或者其他组织违反行政管理秩序的行为，依法应当给予行政处罚的，行政机关必须查明事实；违法事实不清、证据不足的，不得给予行政处罚。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符合立案标准的，行政机关应当及时立案。</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2-2.【法律】《中华人民共和国行政处罚法》第四十二条：行政处罚应当由具有行政执法资格的执法人员实施。执法人员不得少于两人，法律另有规定的除外。</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执法人员应当文明执法，尊重和保护当事人合法权益。</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4-1.【法律】《中华人民共和国行政处罚法》第七条：公民、法人或者其他组织对行政机关所给予的行政处罚，享有陈述权、申辩权；对行政处罚不服的，有权依法申请行政复议或者提起行政诉讼。</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公民、法人或者其他组织因行政机关违法给予行政处罚受到损害的，有权依法提出赔偿要求。</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当事人同意并签订确认书的，行政机关可以采用传真、电子邮件等方式，将行政处罚决定书等送达当事人。</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7-1.【法律】《中华人民共和国行政处罚法》第六十六条：行政处罚决定依法作出后，当事人应当在行政处罚决定书载明的期限内，予以履行。</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当事人确有经济困难，需要延期或者分期缴纳罚款的，经当事人申请和行政机关批准，可以暂缓或者分期缴纳。</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7-2.【部门规章】《住房和城乡建设行政处罚程序规定》（2022年建设部令第55号）第三十八条：当事人不履行行政处罚决定，执法机关可以依法强制执行或者申请人民法院强制执行。</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8-1.【法律】《中华人民共和国行政处罚法》第七十五条：行政机关应当建立健全对行政处罚的监督制度。县级以上人民政府应当定期组织开展行政执法评议、考核，加强对行政处罚的监督检查，规范和保障行政处罚的实施。</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因不履行或不正确履行行政职责，有下列情形的，行政机关及相关工作人员应承担相应责任：</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1.没有法律和事实依据实施行政处罚的；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2.行政处罚显失公正的；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4.擅自改变行政处罚种类、幅度的；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5.因处罚不当给当事人造成损失的；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6.不具备行政执法资格实施行政处罚的；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7.违反法定的行政处罚程序的；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8.符合听证条件，行政管理相对人要求听证，应予组织听证而不组织听证的；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9.在行政处罚过程中发生腐败行为的；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10.其他违反法律法规规章文件规定的行为。</w:t>
            </w:r>
          </w:p>
        </w:tc>
        <w:tc>
          <w:tcPr>
            <w:tcW w:w="4161" w:type="dxa"/>
            <w:shd w:val="clear" w:color="auto" w:fill="FFFFFF"/>
            <w:tcMar>
              <w:top w:w="57" w:type="dxa"/>
              <w:left w:w="57" w:type="dxa"/>
              <w:bottom w:w="57"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行政机关对符合立案标准的案件不及时立案的，依照前款规定予以处理。</w:t>
            </w:r>
          </w:p>
          <w:p>
            <w:pPr>
              <w:adjustRightInd w:val="0"/>
              <w:snapToGrid w:val="0"/>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8.同1.</w:t>
            </w:r>
          </w:p>
        </w:tc>
        <w:tc>
          <w:tcPr>
            <w:tcW w:w="1150"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w:t>
            </w:r>
          </w:p>
        </w:tc>
        <w:tc>
          <w:tcPr>
            <w:tcW w:w="757" w:type="dxa"/>
            <w:shd w:val="clear" w:color="auto" w:fill="FFFFFF"/>
            <w:tcMar>
              <w:top w:w="57" w:type="dxa"/>
              <w:left w:w="57" w:type="dxa"/>
              <w:bottom w:w="57" w:type="dxa"/>
              <w:right w:w="57" w:type="dxa"/>
            </w:tcMar>
            <w:vAlign w:val="center"/>
          </w:tcPr>
          <w:p>
            <w:pPr>
              <w:adjustRightInd w:val="0"/>
              <w:snapToGrid w:val="0"/>
              <w:spacing w:line="300" w:lineRule="exact"/>
              <w:jc w:val="center"/>
              <w:rPr>
                <w:rFonts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1" w:hRule="atLeast"/>
        </w:trPr>
        <w:tc>
          <w:tcPr>
            <w:tcW w:w="527" w:type="dxa"/>
            <w:shd w:val="clear" w:color="auto" w:fill="FFFFFF"/>
            <w:tcMar>
              <w:top w:w="57" w:type="dxa"/>
              <w:left w:w="57" w:type="dxa"/>
              <w:bottom w:w="57" w:type="dxa"/>
              <w:right w:w="57" w:type="dxa"/>
            </w:tcMar>
            <w:vAlign w:val="center"/>
          </w:tcPr>
          <w:p>
            <w:pPr>
              <w:adjustRightInd w:val="0"/>
              <w:snapToGrid w:val="0"/>
              <w:spacing w:line="300" w:lineRule="exact"/>
              <w:jc w:val="center"/>
              <w:textAlignment w:val="center"/>
              <w:rPr>
                <w:rFonts w:ascii="仿宋_GB2312" w:hAnsi="仿宋_GB2312" w:eastAsia="仿宋_GB2312" w:cs="仿宋_GB2312"/>
                <w:kern w:val="0"/>
                <w:sz w:val="20"/>
                <w:szCs w:val="20"/>
                <w:lang w:bidi="ar"/>
              </w:rPr>
            </w:pPr>
          </w:p>
        </w:tc>
        <w:tc>
          <w:tcPr>
            <w:tcW w:w="457" w:type="dxa"/>
            <w:shd w:val="clear" w:color="auto" w:fill="FFFFFF"/>
            <w:tcMar>
              <w:top w:w="57" w:type="dxa"/>
              <w:left w:w="57" w:type="dxa"/>
              <w:bottom w:w="57" w:type="dxa"/>
              <w:right w:w="57" w:type="dxa"/>
            </w:tcMar>
            <w:vAlign w:val="center"/>
          </w:tcPr>
          <w:p>
            <w:pPr>
              <w:adjustRightInd w:val="0"/>
              <w:snapToGrid w:val="0"/>
              <w:spacing w:line="300" w:lineRule="exact"/>
              <w:jc w:val="left"/>
              <w:rPr>
                <w:rFonts w:ascii="仿宋_GB2312" w:hAnsi="仿宋_GB2312" w:eastAsia="仿宋_GB2312" w:cs="仿宋_GB2312"/>
                <w:color w:val="000000"/>
                <w:sz w:val="20"/>
                <w:szCs w:val="20"/>
              </w:rPr>
            </w:pPr>
          </w:p>
        </w:tc>
        <w:tc>
          <w:tcPr>
            <w:tcW w:w="480" w:type="dxa"/>
            <w:shd w:val="clear" w:color="auto" w:fill="FFFFFF"/>
            <w:tcMar>
              <w:top w:w="57" w:type="dxa"/>
              <w:left w:w="57" w:type="dxa"/>
              <w:bottom w:w="57" w:type="dxa"/>
              <w:right w:w="57" w:type="dxa"/>
            </w:tcMar>
            <w:vAlign w:val="center"/>
          </w:tcPr>
          <w:p>
            <w:pPr>
              <w:adjustRightInd w:val="0"/>
              <w:snapToGrid w:val="0"/>
              <w:spacing w:line="300" w:lineRule="exact"/>
              <w:jc w:val="left"/>
              <w:rPr>
                <w:rFonts w:ascii="仿宋_GB2312" w:hAnsi="仿宋_GB2312" w:eastAsia="仿宋_GB2312" w:cs="仿宋_GB2312"/>
                <w:color w:val="000000"/>
                <w:sz w:val="20"/>
                <w:szCs w:val="20"/>
              </w:rPr>
            </w:pPr>
          </w:p>
        </w:tc>
        <w:tc>
          <w:tcPr>
            <w:tcW w:w="575" w:type="dxa"/>
            <w:shd w:val="clear" w:color="auto" w:fill="FFFFFF"/>
            <w:tcMar>
              <w:top w:w="57" w:type="dxa"/>
              <w:left w:w="57" w:type="dxa"/>
              <w:bottom w:w="57" w:type="dxa"/>
              <w:right w:w="57" w:type="dxa"/>
            </w:tcMar>
            <w:vAlign w:val="center"/>
          </w:tcPr>
          <w:p>
            <w:pPr>
              <w:adjustRightInd w:val="0"/>
              <w:snapToGrid w:val="0"/>
              <w:spacing w:line="300" w:lineRule="exact"/>
              <w:jc w:val="left"/>
              <w:rPr>
                <w:rFonts w:ascii="仿宋_GB2312" w:hAnsi="仿宋_GB2312" w:eastAsia="仿宋_GB2312" w:cs="仿宋_GB2312"/>
                <w:color w:val="000000"/>
                <w:sz w:val="20"/>
                <w:szCs w:val="20"/>
              </w:rPr>
            </w:pPr>
          </w:p>
        </w:tc>
        <w:tc>
          <w:tcPr>
            <w:tcW w:w="443" w:type="dxa"/>
            <w:shd w:val="clear" w:color="auto" w:fill="FFFFFF"/>
            <w:tcMar>
              <w:top w:w="57" w:type="dxa"/>
              <w:left w:w="57" w:type="dxa"/>
              <w:bottom w:w="57" w:type="dxa"/>
              <w:right w:w="57" w:type="dxa"/>
            </w:tcMar>
            <w:vAlign w:val="center"/>
          </w:tcPr>
          <w:p>
            <w:pPr>
              <w:widowControl/>
              <w:adjustRightInd w:val="0"/>
              <w:snapToGrid w:val="0"/>
              <w:spacing w:line="300" w:lineRule="exact"/>
              <w:rPr>
                <w:rFonts w:ascii="仿宋_GB2312" w:hAnsi="仿宋_GB2312" w:eastAsia="仿宋_GB2312" w:cs="仿宋_GB2312"/>
                <w:snapToGrid w:val="0"/>
                <w:sz w:val="20"/>
                <w:szCs w:val="20"/>
              </w:rPr>
            </w:pPr>
          </w:p>
        </w:tc>
        <w:tc>
          <w:tcPr>
            <w:tcW w:w="783" w:type="dxa"/>
            <w:shd w:val="clear" w:color="auto" w:fill="FFFFFF"/>
            <w:tcMar>
              <w:top w:w="57" w:type="dxa"/>
              <w:left w:w="57" w:type="dxa"/>
              <w:bottom w:w="57" w:type="dxa"/>
              <w:right w:w="57" w:type="dxa"/>
            </w:tcMar>
            <w:vAlign w:val="center"/>
          </w:tcPr>
          <w:p>
            <w:pPr>
              <w:widowControl/>
              <w:adjustRightInd w:val="0"/>
              <w:snapToGrid w:val="0"/>
              <w:spacing w:line="300" w:lineRule="exact"/>
              <w:ind w:firstLine="400" w:firstLineChars="200"/>
              <w:rPr>
                <w:rFonts w:ascii="仿宋_GB2312" w:hAnsi="仿宋_GB2312" w:eastAsia="仿宋_GB2312" w:cs="仿宋_GB2312"/>
                <w:snapToGrid w:val="0"/>
                <w:sz w:val="20"/>
                <w:szCs w:val="20"/>
              </w:rPr>
            </w:pPr>
          </w:p>
        </w:tc>
        <w:tc>
          <w:tcPr>
            <w:tcW w:w="2938" w:type="dxa"/>
            <w:vMerge w:val="continue"/>
            <w:shd w:val="clear" w:color="auto" w:fill="FFFFFF"/>
            <w:tcMar>
              <w:top w:w="57" w:type="dxa"/>
              <w:left w:w="57" w:type="dxa"/>
              <w:bottom w:w="57" w:type="dxa"/>
              <w:right w:w="57" w:type="dxa"/>
            </w:tcMar>
            <w:vAlign w:val="center"/>
          </w:tcPr>
          <w:p>
            <w:pPr>
              <w:adjustRightInd w:val="0"/>
              <w:snapToGrid w:val="0"/>
              <w:spacing w:line="300" w:lineRule="exact"/>
              <w:jc w:val="left"/>
              <w:rPr>
                <w:rFonts w:ascii="仿宋_GB2312" w:hAnsi="仿宋_GB2312" w:eastAsia="仿宋_GB2312" w:cs="仿宋_GB2312"/>
                <w:kern w:val="0"/>
                <w:sz w:val="20"/>
                <w:szCs w:val="20"/>
              </w:rPr>
            </w:pPr>
          </w:p>
        </w:tc>
        <w:tc>
          <w:tcPr>
            <w:tcW w:w="2730" w:type="dxa"/>
            <w:vMerge w:val="continue"/>
            <w:shd w:val="clear" w:color="auto" w:fill="FFFFFF"/>
            <w:tcMar>
              <w:top w:w="57" w:type="dxa"/>
              <w:left w:w="57" w:type="dxa"/>
              <w:bottom w:w="57" w:type="dxa"/>
              <w:right w:w="57" w:type="dxa"/>
            </w:tcMar>
            <w:vAlign w:val="center"/>
          </w:tcPr>
          <w:p>
            <w:pPr>
              <w:adjustRightInd w:val="0"/>
              <w:snapToGrid w:val="0"/>
              <w:spacing w:line="300" w:lineRule="exact"/>
              <w:jc w:val="left"/>
              <w:rPr>
                <w:rFonts w:ascii="仿宋_GB2312" w:hAnsi="仿宋_GB2312" w:eastAsia="仿宋_GB2312" w:cs="仿宋_GB2312"/>
                <w:color w:val="000000"/>
                <w:sz w:val="20"/>
                <w:szCs w:val="20"/>
              </w:rPr>
            </w:pPr>
          </w:p>
        </w:tc>
        <w:tc>
          <w:tcPr>
            <w:tcW w:w="3811" w:type="dxa"/>
            <w:vMerge w:val="continue"/>
            <w:shd w:val="clear" w:color="auto" w:fill="FFFFFF"/>
            <w:tcMar>
              <w:top w:w="57" w:type="dxa"/>
              <w:left w:w="57" w:type="dxa"/>
              <w:bottom w:w="57" w:type="dxa"/>
              <w:right w:w="57" w:type="dxa"/>
            </w:tcMar>
            <w:vAlign w:val="center"/>
          </w:tcPr>
          <w:p>
            <w:pPr>
              <w:adjustRightInd w:val="0"/>
              <w:snapToGrid w:val="0"/>
              <w:spacing w:line="300" w:lineRule="exact"/>
              <w:ind w:firstLine="390"/>
              <w:jc w:val="left"/>
              <w:rPr>
                <w:rFonts w:ascii="仿宋_GB2312" w:hAnsi="仿宋_GB2312" w:eastAsia="仿宋_GB2312" w:cs="仿宋_GB2312"/>
                <w:color w:val="000000"/>
                <w:kern w:val="0"/>
                <w:sz w:val="20"/>
                <w:szCs w:val="20"/>
              </w:rPr>
            </w:pPr>
          </w:p>
        </w:tc>
        <w:tc>
          <w:tcPr>
            <w:tcW w:w="2969" w:type="dxa"/>
            <w:shd w:val="clear" w:color="auto" w:fill="FFFFFF"/>
            <w:tcMar>
              <w:top w:w="57" w:type="dxa"/>
              <w:left w:w="57" w:type="dxa"/>
              <w:bottom w:w="57" w:type="dxa"/>
              <w:right w:w="57" w:type="dxa"/>
            </w:tcMar>
            <w:vAlign w:val="center"/>
          </w:tcPr>
          <w:p>
            <w:pPr>
              <w:adjustRightInd w:val="0"/>
              <w:snapToGrid w:val="0"/>
              <w:spacing w:line="300" w:lineRule="exact"/>
              <w:rPr>
                <w:rFonts w:ascii="仿宋_GB2312" w:hAnsi="仿宋_GB2312" w:eastAsia="仿宋_GB2312" w:cs="仿宋_GB2312"/>
                <w:sz w:val="20"/>
                <w:szCs w:val="20"/>
              </w:rPr>
            </w:pPr>
          </w:p>
        </w:tc>
        <w:tc>
          <w:tcPr>
            <w:tcW w:w="4161" w:type="dxa"/>
            <w:shd w:val="clear" w:color="auto" w:fill="FFFFFF"/>
            <w:tcMar>
              <w:top w:w="57" w:type="dxa"/>
              <w:left w:w="57" w:type="dxa"/>
              <w:bottom w:w="57" w:type="dxa"/>
              <w:right w:w="57" w:type="dxa"/>
            </w:tcMar>
            <w:vAlign w:val="center"/>
          </w:tcPr>
          <w:p>
            <w:pPr>
              <w:pStyle w:val="8"/>
              <w:spacing w:line="300" w:lineRule="exact"/>
              <w:rPr>
                <w:rFonts w:ascii="仿宋_GB2312" w:hAnsi="仿宋_GB2312" w:eastAsia="仿宋_GB2312" w:cs="仿宋_GB2312"/>
                <w:sz w:val="20"/>
              </w:rPr>
            </w:pPr>
          </w:p>
        </w:tc>
        <w:tc>
          <w:tcPr>
            <w:tcW w:w="1150" w:type="dxa"/>
            <w:shd w:val="clear" w:color="auto" w:fill="FFFFFF"/>
            <w:tcMar>
              <w:top w:w="57" w:type="dxa"/>
              <w:left w:w="57" w:type="dxa"/>
              <w:bottom w:w="57" w:type="dxa"/>
              <w:right w:w="57" w:type="dxa"/>
            </w:tcMar>
            <w:vAlign w:val="center"/>
          </w:tcPr>
          <w:p>
            <w:pPr>
              <w:adjustRightInd w:val="0"/>
              <w:snapToGrid w:val="0"/>
              <w:spacing w:line="300" w:lineRule="exact"/>
              <w:rPr>
                <w:rFonts w:ascii="仿宋_GB2312" w:hAnsi="仿宋_GB2312" w:eastAsia="仿宋_GB2312" w:cs="仿宋_GB2312"/>
                <w:sz w:val="20"/>
                <w:szCs w:val="20"/>
              </w:rPr>
            </w:pPr>
          </w:p>
        </w:tc>
        <w:tc>
          <w:tcPr>
            <w:tcW w:w="757" w:type="dxa"/>
            <w:shd w:val="clear" w:color="auto" w:fill="FFFFFF"/>
            <w:tcMar>
              <w:top w:w="57" w:type="dxa"/>
              <w:left w:w="57" w:type="dxa"/>
              <w:bottom w:w="57" w:type="dxa"/>
              <w:right w:w="57" w:type="dxa"/>
            </w:tcMar>
            <w:vAlign w:val="center"/>
          </w:tcPr>
          <w:p>
            <w:pPr>
              <w:adjustRightInd w:val="0"/>
              <w:snapToGrid w:val="0"/>
              <w:spacing w:line="300" w:lineRule="exact"/>
              <w:rPr>
                <w:rFonts w:ascii="仿宋_GB2312" w:hAnsi="仿宋_GB2312" w:eastAsia="仿宋_GB2312" w:cs="仿宋_GB2312"/>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8</w:t>
            </w:r>
          </w:p>
        </w:tc>
        <w:tc>
          <w:tcPr>
            <w:tcW w:w="4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行政处罚</w:t>
            </w:r>
          </w:p>
        </w:tc>
        <w:tc>
          <w:tcPr>
            <w:tcW w:w="4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对违反规定擅自占用和损坏乡村公共设施行为的处罚</w:t>
            </w:r>
          </w:p>
        </w:tc>
        <w:tc>
          <w:tcPr>
            <w:tcW w:w="5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和睦镇人民政府</w:t>
            </w:r>
          </w:p>
        </w:tc>
        <w:tc>
          <w:tcPr>
            <w:tcW w:w="7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经济发展办公室</w:t>
            </w:r>
          </w:p>
        </w:tc>
        <w:tc>
          <w:tcPr>
            <w:tcW w:w="293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【地方性法规】《广西壮族自治区乡村规划建设管理条例》（2018年广西壮族自治区第十三届人民代表大会常务委员会公告第13号）第五十条第二款：任何单位和个人不得擅自占用和损坏乡村公共设施。</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第六十二条： 违反本条例第五十条第二款规定，擅自占用和损坏乡村公共设施的，由乡（镇）人民政府或者其委托的乡（镇）综合执法机构责令恢复原状，对单位可以处一千元以上一万元以下罚款，对个人可以处十元以上一百元以下罚款；造成损失的，应当依法承担赔偿责任。</w:t>
            </w:r>
          </w:p>
        </w:tc>
        <w:tc>
          <w:tcPr>
            <w:tcW w:w="27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1.立案责任：根据日常监管和投诉情况，进行相关监督检查和核实，决定是否立案受理。</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2.调查取证责任：对立案的案件展开调查和取证，制作调查笔录，调查结束出具书面调查终结报告。在调查取证时，应由2名以上执法人员参加，并向当事人出示有效的行政执法证件，允许当事人辩解陈述。</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3.审查核实责任：按照有关规定对案件违法事实、证据、调查取证程序、法律适用、处罚种类和幅度、当事人陈述和申辩理由等方面进行审查，提出处理意见（主要证据不足时，以适当的方式补充调查）。</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4.告知责任：作出行政处罚决定前，制作《行政处罚告知书》送达当事人，告知违法事实及其享有的陈述、申辩等权利。符合听证规定的，制作并送达《行政处罚听证告知书》。</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5.决定责任：作出行政处罚决定，制作行政处罚决定书。</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6.送达责任：行政处罚决定书应当在宣告后当场交付当事人；当事人不在场的，行政机关应当在七日内依照民事诉讼法的有关规定，将行政处罚决定书送达当事人。</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7.执行责任：监督当事人在决定的期限内，履行生效的行政处罚决定。当事人在法定期限内不申请行政复议或者提起行政诉讼，又不履行的，可依法采取申请人民法院强制执行。</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8.监督责任：对行政处罚决定执行情况进行监督检查。</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9.其他法律法规规章文件规定应履行的责任。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1-1.【法律】《中华人民共和国行政处罚法》第四十条：公民、法人或者其他组织违反行政管理秩序的行为，依法应当给予行政处罚的，行政机关必须查明事实；违法事实不清、证据不足的，不得给予行政处罚。</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符合立案标准的，行政机关应当及时立案。</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2-2.【法律】《中华人民共和国行政处罚法》第四十二条：行政处罚应当由具有行政执法资格的执法人员实施。执法人员不得少于两人，法律另有规定的除外。</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执法人员应当文明执法，尊重和保护当事人合法权益。</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4-1.【法律】《中华人民共和国行政处罚法》第七条：公民、法人或者其他组织对行政机关所给予的行政处罚，享有陈述权、申辩权；对行政处罚不服的，有权依法申请行政复议或者提起行政诉讼。</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公民、法人或者其他组织因行政机关违法给予行政处罚受到损害的，有权依法提出赔偿要求。</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当事人同意并签订确认书的，行政机关可以采用传真、电子邮件等方式，将行政处罚决定书等送达当事人。</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7-1.【法律】《中华人民共和国行政处罚法》第六十六条：行政处罚决定依法作出后，当事人应当在行政处罚决定书载明的期限内，予以履行。</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当事人确有经济困难，需要延期或者分期缴纳罚款的，经当事人申请和行政机关批准，可以暂缓或者分期缴纳。</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7-2.【部门规章】《住房和城乡建设行政处罚程序规定》（2022年建设部令第55号）第三十八条：当事人不履行行政处罚决定，执法机关可以依法强制执行或者申请人民法院强制执行。</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8-1.【法律】《中华人民共和国行政处罚法》第七十五条：行政机关应当建立健全对行政处罚的监督制度。县级以上人民政府应当定期组织开展行政执法评议、考核，加强对行政处罚的监督检查，规范和保障行政处罚的实施。</w:t>
            </w:r>
          </w:p>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因不履行或不正确履行行政职责，有下列情形的，行政机关及相关工作人员应承担相应责任：</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1.没有法律和事实依据实施行政处罚的；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2.行政处罚显失公正的；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4.擅自改变行政处罚种类、幅度的；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5.因处罚不当给当事人造成损失的；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6.不具备行政执法资格实施行政处罚的；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7.违反法定的行政处罚程序的；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8.符合听证条件，行政管理相对人要求听证，应予组织听证而不组织听证的；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9.在行政处罚过程中发生腐败行为的；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10.其他违反法律法规规章文件规定的行为。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xml:space="preserve">    行政机关对符合立案标准的案件不及时立案的，依照前款规定予以处理。</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leftChars="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p>
          <w:p>
            <w:pPr>
              <w:adjustRightInd w:val="0"/>
              <w:snapToGrid w:val="0"/>
              <w:spacing w:line="300" w:lineRule="exact"/>
              <w:jc w:val="both"/>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8.同1.</w:t>
            </w:r>
          </w:p>
        </w:tc>
        <w:tc>
          <w:tcPr>
            <w:tcW w:w="11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法律法规规章规定的免责情形。</w:t>
            </w: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9</w:t>
            </w:r>
          </w:p>
        </w:tc>
        <w:tc>
          <w:tcPr>
            <w:tcW w:w="45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对滥伐林木的处罚</w:t>
            </w:r>
          </w:p>
        </w:tc>
        <w:tc>
          <w:tcPr>
            <w:tcW w:w="5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color w:val="000000" w:themeColor="text1"/>
                <w:kern w:val="0"/>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和睦镇人民政府</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val="en-US" w:eastAsia="zh-CN"/>
              </w:rPr>
              <w:t>经济发展办公室</w:t>
            </w:r>
          </w:p>
        </w:tc>
        <w:tc>
          <w:tcPr>
            <w:tcW w:w="29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中华人民共和国森林法》（2019年12月28日主席令第三十九号公布，2020年7月1日起施行)第七十六条第二款滥伐林木的，由县级以上人民政府林业主管部门责令限期在原地或者异地补种滥伐株数一倍以上三倍以下的树木，可以处滥伐林木价值三倍以上五倍以下的罚款。</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1.立案责任：通过举报、巡查、移送、上级交办等发现违法行为后开展调查，符合立案标准的予以立案。</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2.调查取证责任：指定专人负责，及时组织调查取证，通过搜集证据、现场了解核实情况等进行调查，制作笔录。调查时应出示执法证件，执法人员不得少于二人，依法回避。</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3.审查责任：审查案件调查报告，对案件违法事实、证据、调查取证程序、法律适用、处罚种类和幅度、当事人陈述和申辩理由等方面进行审查，提出处理意见。</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4.告知责任：作出行政处罚决定前，应制作《行政处罚告知书》送达当事人，告知违法事实及其享有的陈述、申辩等权利。符合听证规定的，告知听证权。</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6.送达责任：当场送达或在七日内依照民事诉讼法的有关规定送达。</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7.执行责任：依照生效的行政处罚决定，自觉履行或强制执行。</w:t>
            </w:r>
          </w:p>
          <w:p>
            <w:pPr>
              <w:widowControl/>
              <w:spacing w:line="300" w:lineRule="exact"/>
              <w:ind w:firstLine="400" w:firstLineChars="200"/>
              <w:jc w:val="lef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kern w:val="0"/>
                <w:sz w:val="20"/>
                <w:szCs w:val="20"/>
              </w:rPr>
              <w:t>8.其他法律法规规章文件规定应履行的其他责任。</w:t>
            </w:r>
          </w:p>
        </w:tc>
        <w:tc>
          <w:tcPr>
            <w:tcW w:w="381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300" w:lineRule="exact"/>
              <w:ind w:firstLine="400" w:firstLineChars="200"/>
              <w:jc w:val="lef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29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因不履行或不正确履行行政职责，有下列情形的行政机关及相关工作人员应承担相应的责任：</w:t>
            </w:r>
          </w:p>
          <w:p>
            <w:pPr>
              <w:widowControl/>
              <w:spacing w:line="300" w:lineRule="exact"/>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1.没有法律和事实依据实施处罚的 ；</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2.擅自改变处罚种类、幅度的 ；</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3.违反法定的处罚程序的 ；</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4.违反“罚缴分离”规定，擅自收取罚款以及截留、私分或者变相私分罚款的 ；</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5.滥用职权、滥施处罚，给当事人造成损失的 ；</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6.对当事人进行处罚不使用罚款、没收财物单据或者使用非法定部门制发的罚款、没收财物单据的 ；</w:t>
            </w:r>
          </w:p>
          <w:p>
            <w:pPr>
              <w:widowControl/>
              <w:spacing w:line="300" w:lineRule="exact"/>
              <w:ind w:firstLine="400" w:firstLineChars="200"/>
              <w:jc w:val="left"/>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2.同1。</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3.同1。</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pacing w:line="300" w:lineRule="exact"/>
              <w:ind w:firstLine="400" w:firstLineChars="200"/>
              <w:jc w:val="lef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jc w:val="left"/>
              <w:rPr>
                <w:rFonts w:ascii="仿宋_GB2312" w:hAnsi="仿宋_GB2312" w:eastAsia="仿宋_GB2312" w:cs="仿宋_GB2312"/>
                <w:color w:val="000000" w:themeColor="text1"/>
                <w:sz w:val="20"/>
                <w:szCs w:val="20"/>
                <w:shd w:val="clear" w:color="auto" w:fill="FFFFFF"/>
                <w14:textFill>
                  <w14:solidFill>
                    <w14:schemeClr w14:val="tx1"/>
                  </w14:solidFill>
                </w14:textFill>
              </w:rPr>
            </w:pPr>
            <w:r>
              <w:rPr>
                <w:rFonts w:hint="eastAsia" w:ascii="仿宋_GB2312" w:hAnsi="仿宋_GB2312" w:eastAsia="仿宋_GB2312" w:cs="仿宋_GB2312"/>
                <w:kern w:val="0"/>
                <w:sz w:val="20"/>
                <w:szCs w:val="20"/>
              </w:rPr>
              <w:t xml:space="preserve"> 法律法规规定的免责情形及县委、县人民政府以及县级以上党委人民政府有关文件中明确的免责情形。</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kern w:val="0"/>
                <w:sz w:val="20"/>
                <w:szCs w:val="20"/>
              </w:rPr>
              <w:t>“对滥伐林木的处罚”与《自治区党委编办关于印发广西赋予乡镇（街道）部分县级管理权限清单（第一批）的通知》（桂编办发〔2019〕195号）中的“对滥伐森林或者其他林木的处罚”为同一事项，根据桂编办发〔2019〕195号文件精神，该行政处罚赋权乡镇人民政府（街道办事处）实施。</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10</w:t>
            </w:r>
          </w:p>
        </w:tc>
        <w:tc>
          <w:tcPr>
            <w:tcW w:w="4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textAlignment w:val="center"/>
              <w:rPr>
                <w:rFonts w:ascii="仿宋_GB2312" w:hAnsi="仿宋_GB2312" w:eastAsia="仿宋_GB2312" w:cs="仿宋_GB2312"/>
                <w:color w:val="000000" w:themeColor="text1"/>
                <w:kern w:val="0"/>
                <w:sz w:val="20"/>
                <w:szCs w:val="20"/>
                <w:lang w:bidi="ar"/>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textAlignment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对农村村民未经批准或者采取欺骗手段骗取批准，非法占用土地建住宅的行政处罚</w:t>
            </w:r>
          </w:p>
        </w:tc>
        <w:tc>
          <w:tcPr>
            <w:tcW w:w="5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color w:val="000000" w:themeColor="text1"/>
                <w:kern w:val="0"/>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sz w:val="20"/>
                <w:szCs w:val="20"/>
              </w:rPr>
            </w:pPr>
            <w:r>
              <w:rPr>
                <w:rFonts w:hint="eastAsia" w:ascii="仿宋_GB2312" w:hAnsi="仿宋_GB2312" w:eastAsia="仿宋_GB2312" w:cs="仿宋_GB2312"/>
                <w:snapToGrid w:val="0"/>
                <w:sz w:val="20"/>
                <w:szCs w:val="20"/>
              </w:rPr>
              <w:t>和睦镇人民政府</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sz w:val="20"/>
                <w:szCs w:val="20"/>
                <w:lang w:bidi="ar"/>
              </w:rPr>
            </w:pPr>
            <w:r>
              <w:rPr>
                <w:rFonts w:hint="eastAsia" w:ascii="仿宋_GB2312" w:hAnsi="仿宋_GB2312" w:eastAsia="仿宋_GB2312" w:cs="仿宋_GB2312"/>
                <w:kern w:val="0"/>
                <w:sz w:val="20"/>
                <w:szCs w:val="20"/>
                <w:lang w:val="en-US" w:eastAsia="zh-CN"/>
              </w:rPr>
              <w:t>经济发展办公室</w:t>
            </w:r>
          </w:p>
        </w:tc>
        <w:tc>
          <w:tcPr>
            <w:tcW w:w="293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ind w:firstLine="400" w:firstLineChars="200"/>
              <w:textAlignment w:val="center"/>
              <w:rPr>
                <w:rStyle w:val="17"/>
                <w:rFonts w:hint="default" w:ascii="仿宋_GB2312" w:hAnsi="仿宋_GB2312" w:eastAsia="仿宋_GB2312" w:cs="仿宋_GB2312"/>
                <w:color w:val="000000" w:themeColor="text1"/>
                <w14:textFill>
                  <w14:solidFill>
                    <w14:schemeClr w14:val="tx1"/>
                  </w14:solidFill>
                </w14:textFill>
              </w:rPr>
            </w:pPr>
            <w:r>
              <w:rPr>
                <w:rStyle w:val="17"/>
                <w:rFonts w:hint="default" w:ascii="仿宋_GB2312" w:hAnsi="仿宋_GB2312" w:eastAsia="仿宋_GB2312" w:cs="仿宋_GB2312"/>
                <w:color w:val="000000" w:themeColor="text1"/>
                <w14:textFill>
                  <w14:solidFill>
                    <w14:schemeClr w14:val="tx1"/>
                  </w14:solidFill>
                </w14:textFill>
              </w:rPr>
              <w:t>1.【法律】《中华人民共和国土地管理法》（</w:t>
            </w:r>
            <w:r>
              <w:rPr>
                <w:rFonts w:hint="eastAsia" w:ascii="仿宋_GB2312" w:hAnsi="仿宋_GB2312" w:eastAsia="仿宋_GB2312" w:cs="仿宋_GB2312"/>
                <w:color w:val="000000" w:themeColor="text1"/>
                <w:sz w:val="20"/>
                <w:szCs w:val="20"/>
                <w:shd w:val="clear" w:color="auto"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Style w:val="17"/>
                <w:rFonts w:hint="default" w:ascii="仿宋_GB2312" w:hAnsi="仿宋_GB2312" w:eastAsia="仿宋_GB2312" w:cs="仿宋_GB2312"/>
                <w:color w:val="000000" w:themeColor="text1"/>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default" w:ascii="仿宋_GB2312" w:hAnsi="仿宋_GB2312" w:eastAsia="仿宋_GB2312" w:cs="仿宋_GB2312"/>
                <w:color w:val="000000" w:themeColor="text1"/>
                <w14:textFill>
                  <w14:solidFill>
                    <w14:schemeClr w14:val="tx1"/>
                  </w14:solidFill>
                </w14:textFill>
              </w:rPr>
              <w:t>建的房屋。</w:t>
            </w:r>
          </w:p>
          <w:p>
            <w:pPr>
              <w:adjustRightInd w:val="0"/>
              <w:snapToGrid w:val="0"/>
              <w:spacing w:line="300" w:lineRule="exact"/>
              <w:ind w:firstLine="400" w:firstLineChars="200"/>
              <w:textAlignment w:val="center"/>
              <w:rPr>
                <w:rStyle w:val="17"/>
                <w:rFonts w:hint="default" w:ascii="仿宋_GB2312" w:hAnsi="仿宋_GB2312" w:eastAsia="仿宋_GB2312" w:cs="仿宋_GB2312"/>
                <w:color w:val="000000" w:themeColor="text1"/>
                <w14:textFill>
                  <w14:solidFill>
                    <w14:schemeClr w14:val="tx1"/>
                  </w14:solidFill>
                </w14:textFill>
              </w:rPr>
            </w:pPr>
            <w:r>
              <w:rPr>
                <w:rStyle w:val="17"/>
                <w:rFonts w:hint="default" w:ascii="仿宋_GB2312" w:hAnsi="仿宋_GB2312" w:eastAsia="仿宋_GB2312" w:cs="仿宋_GB2312"/>
                <w:color w:val="000000" w:themeColor="text1"/>
                <w14:textFill>
                  <w14:solidFill>
                    <w14:schemeClr w14:val="tx1"/>
                  </w14:solidFill>
                </w14:textFill>
              </w:rPr>
              <w:t>超过省、自治区、直辖市规定的标准，多占的土地以非法占用土地论处。</w:t>
            </w:r>
          </w:p>
          <w:p>
            <w:pPr>
              <w:adjustRightInd w:val="0"/>
              <w:snapToGrid w:val="0"/>
              <w:spacing w:line="300" w:lineRule="exact"/>
              <w:ind w:firstLine="400" w:firstLineChars="200"/>
              <w:textAlignment w:val="center"/>
              <w:rPr>
                <w:rStyle w:val="17"/>
                <w:rFonts w:hint="default" w:ascii="仿宋_GB2312" w:hAnsi="仿宋_GB2312" w:eastAsia="仿宋_GB2312" w:cs="仿宋_GB2312"/>
                <w:color w:val="000000" w:themeColor="text1"/>
                <w14:textFill>
                  <w14:solidFill>
                    <w14:schemeClr w14:val="tx1"/>
                  </w14:solidFill>
                </w14:textFill>
              </w:rPr>
            </w:pPr>
            <w:r>
              <w:rPr>
                <w:rStyle w:val="17"/>
                <w:rFonts w:hint="default" w:ascii="仿宋_GB2312" w:hAnsi="仿宋_GB2312" w:eastAsia="仿宋_GB2312" w:cs="仿宋_GB2312"/>
                <w:color w:val="000000" w:themeColor="text1"/>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adjustRightInd w:val="0"/>
              <w:snapToGrid w:val="0"/>
              <w:spacing w:line="300" w:lineRule="exact"/>
              <w:ind w:firstLine="400" w:firstLineChars="200"/>
              <w:textAlignment w:val="center"/>
              <w:rPr>
                <w:rFonts w:ascii="仿宋_GB2312" w:hAnsi="仿宋_GB2312" w:eastAsia="仿宋_GB2312" w:cs="仿宋_GB2312"/>
                <w:sz w:val="20"/>
                <w:szCs w:val="20"/>
                <w:lang w:bidi="ar"/>
              </w:rPr>
            </w:pPr>
          </w:p>
        </w:tc>
        <w:tc>
          <w:tcPr>
            <w:tcW w:w="27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1.立案责任（农业综合行政执法机构）：发现涉嫌违法行为，应及时制止，并予以审查，决定是否立案。</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调查责任（农业综合行政执法机构）：对立案的案件，指定专人负责，及时组织调查取证，与当事人有直接利害关系的应当回避。执法人员不得少于两人，调查时应出示执法证件，允许当事人辩解陈述。执法人员应保守有关秘密，客观公正的进行取证，并做好记录。</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审查责任（法制机构、农业综合行政执法机构）：审理案件调查报告，对案件违法事实、证据、调查取证程序、法律适用、处罚种类和幅度、当事人陈述和申辩理由等方面进行审查，提出处理意见（主要证据不足时，以适当的方式补充调查）。</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4.告知责任（农业综合行政执法机构）：作出行政处罚决定前，告知当事人作出行政处罚决定的事实、理由及依据，并告知当事人依法享有的陈述、申辩等权利。</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5.决定责任（负责领导、农业综合行政执法机构）：制作行政处罚决定书，载明违法事实和依据、处罚的种类和依据、作出处罚决定的机关名称、申请行政复议或行政诉讼的途径和期限等事项内容。</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6.送达责任（农业综合行政执法机构）：行政处罚决定书按法律规定的方式送达当事人。</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7.执行责任（农业综合行政执法机构）：依照生效的行政处罚决定，监督当事人履行。当事人逾期不履行的，可依法采取加处罚款、申请法院强制执行等措施。</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8.监督责任（农业综合行政执法机构）：对处罚决定执行情况进行监督检查。</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9.其他法律法规规章文件规定应履行的责任。（农业综合行政执法机构）。</w:t>
            </w:r>
          </w:p>
        </w:tc>
        <w:tc>
          <w:tcPr>
            <w:tcW w:w="38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1-1.【法律】《中华人民共和国行政处罚法》第四十条：公民、法人或者其他组织违反行政管理秩序的行为，依法应当给予行政处罚的，行政机关必须查明事实；违法事实不清、证据不足的，不得给予行政处罚。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-2.【部门规章】《农业行政处罚程序规定》（2021年农业农村部令第4号）第二十九条：农业行政处罚机关对依据监督检查职责或者通过投诉、举报、其他部门移送、上级交办等途径发现的违法行为线索，应当自发现线索或者收到相关材料之日起七日内予以核查，由农业行政处罚机关负责人决定是否立案；因特殊情况不能在规定期限内立案的，经农业行政处罚机关负责人批准，可以延长七日。法律、法规、规章另有规定的除外。</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符合立案标准的，行政机关应当及时立案。</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2-2.【法律】《中华人民共和国行政处罚法》第四十二条：行政处罚应当由具有行政执法资格的执法人员实施。执法人员不得少于两人，法律另有规定的除外。</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执法人员应当文明执法，尊重和保护当事人合法权益。</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2-3.【部门规章】《农业行政处罚程序规定》（2021年农业农村部令第4号）第三十三条：农业行政执法人员有权依法采取下列措施：</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（一）查阅、复制书证和其他有关材料；</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（二）询问当事人或者其他与案件有关的单位和个人；</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（三）要求当事人或者有关人员在一定的期限内提供有关材料；</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（四）采取现场检查、勘验、抽样、检验、检测、鉴定、评估、认定、录音、拍照、录像、调取现场及周边监控设备电子数据等方式进行调查取证；</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（五）对涉案的场所、设施或者财物依法实施查封、扣押等行政强制措施；</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（六）责令被检查单位或者个人停止违法行为，履行法定义务；</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（七）其他法律、法规、规章规定的措施。</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3-1.【法律】《中华人民共和国行政处罚法》第五十七条：调查终结，行政机关负责人应当对调查结果进行审查，根据不同情况，分别作出如下决定：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（二）违法行为轻微，依法可以不予行政处罚的，不予行政处罚；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（三）违法事实不能成立的，不予行政处罚；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（四）违法行为涉嫌犯罪的，移送司法机关。对情节复杂或者重大违法行为给予行政处罚，行政机关负责人应当集体讨论决定。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-2.【部门规章】《农业行政处罚程序规定》（2021年农业农村部令第4号）第五十四条：农业行政处罚机关负责人应当对调查结果、当事人陈述申辩或者听证情况、案件处理意见和法制审核意见等进行全面审查，并区别不同情况分别作出如下处理决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（二）违法事实不能成立的，不予行政处罚；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（三）违法行为轻微并及时改正，没有造成危害后果的，不予行政处罚；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（四）当事人有证据足以证明没有主观过错的，不予行政处罚，但法律、行政法规另有规定的除外；</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（五）初次违法且危害后果轻微并及时改正的，可以不予行政处罚；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（六）违法行为超过追责时效的，不予行政处罚；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（七）不属于农业行政处罚机关管辖的，移送其他行政机关处理；</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（八）违法行为涉嫌犯罪的，将案件移送司法机关。</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4-1.【法律】《中华人民共和国行政处罚法》第七条：公民、法人或者其他组织对行政机关所给予的行政处罚，享有陈述权、申辩权；对行政处罚不服的，有权依法申请行政复议或者提起行政诉讼。</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公民、法人或者其他组织因行政机关违法给予行政处罚受到损害的，有权依法提出赔偿要求。</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-2.【部门规章】《农业行政处罚程序规定》（2021年农业农村部令第4号）第二十三条：农业行政处罚机关作出农业行政处罚决定前，应当告知当事人拟作出行政处罚内容及事实、理由、依据，并告知当事人依法享有的陈述、申辩、要求听证等权利。</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采取普通程序查办的案件，农业行政处罚机关应当制作行政处罚事先告知书送达当事人，并告知当事人可以在收到告知书之日起三日内进行陈述、申辩。符合听证条件的，应当告知当事人可以要求听证。</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当事人无正当理由逾期提出陈述、申辩或者要求听证的，视为放弃上述权利。</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5-1.【法律】《中华人民共和国行政处罚法》第五十九条：行政机关依照本法第五十七条的规定给予行政处罚，应当制作行政处罚决定书。行政处罚决定书应当载明下列事项：</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（六）作出行政处罚决定的行政机关名称和作出决定的日期。行政处罚决定书必须盖有作出行政处罚决定的行政机关的印章。</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5-2.【部门规章】《农业行政处罚程序规定》（2021年农业农村部令第4号）第五十六条：农业行政处罚机关决定给予行政处罚的，应当制作行政处罚决定书。行政处罚决定书应当载明以下内容：</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（六）作出行政处罚决定的农业行政处罚机关名称和作出决定的日期。农业行政处罚决定书应当加盖作出行政处罚决定的行政机关的印章。</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-2.【部门规章】《农业行政处罚程序规定》（2021年农业农村部令第4号）第六十九条：农业行政处罚机关送达行政处罚决定书，应当在宣告后当场交付当事人；当事人不在场的，应当在七日内依照《中华人民共和国民事诉讼法》的有关规定将行政处罚决定书送达当事人。</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当事人同意并签订确认书的，农业行政处罚机关可以采用传真、电子邮件等方式，将行政处罚决定书等送达当事人。</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7-1.【法律】《中华人民共和国行政处罚法》第六十六条：行政处罚决定依法作出后，当事人应当在行政处罚决定书载明的期限内，予以履行。</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当事人确有经济困难，需要延期或者分期缴纳罚款的，经当事人申请和行政机关批准，可以暂缓或者分期缴纳。</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7-2.【部门规章】《农业行政处罚程序规定》（2021年农业农村部令第4号）第七十三条：当事人应当在行政处罚决定书确定的期限内，履行处罚决定。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农业行政处罚决定依法作出后，当事人对行政处罚决定不服申请行政复议或者提起行政诉讼的，除法律另有规定外，行政处罚决定不停止执行。</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8-1.【部门规章】《农业行政处罚程序规定》（2021年农业农村部令第4号）第十条：上级农业农村主管部门依法监督下级农业农村主管部门实施的行政处罚。</w:t>
            </w:r>
          </w:p>
          <w:p>
            <w:pPr>
              <w:adjustRightInd w:val="0"/>
              <w:snapToGrid w:val="0"/>
              <w:spacing w:line="300" w:lineRule="exact"/>
              <w:ind w:firstLine="400" w:firstLineChars="200"/>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县级以上人民政府农业农村主管部门负责监督本部门农业综合行政执法机构或者派出执法机构实施的行政处罚。</w:t>
            </w:r>
          </w:p>
        </w:tc>
        <w:tc>
          <w:tcPr>
            <w:tcW w:w="2969" w:type="dxa"/>
            <w:tcBorders>
              <w:top w:val="single" w:color="000000" w:sz="4" w:space="0"/>
              <w:left w:val="single" w:color="000000" w:sz="4" w:space="0"/>
              <w:bottom w:val="single" w:color="000000" w:sz="4" w:space="0"/>
              <w:right w:val="single" w:color="000000" w:sz="4" w:space="0"/>
            </w:tcBorders>
          </w:tcPr>
          <w:p>
            <w:pPr>
              <w:widowControl/>
              <w:shd w:val="clear" w:color="auto" w:fill="FFFFFF"/>
              <w:spacing w:line="300" w:lineRule="exact"/>
              <w:ind w:firstLine="432" w:firstLineChars="200"/>
              <w:jc w:val="lef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spacing w:val="8"/>
                <w:sz w:val="20"/>
                <w:szCs w:val="20"/>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kern w:val="0"/>
                <w:sz w:val="20"/>
                <w:szCs w:val="20"/>
                <w14:textFill>
                  <w14:solidFill>
                    <w14:schemeClr w14:val="tx1"/>
                  </w14:solidFill>
                </w14:textFill>
              </w:rPr>
              <w:t>1.行政机关实施行政处罚，有下列情形之一：（一）没有法定的行政处罚依据的；</w:t>
            </w:r>
          </w:p>
          <w:p>
            <w:pPr>
              <w:widowControl/>
              <w:shd w:val="clear" w:color="auto" w:fill="FFFFFF"/>
              <w:spacing w:line="300" w:lineRule="exact"/>
              <w:ind w:firstLine="400" w:firstLineChars="200"/>
              <w:jc w:val="lef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widowControl/>
              <w:shd w:val="clear" w:color="auto" w:fill="FFFFFF"/>
              <w:spacing w:line="300" w:lineRule="exact"/>
              <w:ind w:firstLine="400" w:firstLineChars="200"/>
              <w:jc w:val="lef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widowControl/>
              <w:shd w:val="clear" w:color="auto" w:fill="FFFFFF"/>
              <w:spacing w:line="300" w:lineRule="exact"/>
              <w:ind w:firstLine="400" w:firstLineChars="200"/>
              <w:jc w:val="lef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widowControl/>
              <w:shd w:val="clear" w:color="auto" w:fill="FFFFFF"/>
              <w:spacing w:line="300" w:lineRule="exact"/>
              <w:ind w:firstLine="400" w:firstLineChars="200"/>
              <w:jc w:val="lef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spacing w:line="300" w:lineRule="exact"/>
              <w:ind w:firstLine="400" w:firstLineChars="200"/>
              <w:jc w:val="lef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pStyle w:val="10"/>
              <w:spacing w:after="0" w:line="300" w:lineRule="exact"/>
              <w:ind w:left="0" w:leftChars="0" w:firstLine="400" w:firstLineChars="200"/>
              <w:jc w:val="lef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2.行政机关对当事人进行处罚不使用罚款、没收财物单据或者使用非法定部门制发的罚款、没收财物单据的。</w:t>
            </w:r>
          </w:p>
          <w:p>
            <w:pPr>
              <w:pStyle w:val="10"/>
              <w:spacing w:after="0" w:line="300" w:lineRule="exact"/>
              <w:ind w:left="0" w:leftChars="0" w:firstLine="400" w:firstLineChars="200"/>
              <w:jc w:val="left"/>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3.行政机关违反本法第六十七条的规定自行收缴罚款的，财政部门违反本法第七十四条的规定向行政机关返还罚款、没收的违法所得或者拍卖款项的。</w:t>
            </w:r>
          </w:p>
          <w:p>
            <w:pPr>
              <w:spacing w:line="300" w:lineRule="exact"/>
              <w:ind w:firstLine="400" w:firstLineChars="200"/>
              <w:jc w:val="lef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4.行政机关截留、私分或者变相私分罚款、没收的违法所得或者财物的。</w:t>
            </w:r>
          </w:p>
          <w:p>
            <w:pPr>
              <w:pStyle w:val="10"/>
              <w:spacing w:after="0" w:line="300" w:lineRule="exact"/>
              <w:ind w:left="0" w:leftChars="0" w:firstLine="400" w:firstLineChars="200"/>
              <w:jc w:val="left"/>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w:t>
            </w:r>
          </w:p>
          <w:p>
            <w:pPr>
              <w:spacing w:line="300" w:lineRule="exact"/>
              <w:jc w:val="center"/>
              <w:rPr>
                <w:rFonts w:ascii="仿宋_GB2312" w:hAnsi="仿宋_GB2312" w:eastAsia="仿宋_GB2312" w:cs="仿宋_GB2312"/>
                <w:color w:val="000000" w:themeColor="text1"/>
                <w:sz w:val="20"/>
                <w:szCs w:val="20"/>
                <w14:textFill>
                  <w14:solidFill>
                    <w14:schemeClr w14:val="tx1"/>
                  </w14:solidFill>
                </w14:textFill>
              </w:rPr>
            </w:pPr>
          </w:p>
        </w:tc>
        <w:tc>
          <w:tcPr>
            <w:tcW w:w="4161" w:type="dxa"/>
            <w:tcBorders>
              <w:top w:val="single" w:color="000000" w:sz="4" w:space="0"/>
              <w:left w:val="single" w:color="000000" w:sz="4" w:space="0"/>
              <w:bottom w:val="single" w:color="000000" w:sz="4" w:space="0"/>
              <w:right w:val="single" w:color="000000" w:sz="4" w:space="0"/>
            </w:tcBorders>
          </w:tcPr>
          <w:p>
            <w:pPr>
              <w:widowControl/>
              <w:shd w:val="clear" w:color="auto" w:fill="FFFFFF"/>
              <w:spacing w:line="300" w:lineRule="exact"/>
              <w:ind w:firstLine="480"/>
              <w:jc w:val="lef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1.【法律】《行政处罚法》第七十六条　行政机关实施行政处罚，有下列情形之一，由上级行政机关或者有关机关责令改正，对直接负责的主管人员和其他直接责任人员依法给予处分：</w:t>
            </w:r>
          </w:p>
          <w:p>
            <w:pPr>
              <w:widowControl/>
              <w:shd w:val="clear" w:color="auto" w:fill="FFFFFF"/>
              <w:spacing w:line="300" w:lineRule="exact"/>
              <w:ind w:firstLine="480"/>
              <w:jc w:val="lef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widowControl/>
              <w:shd w:val="clear" w:color="auto" w:fill="FFFFFF"/>
              <w:spacing w:line="300" w:lineRule="exact"/>
              <w:ind w:firstLine="480"/>
              <w:jc w:val="lef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widowControl/>
              <w:shd w:val="clear" w:color="auto" w:fill="FFFFFF"/>
              <w:spacing w:line="300" w:lineRule="exact"/>
              <w:ind w:firstLine="480"/>
              <w:jc w:val="lef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widowControl/>
              <w:shd w:val="clear" w:color="auto" w:fill="FFFFFF"/>
              <w:spacing w:line="300" w:lineRule="exact"/>
              <w:ind w:firstLine="480"/>
              <w:jc w:val="lef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widowControl/>
              <w:shd w:val="clear" w:color="auto" w:fill="FFFFFF"/>
              <w:spacing w:line="300" w:lineRule="exact"/>
              <w:ind w:firstLine="480"/>
              <w:jc w:val="lef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widowControl/>
              <w:shd w:val="clear" w:color="auto" w:fill="FFFFFF"/>
              <w:spacing w:line="300" w:lineRule="exact"/>
              <w:ind w:firstLine="480"/>
              <w:jc w:val="lef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widowControl/>
              <w:shd w:val="clear" w:color="auto" w:fill="FFFFFF"/>
              <w:spacing w:line="300" w:lineRule="exact"/>
              <w:ind w:firstLine="480"/>
              <w:jc w:val="lef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color="auto" w:fill="FFFFFF"/>
              <w:spacing w:line="300" w:lineRule="exact"/>
              <w:ind w:firstLine="480"/>
              <w:jc w:val="lef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color="auto" w:fill="FFFFFF"/>
              <w:spacing w:line="300" w:lineRule="exact"/>
              <w:ind w:firstLine="480"/>
              <w:jc w:val="lef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color="auto" w:fill="FFFFFF"/>
              <w:spacing w:line="300" w:lineRule="exact"/>
              <w:ind w:firstLine="480"/>
              <w:jc w:val="lef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执法人员利用职务上的便利，索取或者收受他人财物、将收缴罚款据为己有，构成犯罪的，依法追究刑事责任；情节轻微不构成犯罪的，依法给予处分。</w:t>
            </w:r>
          </w:p>
          <w:p>
            <w:pPr>
              <w:pStyle w:val="9"/>
              <w:widowControl/>
              <w:shd w:val="clear" w:color="auto" w:fill="FFFFFF"/>
              <w:spacing w:before="450" w:beforeAutospacing="0" w:after="450" w:afterAutospacing="0" w:line="300" w:lineRule="exact"/>
              <w:rPr>
                <w:rFonts w:ascii="仿宋_GB2312" w:hAnsi="仿宋_GB2312" w:eastAsia="仿宋_GB2312" w:cs="仿宋_GB2312"/>
                <w:color w:val="000000" w:themeColor="text1"/>
                <w:sz w:val="20"/>
                <w:szCs w:val="20"/>
                <w14:textFill>
                  <w14:solidFill>
                    <w14:schemeClr w14:val="tx1"/>
                  </w14:solidFill>
                </w14:textFill>
              </w:rPr>
            </w:pPr>
            <w:r>
              <w:rPr>
                <w:rStyle w:val="17"/>
                <w:rFonts w:hint="default" w:ascii="仿宋_GB2312" w:hAnsi="仿宋_GB2312" w:eastAsia="仿宋_GB2312" w:cs="仿宋_GB2312"/>
                <w:color w:val="000000" w:themeColor="text1"/>
                <w14:textFill>
                  <w14:solidFill>
                    <w14:schemeClr w14:val="tx1"/>
                  </w14:solidFill>
                </w14:textFill>
              </w:rPr>
              <w:t xml:space="preserve">    2.【法律】《中华人民共和国土地管理法》（</w:t>
            </w:r>
            <w:r>
              <w:rPr>
                <w:rFonts w:hint="eastAsia" w:ascii="仿宋_GB2312" w:hAnsi="仿宋_GB2312" w:eastAsia="仿宋_GB2312" w:cs="仿宋_GB2312"/>
                <w:color w:val="000000" w:themeColor="text1"/>
                <w:sz w:val="20"/>
                <w:szCs w:val="20"/>
                <w:shd w:val="clear" w:color="auto" w:fill="FFFFFF"/>
                <w14:textFill>
                  <w14:solidFill>
                    <w14:schemeClr w14:val="tx1"/>
                  </w14:solidFill>
                </w14:textFill>
              </w:rPr>
              <w:t>2019年8月26日第十三届全国人民代表大会常务委员会第十二次会议通过对《中华人民共和国土地管理法》作出修改。本决定自2020年1月1日起施行）第八十四条　自然资源主管部门、农业农村主管部门的工作人员玩忽职守、滥用职权、徇私舞弊，构成犯罪的，依法追究刑事责任；尚不构成犯罪的，依法给予处分。</w:t>
            </w:r>
          </w:p>
          <w:p>
            <w:pPr>
              <w:spacing w:line="300" w:lineRule="exact"/>
              <w:jc w:val="center"/>
              <w:rPr>
                <w:rFonts w:ascii="仿宋_GB2312" w:hAnsi="仿宋_GB2312" w:eastAsia="仿宋_GB2312" w:cs="仿宋_GB2312"/>
                <w:color w:val="000000" w:themeColor="text1"/>
                <w:sz w:val="20"/>
                <w:szCs w:val="20"/>
                <w14:textFill>
                  <w14:solidFill>
                    <w14:schemeClr w14:val="tx1"/>
                  </w14:solidFill>
                </w14:textFill>
              </w:rPr>
            </w:pPr>
          </w:p>
        </w:tc>
        <w:tc>
          <w:tcPr>
            <w:tcW w:w="1150" w:type="dxa"/>
            <w:tcBorders>
              <w:top w:val="single" w:color="000000" w:sz="4" w:space="0"/>
              <w:left w:val="single" w:color="000000" w:sz="4" w:space="0"/>
              <w:bottom w:val="single" w:color="000000" w:sz="4" w:space="0"/>
              <w:right w:val="single" w:color="000000" w:sz="4" w:space="0"/>
            </w:tcBorders>
          </w:tcPr>
          <w:p>
            <w:pPr>
              <w:widowControl/>
              <w:spacing w:line="300" w:lineRule="exact"/>
              <w:ind w:firstLine="400" w:firstLineChars="200"/>
              <w:jc w:val="left"/>
              <w:rPr>
                <w:rFonts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《农业综合行政执法管理办法》（2022年11月3日经农业农村部第11次常务会议审议通过，现予公布，自2023年1月1日起施行）。</w:t>
            </w:r>
          </w:p>
          <w:p>
            <w:pPr>
              <w:spacing w:line="300" w:lineRule="exact"/>
              <w:jc w:val="center"/>
              <w:rPr>
                <w:rFonts w:ascii="仿宋_GB2312" w:hAnsi="仿宋_GB2312" w:eastAsia="仿宋_GB2312" w:cs="仿宋_GB2312"/>
                <w:color w:val="000000" w:themeColor="text1"/>
                <w:sz w:val="20"/>
                <w:szCs w:val="20"/>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20"/>
                <w:szCs w:val="20"/>
                <w:shd w:val="clear" w:color="auto" w:fill="FFFFFF"/>
                <w:lang w:bidi="ar"/>
                <w14:textFill>
                  <w14:solidFill>
                    <w14:schemeClr w14:val="tx1"/>
                  </w14:solidFill>
                </w14:textFill>
              </w:rPr>
              <w:t>第二十八条 农业综合行政执法人员依法履行法定职责受法律保护，非因法定事由、非经法定程序，不受处分。任何组织和个人不得阻挠、妨碍农业综合行政执法人员依法执行公务。</w:t>
            </w: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ind w:firstLine="400" w:firstLineChars="200"/>
              <w:textAlignment w:val="center"/>
              <w:rPr>
                <w:rStyle w:val="17"/>
                <w:rFonts w:hint="default" w:ascii="仿宋_GB2312" w:hAnsi="仿宋_GB2312" w:eastAsia="仿宋_GB2312" w:cs="仿宋_GB2312"/>
                <w:color w:val="000000" w:themeColor="text1"/>
                <w14:textFill>
                  <w14:solidFill>
                    <w14:schemeClr w14:val="tx1"/>
                  </w14:solidFill>
                </w14:textFill>
              </w:rPr>
            </w:pPr>
            <w:r>
              <w:rPr>
                <w:rStyle w:val="17"/>
                <w:rFonts w:hint="default" w:ascii="仿宋_GB2312" w:hAnsi="仿宋_GB2312" w:eastAsia="仿宋_GB2312" w:cs="仿宋_GB2312"/>
                <w:color w:val="000000" w:themeColor="text1"/>
                <w14:textFill>
                  <w14:solidFill>
                    <w14:schemeClr w14:val="tx1"/>
                  </w14:solidFill>
                </w14:textFill>
              </w:rPr>
              <w:t>1.【法律】《中华人民共和国土地管理法》（</w:t>
            </w:r>
            <w:r>
              <w:rPr>
                <w:rFonts w:hint="eastAsia" w:ascii="仿宋_GB2312" w:hAnsi="仿宋_GB2312" w:eastAsia="仿宋_GB2312" w:cs="仿宋_GB2312"/>
                <w:color w:val="000000" w:themeColor="text1"/>
                <w:sz w:val="20"/>
                <w:szCs w:val="20"/>
                <w:shd w:val="clear" w:color="auto"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Style w:val="17"/>
                <w:rFonts w:hint="default" w:ascii="仿宋_GB2312" w:hAnsi="仿宋_GB2312" w:eastAsia="仿宋_GB2312" w:cs="仿宋_GB2312"/>
                <w:color w:val="000000" w:themeColor="text1"/>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default" w:ascii="仿宋_GB2312" w:hAnsi="仿宋_GB2312" w:eastAsia="仿宋_GB2312" w:cs="仿宋_GB2312"/>
                <w:color w:val="000000" w:themeColor="text1"/>
                <w14:textFill>
                  <w14:solidFill>
                    <w14:schemeClr w14:val="tx1"/>
                  </w14:solidFill>
                </w14:textFill>
              </w:rPr>
              <w:t>建的房屋。</w:t>
            </w:r>
          </w:p>
          <w:p>
            <w:pPr>
              <w:adjustRightInd w:val="0"/>
              <w:snapToGrid w:val="0"/>
              <w:spacing w:line="300" w:lineRule="exact"/>
              <w:ind w:firstLine="400" w:firstLineChars="200"/>
              <w:textAlignment w:val="center"/>
              <w:rPr>
                <w:rStyle w:val="17"/>
                <w:rFonts w:hint="default" w:ascii="仿宋_GB2312" w:hAnsi="仿宋_GB2312" w:eastAsia="仿宋_GB2312" w:cs="仿宋_GB2312"/>
                <w:color w:val="000000" w:themeColor="text1"/>
                <w14:textFill>
                  <w14:solidFill>
                    <w14:schemeClr w14:val="tx1"/>
                  </w14:solidFill>
                </w14:textFill>
              </w:rPr>
            </w:pPr>
            <w:r>
              <w:rPr>
                <w:rStyle w:val="17"/>
                <w:rFonts w:hint="default" w:ascii="仿宋_GB2312" w:hAnsi="仿宋_GB2312" w:eastAsia="仿宋_GB2312" w:cs="仿宋_GB2312"/>
                <w:color w:val="000000" w:themeColor="text1"/>
                <w14:textFill>
                  <w14:solidFill>
                    <w14:schemeClr w14:val="tx1"/>
                  </w14:solidFill>
                </w14:textFill>
              </w:rPr>
              <w:t>超过省、自治区、直辖市规定的标准，多占的土地以非法占用土地论处。</w:t>
            </w:r>
          </w:p>
          <w:p>
            <w:pPr>
              <w:adjustRightInd w:val="0"/>
              <w:snapToGrid w:val="0"/>
              <w:spacing w:line="300" w:lineRule="exact"/>
              <w:ind w:firstLine="400" w:firstLineChars="200"/>
              <w:textAlignment w:val="center"/>
              <w:rPr>
                <w:rStyle w:val="17"/>
                <w:rFonts w:hint="default" w:ascii="仿宋_GB2312" w:hAnsi="仿宋_GB2312" w:eastAsia="仿宋_GB2312" w:cs="仿宋_GB2312"/>
                <w:color w:val="000000" w:themeColor="text1"/>
                <w14:textFill>
                  <w14:solidFill>
                    <w14:schemeClr w14:val="tx1"/>
                  </w14:solidFill>
                </w14:textFill>
              </w:rPr>
            </w:pPr>
            <w:r>
              <w:rPr>
                <w:rStyle w:val="17"/>
                <w:rFonts w:hint="default" w:ascii="仿宋_GB2312" w:hAnsi="仿宋_GB2312" w:eastAsia="仿宋_GB2312" w:cs="仿宋_GB2312"/>
                <w:color w:val="000000" w:themeColor="text1"/>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adjustRightInd w:val="0"/>
              <w:snapToGrid w:val="0"/>
              <w:spacing w:line="300" w:lineRule="exact"/>
              <w:ind w:firstLine="400" w:firstLineChars="200"/>
              <w:textAlignment w:val="center"/>
              <w:rPr>
                <w:rFonts w:ascii="仿宋_GB2312" w:hAnsi="仿宋_GB2312" w:eastAsia="仿宋_GB2312" w:cs="仿宋_GB2312"/>
                <w:color w:val="000000" w:themeColor="text1"/>
                <w:kern w:val="0"/>
                <w:sz w:val="20"/>
                <w:szCs w:val="20"/>
                <w14:textFill>
                  <w14:solidFill>
                    <w14:schemeClr w14:val="tx1"/>
                  </w14:solidFill>
                </w14:textFill>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11</w:t>
            </w:r>
          </w:p>
        </w:tc>
        <w:tc>
          <w:tcPr>
            <w:tcW w:w="4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行政强制</w:t>
            </w:r>
          </w:p>
        </w:tc>
        <w:tc>
          <w:tcPr>
            <w:tcW w:w="4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代为恢复植被和林业生产条件或代为补种树木</w:t>
            </w:r>
          </w:p>
        </w:tc>
        <w:tc>
          <w:tcPr>
            <w:tcW w:w="5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和睦镇人民政府</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经济发展办公室</w:t>
            </w:r>
          </w:p>
        </w:tc>
        <w:tc>
          <w:tcPr>
            <w:tcW w:w="29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中华人民共和国森林法》（2019年12月28日主席令第三十九号公布，2020年7月1日起施行)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恢复植被和林业生产条件、树木补种的标准，由省级以上人民政府林业主管部门制定。</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2.决定责任：充分听取当事人提出的事实、理由和证据，进行记录和复核，无正当理由的，向本行政机关负责人报告，经批准作出代履行决定书并送达当事人。</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4.追缴代履行费用责任：核算代履行费用，并向被履行单位追缴费用。</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4.【法律】《中华人民共和国行政强制法》（2011年6月30日主席令第49号发布，2012年1月1日起施行）第五十一条第二款代履行的费用按照成本合理确定，由当事人承担。但是，法律另有规定的除外。</w:t>
            </w:r>
          </w:p>
        </w:tc>
        <w:tc>
          <w:tcPr>
            <w:tcW w:w="29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1.无法定依据或者超越法定权限实施行政强制的 ；</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2.违反法定程序实施行政强制的 ；</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3.不具备行政执法资格实施行政强制的 ；</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4.使用、丢失或损毁先行登记的财物，给行政相对人造成损失的 ；</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5.在实施行政强制过程中滥用职权、玩忽职守、徇私舞弊的 ；</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6.利用行政强制权为单位或者个人谋取利益的 ；</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2.同1.</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3.同1.</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6.同1.</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法律法规规定的免责情形及县委、县人民政府以及县级以上党委人民政府有关文件中明确的免责情形。</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1.设定依据《森林法》更新调整。</w:t>
            </w:r>
          </w:p>
          <w:p>
            <w:pPr>
              <w:widowControl/>
              <w:spacing w:line="300" w:lineRule="exact"/>
              <w:jc w:val="left"/>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2.名称调整。名称由“代为补种树木”调整为“代为恢复植被和林业生产条件或代为补种树木”</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12</w:t>
            </w:r>
          </w:p>
        </w:tc>
        <w:tc>
          <w:tcPr>
            <w:tcW w:w="4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最低生活保障救助资金的给付</w:t>
            </w:r>
          </w:p>
        </w:tc>
        <w:tc>
          <w:tcPr>
            <w:tcW w:w="5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和睦镇人民政府</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b w:val="0"/>
                <w:bCs w:val="0"/>
                <w:color w:val="auto"/>
                <w:kern w:val="0"/>
                <w:sz w:val="20"/>
                <w:szCs w:val="20"/>
                <w:lang w:val="en-US" w:eastAsia="zh-CN" w:bidi="ar-SA"/>
              </w:rPr>
              <w:t>社会事务办公室</w:t>
            </w:r>
          </w:p>
        </w:tc>
        <w:tc>
          <w:tcPr>
            <w:tcW w:w="293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1.【行政法规】《社会救助暂行办法》（2014年国务院令第649号公布，2019年国务院第709号修订）第九条 国家对共同生活的家庭成员人均收入低于当地最低生活保障标准，且符合当地最低生活保障家庭财产状况规定的家庭，给予最低生活保障。</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第十二条 对批准获得最低生活保障的家庭，县级人民政府民政部门按照共同生活的家庭成员人均收入低于当地最低生活保障标准的差额，按月发给最低生活保障金。</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对获得最低生活保障后生活仍有困难的老年人、未成年人、重度残疾人和重病患者，县级以上地方人民政府应当采取必要措施给予生活保障。</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snapToGrid w:val="0"/>
                <w:sz w:val="20"/>
                <w:szCs w:val="20"/>
              </w:rPr>
            </w:pPr>
            <w:r>
              <w:rPr>
                <w:rFonts w:hint="eastAsia" w:ascii="仿宋_GB2312" w:hAnsi="仿宋_GB2312" w:eastAsia="仿宋_GB2312" w:cs="仿宋_GB2312"/>
                <w:color w:val="000000"/>
                <w:kern w:val="0"/>
                <w:sz w:val="20"/>
                <w:szCs w:val="20"/>
              </w:rPr>
              <w:t>2.【行政法规】《城市居民最低生活保障条例》（1999年国务院令第271号）第七条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1.审查责任：材料审核（主要包括申请人及申请享受低保的成员的户口本、身份证原件；困难证明材料；《广西申请社会救助家庭经济状况核对授权书》，并签字按手印等材料）。</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2.审批责任：进行审批，按时办结（予以批准，进行公布；不予批准，书面说明理由）。</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3.监管责任：建立监督管理机制，定期核查，针对不同情况采取管理措施。</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4.给付责任：按照相关规定，按月发放最低生活保障金。</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snapToGrid w:val="0"/>
                <w:sz w:val="20"/>
                <w:szCs w:val="20"/>
              </w:rPr>
            </w:pPr>
            <w:r>
              <w:rPr>
                <w:rFonts w:hint="eastAsia" w:ascii="仿宋_GB2312" w:hAnsi="仿宋_GB2312" w:eastAsia="仿宋_GB2312" w:cs="仿宋_GB2312"/>
                <w:color w:val="000000"/>
                <w:kern w:val="0"/>
                <w:sz w:val="20"/>
                <w:szCs w:val="20"/>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-2.【行政法规】《城市居民最低生活保障条例》（1999年国务院令第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-3.【行政法规】《社会救助暂行办法》（2014年国务院令第649号，2019年国务院令第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-4.【地方政府规章】《广西壮族自治区最低生活保障办法》（2020年广西壮族自治区人民政府令第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3-2.同2-2。</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snapToGrid w:val="0"/>
                <w:sz w:val="20"/>
                <w:szCs w:val="20"/>
              </w:rPr>
            </w:pPr>
            <w:r>
              <w:rPr>
                <w:rFonts w:hint="eastAsia" w:ascii="仿宋_GB2312" w:hAnsi="仿宋_GB2312" w:eastAsia="仿宋_GB2312" w:cs="仿宋_GB2312"/>
                <w:color w:val="000000"/>
                <w:kern w:val="0"/>
                <w:sz w:val="20"/>
                <w:szCs w:val="20"/>
              </w:rPr>
              <w:t>4.同2-2</w:t>
            </w:r>
          </w:p>
        </w:tc>
        <w:tc>
          <w:tcPr>
            <w:tcW w:w="296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因不履行或不正确履行行政职责，有下列情形的行政机关及相关工作人员应承担相应的责任： </w:t>
            </w:r>
          </w:p>
          <w:p>
            <w:pPr>
              <w:widowControl/>
              <w:adjustRightInd w:val="0"/>
              <w:snapToGrid w:val="0"/>
              <w:spacing w:line="300" w:lineRule="exact"/>
              <w:ind w:left="-31" w:leftChars="-15" w:right="-31" w:rightChars="-15"/>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 对符合申请条件的救助申请不予受理的；</w:t>
            </w:r>
          </w:p>
          <w:p>
            <w:pPr>
              <w:widowControl/>
              <w:adjustRightInd w:val="0"/>
              <w:snapToGrid w:val="0"/>
              <w:spacing w:line="300" w:lineRule="exact"/>
              <w:ind w:left="-31" w:leftChars="-15" w:right="-31" w:rightChars="-15"/>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2.对符合救助条件的救助申请不予批准的；</w:t>
            </w:r>
          </w:p>
          <w:p>
            <w:pPr>
              <w:widowControl/>
              <w:adjustRightInd w:val="0"/>
              <w:snapToGrid w:val="0"/>
              <w:spacing w:line="300" w:lineRule="exact"/>
              <w:ind w:left="-31" w:leftChars="-15" w:right="-31" w:rightChars="-15"/>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3.对不符合救助条件的救助申请予以批准的；</w:t>
            </w:r>
          </w:p>
          <w:p>
            <w:pPr>
              <w:widowControl/>
              <w:adjustRightInd w:val="0"/>
              <w:snapToGrid w:val="0"/>
              <w:spacing w:line="300" w:lineRule="exact"/>
              <w:ind w:left="-31" w:leftChars="-15" w:right="-31" w:rightChars="-15"/>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4.泄露在工作中知悉的公民个人信息，造成后果的；</w:t>
            </w:r>
          </w:p>
          <w:p>
            <w:pPr>
              <w:widowControl/>
              <w:adjustRightInd w:val="0"/>
              <w:snapToGrid w:val="0"/>
              <w:spacing w:line="300" w:lineRule="exact"/>
              <w:ind w:left="-31" w:leftChars="-15" w:right="-31" w:rightChars="-15"/>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5.丢失、篡改接受社会救助款物、服务记录等数据的；</w:t>
            </w:r>
          </w:p>
          <w:p>
            <w:pPr>
              <w:widowControl/>
              <w:adjustRightInd w:val="0"/>
              <w:snapToGrid w:val="0"/>
              <w:spacing w:line="300" w:lineRule="exact"/>
              <w:ind w:left="-31" w:leftChars="-15" w:right="-31" w:rightChars="-15"/>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6.不按照规定发放社会救助资金、物资或者提供相关服务的；</w:t>
            </w:r>
          </w:p>
          <w:p>
            <w:pPr>
              <w:widowControl/>
              <w:adjustRightInd w:val="0"/>
              <w:snapToGrid w:val="0"/>
              <w:spacing w:line="300" w:lineRule="exact"/>
              <w:ind w:left="-31" w:leftChars="-15" w:right="-31" w:rightChars="-15"/>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7.在履行社会救助职责过程中有其他滥用职权、玩忽职守、徇私舞弊行为的；</w:t>
            </w:r>
          </w:p>
          <w:p>
            <w:pPr>
              <w:widowControl/>
              <w:adjustRightInd w:val="0"/>
              <w:snapToGrid w:val="0"/>
              <w:spacing w:line="300" w:lineRule="exact"/>
              <w:ind w:left="-31" w:leftChars="-15" w:right="-31" w:rightChars="-15"/>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 截留、挤占、挪用、私分社会救助资金、物资的；</w:t>
            </w:r>
          </w:p>
          <w:p>
            <w:pPr>
              <w:widowControl/>
              <w:adjustRightInd w:val="0"/>
              <w:snapToGrid w:val="0"/>
              <w:spacing w:line="300" w:lineRule="exact"/>
              <w:ind w:left="-31" w:leftChars="-15" w:right="-31" w:rightChars="-15"/>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9.除以上追责情形外，其他违反法律法规规章的行为依法追究相应责任。</w:t>
            </w:r>
          </w:p>
          <w:p>
            <w:pPr>
              <w:widowControl/>
              <w:adjustRightInd w:val="0"/>
              <w:snapToGrid w:val="0"/>
              <w:spacing w:line="300" w:lineRule="exact"/>
              <w:ind w:left="-31" w:leftChars="-15" w:right="-31" w:rightChars="-15"/>
              <w:jc w:val="center"/>
              <w:rPr>
                <w:rFonts w:ascii="仿宋_GB2312" w:hAnsi="仿宋_GB2312" w:eastAsia="仿宋_GB2312" w:cs="仿宋_GB2312"/>
                <w:snapToGrid w:val="0"/>
                <w:sz w:val="20"/>
                <w:szCs w:val="20"/>
              </w:rPr>
            </w:pPr>
          </w:p>
        </w:tc>
        <w:tc>
          <w:tcPr>
            <w:tcW w:w="4161" w:type="dxa"/>
            <w:tcBorders>
              <w:top w:val="single" w:color="000000" w:sz="4" w:space="0"/>
              <w:left w:val="single" w:color="000000" w:sz="4" w:space="0"/>
              <w:bottom w:val="single" w:color="000000" w:sz="4" w:space="0"/>
              <w:right w:val="single" w:color="000000" w:sz="4" w:space="0"/>
            </w:tcBorders>
            <w:vAlign w:val="center"/>
          </w:tcPr>
          <w:p>
            <w:pPr>
              <w:widowControl/>
              <w:tabs>
                <w:tab w:val="left" w:pos="985"/>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ab/>
            </w:r>
            <w:r>
              <w:rPr>
                <w:rFonts w:hint="eastAsia" w:ascii="仿宋_GB2312" w:hAnsi="仿宋_GB2312" w:eastAsia="仿宋_GB2312" w:cs="仿宋_GB2312"/>
                <w:color w:val="000000"/>
                <w:kern w:val="0"/>
                <w:sz w:val="20"/>
                <w:szCs w:val="20"/>
              </w:rPr>
              <w:t>【行政法规】《社会救助暂行办法》（国务院令649号）</w:t>
            </w:r>
          </w:p>
          <w:p>
            <w:pPr>
              <w:widowControl/>
              <w:tabs>
                <w:tab w:val="left" w:pos="985"/>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第六十六条 违反本办法规定，有下列情形之一的，由上级行政机关或者监察机关责令改正；对直接负责的主管人员和其他直接责任人员依法给予处分：</w:t>
            </w:r>
          </w:p>
          <w:p>
            <w:pPr>
              <w:widowControl/>
              <w:tabs>
                <w:tab w:val="left" w:pos="985"/>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（一）对符合申请条件的救助申请不予受理的；</w:t>
            </w:r>
          </w:p>
          <w:p>
            <w:pPr>
              <w:widowControl/>
              <w:tabs>
                <w:tab w:val="left" w:pos="985"/>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（二）对符合救助条件的救助申请不予批准的；</w:t>
            </w:r>
          </w:p>
          <w:p>
            <w:pPr>
              <w:widowControl/>
              <w:tabs>
                <w:tab w:val="left" w:pos="985"/>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（三）对不符合救助条件的救助申请予以批准的；</w:t>
            </w:r>
          </w:p>
          <w:p>
            <w:pPr>
              <w:widowControl/>
              <w:tabs>
                <w:tab w:val="left" w:pos="985"/>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（四）泄露在工作中知悉的公民个人信息，造成后果的；</w:t>
            </w:r>
          </w:p>
          <w:p>
            <w:pPr>
              <w:widowControl/>
              <w:tabs>
                <w:tab w:val="left" w:pos="985"/>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（五）丢失、篡改接受社会救助款物、服务记录等数据的；</w:t>
            </w:r>
          </w:p>
          <w:p>
            <w:pPr>
              <w:widowControl/>
              <w:tabs>
                <w:tab w:val="left" w:pos="985"/>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（六）不按照规定发放社会救助资金、物资或者提供相关服务的；</w:t>
            </w:r>
          </w:p>
          <w:p>
            <w:pPr>
              <w:widowControl/>
              <w:tabs>
                <w:tab w:val="left" w:pos="985"/>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（七）在履行社会救助职责过程中有其他滥用职权、玩忽职守、徇私舞弊行为的。</w:t>
            </w:r>
          </w:p>
          <w:p>
            <w:pPr>
              <w:widowControl/>
              <w:tabs>
                <w:tab w:val="left" w:pos="985"/>
              </w:tabs>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第六十七条 违反本办法规定，截留、挤占、挪用、私分社会救助资金、物资的，由有关部门责令追回；有违法所得的，没收违法所得；对直接负责的主管人员和其他直接责任人员依法给予处分。【部门规章】《自治区民政厅 自治区党委农办 自治区财政厅 自治区乡村振兴局关于进一步做好最低生活保障等社会救助兜底保障工作的通知》(桂民发〔2022〕34 号）“（五）加强社会救助信用体系建设。对采取虚报、隐瞒、伪造等手段骗取低保金的，由审批机关取消其低保，责令退回非法获取的低保金，依法将其行为记入个人信用系统，并通过公共信用信息共享平台予以公开，情节严重的要依法追究法律责任”。</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firstLine="330"/>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【部门规章】《自治区民政厅 自治区党委农办 自治区财政厅 自治区乡村振兴局关于进一步做好最低生活保障等社会救助兜底保障工作的通知》(桂民发〔2022〕34 号）“一、进一步加大低保扩围增效工作力度（三）落实低保渐退政策。鼓励具备就业能力的低保家庭成员发展产业和积极就业，对于发展产业和实现就业后家庭人均收入超过当地低保标准的家庭，可给予 6 个月的渐退期。强化社会救助家庭的主动报告机制，低保对象意外死亡、病故，其家庭成员主动报告的，可给予 6 个月过渡期，从第 7 个月起应当作停保处理；不主动报告的，社会救助经办机构从其死亡之日起 3 个月内对其家庭状况进行核查，并办理完成低保增发、减发、停发等相关手续，追回多发低保金。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1.“最低生活保障救助资金的给付”与《自治区党委编办关于印发广西赋予乡镇（街道）部分县级管理权限清单（第一批）的通知》（桂编办发〔2019〕195号）中的“城乡居民最低生活保障金给付”为同一事项，根据桂编办发〔2019〕195号文件精神，该行政给付赋权乡镇人民政府（街道办事处）实施。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13</w:t>
            </w:r>
          </w:p>
        </w:tc>
        <w:tc>
          <w:tcPr>
            <w:tcW w:w="4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snapToGrid w:val="0"/>
                <w:sz w:val="20"/>
                <w:szCs w:val="20"/>
              </w:rPr>
            </w:pPr>
            <w:r>
              <w:rPr>
                <w:rFonts w:hint="eastAsia" w:ascii="仿宋_GB2312" w:hAnsi="仿宋_GB2312" w:eastAsia="仿宋_GB2312" w:cs="仿宋_GB2312"/>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snapToGrid w:val="0"/>
                <w:sz w:val="20"/>
                <w:szCs w:val="20"/>
              </w:rPr>
            </w:pPr>
            <w:r>
              <w:rPr>
                <w:rFonts w:hint="eastAsia" w:ascii="仿宋_GB2312" w:hAnsi="仿宋_GB2312" w:eastAsia="仿宋_GB2312" w:cs="仿宋_GB2312"/>
                <w:kern w:val="0"/>
                <w:sz w:val="20"/>
                <w:szCs w:val="20"/>
              </w:rPr>
              <w:t>临时救助</w:t>
            </w:r>
            <w:r>
              <w:rPr>
                <w:rFonts w:hint="eastAsia" w:ascii="仿宋_GB2312" w:hAnsi="仿宋_GB2312" w:eastAsia="仿宋_GB2312" w:cs="仿宋_GB2312"/>
                <w:color w:val="000000"/>
                <w:kern w:val="0"/>
                <w:sz w:val="20"/>
                <w:szCs w:val="20"/>
              </w:rPr>
              <w:t>（给付金额在当地城市低保年标准的0.5倍以内（含）的管理权限在乡镇一级）</w:t>
            </w:r>
          </w:p>
        </w:tc>
        <w:tc>
          <w:tcPr>
            <w:tcW w:w="5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和睦镇人民政府</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snapToGrid w:val="0"/>
                <w:sz w:val="20"/>
                <w:szCs w:val="20"/>
              </w:rPr>
            </w:pPr>
            <w:r>
              <w:rPr>
                <w:rFonts w:hint="eastAsia" w:ascii="仿宋_GB2312" w:hAnsi="仿宋_GB2312" w:eastAsia="仿宋_GB2312" w:cs="仿宋_GB2312"/>
                <w:b w:val="0"/>
                <w:bCs w:val="0"/>
                <w:color w:val="auto"/>
                <w:kern w:val="0"/>
                <w:sz w:val="20"/>
                <w:szCs w:val="20"/>
                <w:lang w:val="en-US" w:eastAsia="zh-CN" w:bidi="ar-SA"/>
              </w:rPr>
              <w:t>社会事务办公室</w:t>
            </w:r>
          </w:p>
        </w:tc>
        <w:tc>
          <w:tcPr>
            <w:tcW w:w="293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【行政法规】《社会救助暂行办法》（2014年国务院令649号发布，2019年国务院令709号修订）第四十七条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snapToGrid w:val="0"/>
                <w:sz w:val="20"/>
                <w:szCs w:val="20"/>
              </w:rPr>
            </w:pPr>
            <w:r>
              <w:rPr>
                <w:rFonts w:hint="eastAsia" w:ascii="仿宋_GB2312" w:hAnsi="仿宋_GB2312" w:eastAsia="仿宋_GB2312" w:cs="仿宋_GB2312"/>
                <w:color w:val="000000"/>
                <w:kern w:val="0"/>
                <w:sz w:val="20"/>
                <w:szCs w:val="20"/>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88" w:leftChars="18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1.审查责任：审查是否符合临时救助的情形。</w:t>
            </w:r>
          </w:p>
          <w:p>
            <w:pPr>
              <w:widowControl/>
              <w:adjustRightInd w:val="0"/>
              <w:snapToGrid w:val="0"/>
              <w:spacing w:line="300" w:lineRule="exact"/>
              <w:ind w:left="388" w:leftChars="18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2.公示责任：对符合条件的人员名单进行公示。</w:t>
            </w:r>
          </w:p>
          <w:p>
            <w:pPr>
              <w:widowControl/>
              <w:adjustRightInd w:val="0"/>
              <w:snapToGrid w:val="0"/>
              <w:spacing w:line="300" w:lineRule="exact"/>
              <w:ind w:left="388" w:leftChars="18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3.审批责任：及时审批，按时办结。</w:t>
            </w:r>
          </w:p>
          <w:p>
            <w:pPr>
              <w:widowControl/>
              <w:adjustRightInd w:val="0"/>
              <w:snapToGrid w:val="0"/>
              <w:spacing w:line="300" w:lineRule="exact"/>
              <w:ind w:left="388" w:leftChars="18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4.给付责任：发放临时救助金。</w:t>
            </w:r>
          </w:p>
          <w:p>
            <w:pPr>
              <w:widowControl/>
              <w:adjustRightInd w:val="0"/>
              <w:snapToGrid w:val="0"/>
              <w:spacing w:line="300" w:lineRule="exact"/>
              <w:ind w:left="388" w:leftChars="185" w:right="-31" w:rightChars="-15"/>
              <w:jc w:val="left"/>
              <w:rPr>
                <w:rFonts w:ascii="仿宋_GB2312" w:hAnsi="仿宋_GB2312" w:eastAsia="仿宋_GB2312" w:cs="仿宋_GB2312"/>
                <w:snapToGrid w:val="0"/>
                <w:sz w:val="20"/>
                <w:szCs w:val="20"/>
              </w:rPr>
            </w:pPr>
            <w:r>
              <w:rPr>
                <w:rFonts w:hint="eastAsia" w:ascii="仿宋_GB2312" w:hAnsi="仿宋_GB2312" w:eastAsia="仿宋_GB2312" w:cs="仿宋_GB2312"/>
                <w:color w:val="000000"/>
                <w:kern w:val="0"/>
                <w:sz w:val="20"/>
                <w:szCs w:val="20"/>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1-1.【法律】《中华人民共和国行政许可法》第三十四条 行政机关应当对申请人提交的申请材料进行审查。</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申请人提交的申请材料齐全、符合法定形式，行政机关能够当场作出决定的，应当当场作出书面的行政许可决定。</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根据法定条件和程序，需要对申请材料的实质内容进行核实的，行政机关应当指派两名以上工作人员进行核查。</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行政机关依法作出不予行政许可的书面决定的，应当说明理由，并告知申请人享有依法申请行政复议或者提起行政诉讼的权利。</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1-2.【行政法规】《社会救助暂行办法》（2014年国务院令第649号，2019年国务院令第709号修订）第四十八条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2-1.【法律】《中华人民共和国行政许可法》第三十条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2-2.同1-2。</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3-1.【法律】《中华人民共和国行政许可法》第三十七条 行政机关对行政许可申请进行审查后，除当场作出行政许可决定的外，应当在法定期限内按照规定程序作出行政许可决定。第三十八条 申请人的申请符合法定条件、标准的，行政机关应当依法作出准予行政许可的书面决定。</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行政机关依法作出不予行政许可的书面决定的，应当说明理由，并告知申请人享有依法申请行政复议或者提起行政诉讼的权利。</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3-2.同1-2。</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4.同1-2。</w:t>
            </w:r>
          </w:p>
        </w:tc>
        <w:tc>
          <w:tcPr>
            <w:tcW w:w="2969" w:type="dxa"/>
            <w:tcBorders>
              <w:top w:val="single" w:color="000000" w:sz="4" w:space="0"/>
              <w:left w:val="single" w:color="000000" w:sz="4" w:space="0"/>
              <w:bottom w:val="single" w:color="000000" w:sz="4" w:space="0"/>
              <w:right w:val="single" w:color="000000" w:sz="4" w:space="0"/>
            </w:tcBorders>
            <w:vAlign w:val="center"/>
          </w:tcPr>
          <w:p>
            <w:pPr>
              <w:widowControl/>
              <w:tabs>
                <w:tab w:val="left" w:pos="807"/>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ab/>
            </w:r>
          </w:p>
          <w:p>
            <w:pPr>
              <w:widowControl/>
              <w:tabs>
                <w:tab w:val="left" w:pos="807"/>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因不履行或不正确履行行政职责，有下列情形的行政机关及相关工作人员应承担相应的责任： </w:t>
            </w:r>
          </w:p>
          <w:p>
            <w:pPr>
              <w:widowControl/>
              <w:tabs>
                <w:tab w:val="left" w:pos="807"/>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 对符合申请条件的救助申请不予受理的；</w:t>
            </w:r>
          </w:p>
          <w:p>
            <w:pPr>
              <w:widowControl/>
              <w:tabs>
                <w:tab w:val="left" w:pos="807"/>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2.对符合救助条件的救助申请不予批准的；</w:t>
            </w:r>
          </w:p>
          <w:p>
            <w:pPr>
              <w:widowControl/>
              <w:tabs>
                <w:tab w:val="left" w:pos="807"/>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3.对不符合救助条件的救助申请予以批准的；</w:t>
            </w:r>
          </w:p>
          <w:p>
            <w:pPr>
              <w:widowControl/>
              <w:tabs>
                <w:tab w:val="left" w:pos="807"/>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4.泄露在工作中知悉的公民个人信息，造成后果的；</w:t>
            </w:r>
          </w:p>
          <w:p>
            <w:pPr>
              <w:widowControl/>
              <w:tabs>
                <w:tab w:val="left" w:pos="807"/>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5.丢失、篡改接受社会救助款物、服务记录等数据的；</w:t>
            </w:r>
          </w:p>
          <w:p>
            <w:pPr>
              <w:widowControl/>
              <w:tabs>
                <w:tab w:val="left" w:pos="807"/>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6.不按照规定发放社会救助资金、物资或者提供相关服务的；</w:t>
            </w:r>
          </w:p>
          <w:p>
            <w:pPr>
              <w:widowControl/>
              <w:tabs>
                <w:tab w:val="left" w:pos="807"/>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7.在履行社会救助职责过程中有其他滥用职权、玩忽职守、徇私舞弊行为的；</w:t>
            </w:r>
          </w:p>
          <w:p>
            <w:pPr>
              <w:widowControl/>
              <w:tabs>
                <w:tab w:val="left" w:pos="807"/>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 截留、挤占、挪用、私分社会救助资金、物资的；</w:t>
            </w:r>
          </w:p>
          <w:p>
            <w:pPr>
              <w:widowControl/>
              <w:tabs>
                <w:tab w:val="left" w:pos="807"/>
              </w:tabs>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9.除以上追责情形外，其他违反法律法规规章的行为依法追究相应责任。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【行政法规】《社会救助暂行办法》（国务院令649号）</w:t>
            </w:r>
          </w:p>
          <w:p>
            <w:pPr>
              <w:widowControl/>
              <w:adjustRightInd w:val="0"/>
              <w:snapToGrid w:val="0"/>
              <w:spacing w:line="300" w:lineRule="exact"/>
              <w:ind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第六十六条 违反本办法规定，有下列情形之一的，由上级行政机关或者监察机关责令改正；对直接负责的主管人员和其他直接责任人员依法给予处分：</w:t>
            </w:r>
          </w:p>
          <w:p>
            <w:pPr>
              <w:widowControl/>
              <w:adjustRightInd w:val="0"/>
              <w:snapToGrid w:val="0"/>
              <w:spacing w:line="300" w:lineRule="exact"/>
              <w:ind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（一）对符合申请条件的救助申请不予受理的；</w:t>
            </w:r>
          </w:p>
          <w:p>
            <w:pPr>
              <w:widowControl/>
              <w:adjustRightInd w:val="0"/>
              <w:snapToGrid w:val="0"/>
              <w:spacing w:line="300" w:lineRule="exact"/>
              <w:ind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（二）对符合救助条件的救助申请不予批准的；</w:t>
            </w:r>
          </w:p>
          <w:p>
            <w:pPr>
              <w:widowControl/>
              <w:adjustRightInd w:val="0"/>
              <w:snapToGrid w:val="0"/>
              <w:spacing w:line="300" w:lineRule="exact"/>
              <w:ind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（三）对不符合救助条件的救助申请予以批准的；</w:t>
            </w:r>
          </w:p>
          <w:p>
            <w:pPr>
              <w:widowControl/>
              <w:adjustRightInd w:val="0"/>
              <w:snapToGrid w:val="0"/>
              <w:spacing w:line="300" w:lineRule="exact"/>
              <w:ind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（四）泄露在工作中知悉的公民个人信息，造成后果的；</w:t>
            </w:r>
          </w:p>
          <w:p>
            <w:pPr>
              <w:widowControl/>
              <w:adjustRightInd w:val="0"/>
              <w:snapToGrid w:val="0"/>
              <w:spacing w:line="300" w:lineRule="exact"/>
              <w:ind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（五）丢失、篡改接受社会救助款物、服务记录等数据的；</w:t>
            </w:r>
          </w:p>
          <w:p>
            <w:pPr>
              <w:widowControl/>
              <w:adjustRightInd w:val="0"/>
              <w:snapToGrid w:val="0"/>
              <w:spacing w:line="300" w:lineRule="exact"/>
              <w:ind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（六）不按照规定发放社会救助资金、物资或者提供相关服务的；</w:t>
            </w:r>
          </w:p>
          <w:p>
            <w:pPr>
              <w:widowControl/>
              <w:adjustRightInd w:val="0"/>
              <w:snapToGrid w:val="0"/>
              <w:spacing w:line="300" w:lineRule="exact"/>
              <w:ind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（七）在履行社会救助职责过程中有其他滥用职权、玩忽职守、徇私舞弊行为的。</w:t>
            </w:r>
          </w:p>
          <w:p>
            <w:pPr>
              <w:widowControl/>
              <w:adjustRightInd w:val="0"/>
              <w:snapToGrid w:val="0"/>
              <w:spacing w:line="300" w:lineRule="exact"/>
              <w:ind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第六十七条 违反本办法规定，截留、挤占、挪用、私分社会救助资金、物资的，由有关部门责令追回；有违法所得的，没收违法所得；对直接负责的主管人员和其他直接责任人员依法给予处分。</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临时救助”与《自治区党委编办关于印发广西赋予乡镇（街道）部分县级管理权限清单（第一批）的通知》（桂编办发〔2019〕195号）中的“临时救助资金发放”为同一事项，根据桂编办发〔2019〕195号文件精神，该行政给付赋权乡镇人民政府（街道办事处）实施。</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2.发放资金由县级民政部门给付。</w:t>
            </w:r>
          </w:p>
          <w:p>
            <w:pPr>
              <w:widowControl/>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3.根据自治区党委办公厅 自治区人民政府办公厅印发《关于改革完善社会救助制度的若干措施》的通知（桂办发〔2020〕23号），临时救助金额在当地城市低保标准年度总额的0.5倍以内的，委托乡镇（街道）负责审核认定。</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14</w:t>
            </w:r>
          </w:p>
        </w:tc>
        <w:tc>
          <w:tcPr>
            <w:tcW w:w="4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snapToGrid w:val="0"/>
                <w:sz w:val="20"/>
                <w:szCs w:val="20"/>
              </w:rPr>
            </w:pPr>
            <w:r>
              <w:rPr>
                <w:rFonts w:hint="eastAsia" w:ascii="仿宋_GB2312" w:hAnsi="仿宋_GB2312" w:eastAsia="仿宋_GB2312" w:cs="仿宋_GB2312"/>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snapToGrid w:val="0"/>
                <w:sz w:val="20"/>
                <w:szCs w:val="20"/>
              </w:rPr>
            </w:pPr>
            <w:r>
              <w:rPr>
                <w:rFonts w:hint="eastAsia" w:ascii="仿宋_GB2312" w:hAnsi="仿宋_GB2312" w:eastAsia="仿宋_GB2312" w:cs="仿宋_GB2312"/>
                <w:kern w:val="0"/>
                <w:sz w:val="20"/>
                <w:szCs w:val="20"/>
              </w:rPr>
              <w:t>特困人员救助供养（认定管理权限在乡镇一级）</w:t>
            </w:r>
          </w:p>
        </w:tc>
        <w:tc>
          <w:tcPr>
            <w:tcW w:w="5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和睦镇人民政府</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snapToGrid w:val="0"/>
                <w:sz w:val="20"/>
                <w:szCs w:val="20"/>
              </w:rPr>
            </w:pPr>
            <w:r>
              <w:rPr>
                <w:rFonts w:hint="eastAsia" w:ascii="仿宋_GB2312" w:hAnsi="仿宋_GB2312" w:eastAsia="仿宋_GB2312" w:cs="仿宋_GB2312"/>
                <w:b w:val="0"/>
                <w:bCs w:val="0"/>
                <w:color w:val="auto"/>
                <w:kern w:val="0"/>
                <w:sz w:val="20"/>
                <w:szCs w:val="20"/>
                <w:lang w:val="en-US" w:eastAsia="zh-CN" w:bidi="ar-SA"/>
              </w:rPr>
              <w:t>社会事务办公室</w:t>
            </w:r>
          </w:p>
        </w:tc>
        <w:tc>
          <w:tcPr>
            <w:tcW w:w="293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法规】《社会救助暂行办法》（2014年国务院令649号发布，2019年国务院令709号修订）第三条……县级以上地方人民政府民政、应急管理、卫生健康、教育、住房城乡建设、人力资源社会保障、医疗保障等部门，按照各自职责负责本行政区域内享有的社会救助管理工作。</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第十四条 国家对无劳动能力、无生活来源且无法定赡养、抚养、扶养义务人，或者其法定赡养、抚养、扶养义务人无赡养、抚养、扶养能力的老年人、残疾人以及未满16周岁的未成年人，给予特困人员供养。</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第十五条  特困人员供养的内容包括：（一）提供基本生活条件；（二）对生活不能自理的给予照料；（三）提供疾病治疗；（四）办理丧葬事宜。</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特困人员供养标准，由省、自治区、直辖市或者设区的市级人民政府确定、公布。</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特困人员供养应当与城乡居民基本养老保险、基本医疗保障、最低生活保障、孤儿基本生活保障等制度相衔接。</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snapToGrid w:val="0"/>
                <w:sz w:val="20"/>
                <w:szCs w:val="20"/>
              </w:rPr>
            </w:pPr>
            <w:r>
              <w:rPr>
                <w:rFonts w:hint="eastAsia" w:ascii="仿宋_GB2312" w:hAnsi="仿宋_GB2312" w:eastAsia="仿宋_GB2312" w:cs="仿宋_GB2312"/>
                <w:color w:val="000000"/>
                <w:kern w:val="0"/>
                <w:sz w:val="20"/>
                <w:szCs w:val="20"/>
              </w:rPr>
              <w:t>第十六条 申请特困人员供养，由本人向户籍所在地的乡镇人民政府、街道办事处提出书面申请；本人申请有困难的，可以委托村民委员会、居民委员会代为提出申请。</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1.审查责任：材料审核（申请特困的书面证明材料等）。</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2.审批责任：进行审批，按时办结（予以批准，发放证书，进行公布；不予批准，书面说明理由）。</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3.监管责任：建立监督管理机制，定期核查，针对不同情况采取管理措施。</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4.给付责任：给予城乡特困人员供养。</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snapToGrid w:val="0"/>
                <w:sz w:val="20"/>
                <w:szCs w:val="20"/>
              </w:rPr>
            </w:pPr>
            <w:r>
              <w:rPr>
                <w:rFonts w:hint="eastAsia" w:ascii="仿宋_GB2312" w:hAnsi="仿宋_GB2312" w:eastAsia="仿宋_GB2312" w:cs="仿宋_GB2312"/>
                <w:color w:val="000000"/>
                <w:kern w:val="0"/>
                <w:sz w:val="20"/>
                <w:szCs w:val="20"/>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1.【法律】《中华人民共和国行政许可法》第三十四条 行政机关应当对申请人提交的申请材料进行审查。</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申请人提交的申请材料齐全、符合法定形式，行政机关能够当场作出决定的，应当当场作出书面的行政许可决定。</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根据法定条件和程序，需要对申请材料的实质内容进行核实的，行政机关应当指派两名以上工作人员进行核查。</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2-1.【法律】《中华人民共和国行政许可法》第三十七条 行政机关对行政许可申请进行审查后，除当场作出行政许可决定的外，应当在法定期限内按照规定程序作出行政许可决定。</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第三十八条 申请人的申请符合法定条件、标准的，行政机关应当依法作出准予行政许可的书面决定。</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行政机关依法作出不予行政许可的书面决定的，应当说明理由，并告知申请人享有依法申请行政复议或者提起行政诉讼的权利。</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第四十条 行政机关作出的准予行政许可决定，应当予以公开，公众有权查阅。</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2-2.【行政法规】《农村五保供养工作条例》（1994年国务院令第141号发布，2006年国务院令第456号发布）第七条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　</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2-3.【政府规章】《广西壮族自治区实施&lt;农村五保供养工作条例&gt;办法》（2010年广西壮族自治区人民政府令第62号）第六条 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3-1.【法律】《中华人民共和国行政许可法》第六十一条 行政机关应当建立健全监督制度，通过核查反映被许可人从事行政许可事项活动情况的有关材料，履行监督责任。</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行政机关依法对被许可人从事行政许可事项的活动进行监督检查时，应当将监督检查的情况和处理结果予以记录，由监督检查人员签字后归档。公众有权查阅行政机关监督检查记录。</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3-2.【行政法规】《农村五保供养工作条例》（1994年国务院令第141号发布，2006年国务院令第456号发布）第八条 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农村五保供养对象死亡，丧葬事宜办理完毕后，村民委员会或者农村五保供养服务机构应当向乡、民族乡、镇人民政府报告，由乡、民族乡、镇人民政府报县级人民政府民政部门核准后，核销其《农村五保供养证书》。</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【政府规章】《广西壮族自治区实施〈农村五保供养工作条例〉办法》（2010年广西壮族自治区人民政府令第62号）第二十一条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4.【行政法规】《社会救助暂行办法》（2014年国务院令第649号，2019年国务院令第709号修订）第十四条 国家对无劳动能力、无生活来源且无法定赡养、抚养、扶养义务人，或者其法定赡养、抚养、扶养义务人无赡养、抚养、扶养能力的老年人、残疾人以及未满16周岁的未成年人，给予特困人员供养。</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第十五条  特困人员供养的内容包括：</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（一）提供基本生活条件；</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（二）对生活不能自理的给予照料；</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（三）提供疾病治疗；</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（四）办理丧葬事宜。</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特困人员供养标准，由省、自治区、直辖市或者设区的市级人民政府确定、公布。</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snapToGrid w:val="0"/>
                <w:sz w:val="20"/>
                <w:szCs w:val="20"/>
              </w:rPr>
            </w:pPr>
            <w:r>
              <w:rPr>
                <w:rFonts w:hint="eastAsia" w:ascii="仿宋_GB2312" w:hAnsi="仿宋_GB2312" w:eastAsia="仿宋_GB2312" w:cs="仿宋_GB2312"/>
                <w:color w:val="000000"/>
                <w:kern w:val="0"/>
                <w:sz w:val="20"/>
                <w:szCs w:val="20"/>
              </w:rPr>
              <w:t>特困人员供养应当与城乡居民基本养老保险、基本医疗保障、最低生活保障、孤儿基本生活保障等制度相衔接。</w:t>
            </w:r>
          </w:p>
        </w:tc>
        <w:tc>
          <w:tcPr>
            <w:tcW w:w="2969" w:type="dxa"/>
            <w:tcBorders>
              <w:top w:val="single" w:color="000000" w:sz="4" w:space="0"/>
              <w:left w:val="single" w:color="000000" w:sz="4" w:space="0"/>
              <w:bottom w:val="single" w:color="000000" w:sz="4" w:space="0"/>
              <w:right w:val="single" w:color="000000" w:sz="4" w:space="0"/>
            </w:tcBorders>
            <w:vAlign w:val="center"/>
          </w:tcPr>
          <w:p>
            <w:pPr>
              <w:widowControl/>
              <w:tabs>
                <w:tab w:val="left" w:pos="863"/>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ab/>
            </w:r>
            <w:r>
              <w:rPr>
                <w:rFonts w:hint="eastAsia" w:ascii="仿宋_GB2312" w:hAnsi="仿宋_GB2312" w:eastAsia="仿宋_GB2312" w:cs="仿宋_GB2312"/>
                <w:color w:val="000000"/>
                <w:kern w:val="0"/>
                <w:sz w:val="20"/>
                <w:szCs w:val="20"/>
              </w:rPr>
              <w:t xml:space="preserve">因不履行或不正确履行行政职责，有下列情形的行政机关及相关工作人员应承担相应的责任： </w:t>
            </w:r>
          </w:p>
          <w:p>
            <w:pPr>
              <w:widowControl/>
              <w:tabs>
                <w:tab w:val="left" w:pos="863"/>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 对符合申请条件的救助申请不予受理的；</w:t>
            </w:r>
          </w:p>
          <w:p>
            <w:pPr>
              <w:widowControl/>
              <w:tabs>
                <w:tab w:val="left" w:pos="863"/>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2.对符合救助条件的救助申请不予批准的；</w:t>
            </w:r>
          </w:p>
          <w:p>
            <w:pPr>
              <w:widowControl/>
              <w:tabs>
                <w:tab w:val="left" w:pos="863"/>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3.对不符合救助条件的救助申请予以批准的；</w:t>
            </w:r>
          </w:p>
          <w:p>
            <w:pPr>
              <w:widowControl/>
              <w:tabs>
                <w:tab w:val="left" w:pos="863"/>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4.泄露在工作中知悉的公民个人信息，造成后果的；</w:t>
            </w:r>
          </w:p>
          <w:p>
            <w:pPr>
              <w:widowControl/>
              <w:tabs>
                <w:tab w:val="left" w:pos="863"/>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5.丢失、篡改接受社会救助款物、服务记录等数据的；</w:t>
            </w:r>
          </w:p>
          <w:p>
            <w:pPr>
              <w:widowControl/>
              <w:tabs>
                <w:tab w:val="left" w:pos="863"/>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6.不按照规定发放社会救助资金、物资或者提供相关服务的；</w:t>
            </w:r>
          </w:p>
          <w:p>
            <w:pPr>
              <w:widowControl/>
              <w:tabs>
                <w:tab w:val="left" w:pos="863"/>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7.在履行社会救助职责过程中有其他滥用职权、玩忽职守、徇私舞弊行为的；</w:t>
            </w:r>
          </w:p>
          <w:p>
            <w:pPr>
              <w:widowControl/>
              <w:tabs>
                <w:tab w:val="left" w:pos="863"/>
              </w:tabs>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 截留、挤占、挪用、私分社会救助资金、物资的；</w:t>
            </w:r>
          </w:p>
          <w:p>
            <w:pPr>
              <w:widowControl/>
              <w:tabs>
                <w:tab w:val="left" w:pos="863"/>
              </w:tabs>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9.除以上追责情形外，其他违反法律法规规章的行为依法追究相应责任。（追责主体：社会救助股)</w:t>
            </w:r>
          </w:p>
        </w:tc>
        <w:tc>
          <w:tcPr>
            <w:tcW w:w="41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sz w:val="20"/>
                <w:szCs w:val="20"/>
              </w:rPr>
            </w:pPr>
          </w:p>
          <w:p>
            <w:pPr>
              <w:spacing w:line="300" w:lineRule="exact"/>
              <w:rPr>
                <w:rFonts w:ascii="仿宋_GB2312" w:hAnsi="仿宋_GB2312" w:eastAsia="仿宋_GB2312" w:cs="仿宋_GB2312"/>
                <w:sz w:val="20"/>
                <w:szCs w:val="20"/>
              </w:rPr>
            </w:pPr>
          </w:p>
          <w:p>
            <w:pPr>
              <w:spacing w:line="300" w:lineRule="exact"/>
              <w:rPr>
                <w:rFonts w:ascii="仿宋_GB2312" w:hAnsi="仿宋_GB2312" w:eastAsia="仿宋_GB2312" w:cs="仿宋_GB2312"/>
                <w:sz w:val="20"/>
                <w:szCs w:val="20"/>
              </w:rPr>
            </w:pPr>
          </w:p>
          <w:p>
            <w:pPr>
              <w:spacing w:line="300" w:lineRule="exact"/>
              <w:rPr>
                <w:rFonts w:ascii="仿宋_GB2312" w:hAnsi="仿宋_GB2312" w:eastAsia="仿宋_GB2312" w:cs="仿宋_GB2312"/>
                <w:sz w:val="20"/>
                <w:szCs w:val="20"/>
              </w:rPr>
            </w:pPr>
          </w:p>
          <w:p>
            <w:pPr>
              <w:spacing w:line="300" w:lineRule="exact"/>
              <w:rPr>
                <w:rFonts w:ascii="仿宋_GB2312" w:hAnsi="仿宋_GB2312" w:eastAsia="仿宋_GB2312" w:cs="仿宋_GB2312"/>
                <w:sz w:val="20"/>
                <w:szCs w:val="20"/>
              </w:rPr>
            </w:pPr>
          </w:p>
          <w:p>
            <w:pPr>
              <w:spacing w:line="300" w:lineRule="exact"/>
              <w:rPr>
                <w:rFonts w:ascii="仿宋_GB2312" w:hAnsi="仿宋_GB2312" w:eastAsia="仿宋_GB2312" w:cs="仿宋_GB2312"/>
                <w:sz w:val="20"/>
                <w:szCs w:val="20"/>
              </w:rPr>
            </w:pPr>
          </w:p>
          <w:p>
            <w:pPr>
              <w:tabs>
                <w:tab w:val="left" w:pos="1010"/>
              </w:tabs>
              <w:spacing w:line="30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t>【行政法规】《社会救助暂行办法》（国务院令649号）</w:t>
            </w:r>
          </w:p>
          <w:p>
            <w:pPr>
              <w:tabs>
                <w:tab w:val="left" w:pos="1010"/>
              </w:tabs>
              <w:spacing w:line="30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第六十六条 违反本办法规定，有下列情形之一的，由上级行政机关或者监察机关责令改正；对直接负责的主管人员和其他直接责任人员依法给予处分：</w:t>
            </w:r>
          </w:p>
          <w:p>
            <w:pPr>
              <w:tabs>
                <w:tab w:val="left" w:pos="1010"/>
              </w:tabs>
              <w:spacing w:line="30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（一）对符合申请条件的救助申请不予受理的；</w:t>
            </w:r>
          </w:p>
          <w:p>
            <w:pPr>
              <w:tabs>
                <w:tab w:val="left" w:pos="1010"/>
              </w:tabs>
              <w:spacing w:line="30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（二）对符合救助条件的救助申请不予批准的；</w:t>
            </w:r>
          </w:p>
          <w:p>
            <w:pPr>
              <w:tabs>
                <w:tab w:val="left" w:pos="1010"/>
              </w:tabs>
              <w:spacing w:line="30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（三）对不符合救助条件的救助申请予以批准的；</w:t>
            </w:r>
          </w:p>
          <w:p>
            <w:pPr>
              <w:tabs>
                <w:tab w:val="left" w:pos="1010"/>
              </w:tabs>
              <w:spacing w:line="30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（四）泄露在工作中知悉的公民个人信息，造成后果的；</w:t>
            </w:r>
          </w:p>
          <w:p>
            <w:pPr>
              <w:tabs>
                <w:tab w:val="left" w:pos="1010"/>
              </w:tabs>
              <w:spacing w:line="30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（五）丢失、篡改接受社会救助款物、服务记录等数据的；</w:t>
            </w:r>
          </w:p>
          <w:p>
            <w:pPr>
              <w:tabs>
                <w:tab w:val="left" w:pos="1010"/>
              </w:tabs>
              <w:spacing w:line="30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（六）不按照规定发放社会救助资金、物资或者提供相关服务的；</w:t>
            </w:r>
          </w:p>
          <w:p>
            <w:pPr>
              <w:tabs>
                <w:tab w:val="left" w:pos="1010"/>
              </w:tabs>
              <w:spacing w:line="30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（七）在履行社会救助职责过程中有其他滥用职权、玩忽职守、徇私舞弊行为的。</w:t>
            </w:r>
          </w:p>
          <w:p>
            <w:pPr>
              <w:tabs>
                <w:tab w:val="left" w:pos="1010"/>
              </w:tabs>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sz w:val="20"/>
                <w:szCs w:val="20"/>
              </w:rPr>
              <w:t>第六十七条 违反本办法规定，截留、挤占、挪用、私分社会救助资金、物资的，由有关部门责令追回；有违法所得的，没收违法所得；对直接负责的主管人员和其他直接责任人员依法给予处分。</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sz w:val="20"/>
                <w:szCs w:val="20"/>
              </w:rPr>
            </w:pPr>
          </w:p>
          <w:p>
            <w:pPr>
              <w:spacing w:line="300" w:lineRule="exact"/>
              <w:ind w:firstLine="304"/>
              <w:jc w:val="left"/>
              <w:rPr>
                <w:rFonts w:ascii="仿宋_GB2312" w:hAnsi="仿宋_GB2312" w:eastAsia="仿宋_GB2312" w:cs="仿宋_GB2312"/>
                <w:kern w:val="0"/>
                <w:sz w:val="20"/>
                <w:szCs w:val="20"/>
              </w:rPr>
            </w:pPr>
            <w:r>
              <w:rPr>
                <w:rFonts w:hint="eastAsia" w:ascii="仿宋_GB2312" w:hAnsi="仿宋_GB2312" w:eastAsia="仿宋_GB2312" w:cs="仿宋_GB2312"/>
                <w:sz w:val="20"/>
                <w:szCs w:val="20"/>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特困人员救助供养”与《自治区党委编办关于印发广西赋予乡镇（街道）部分县级管理权限清单（第一批）的通知》（桂编办发〔2019〕195号）中的“城乡特困（城市“三无”、农村五保）人员供养”为同一事项，根据桂编办发〔2019〕195号文件精神，该行政给付赋权乡镇人民政府（街道办事处）实施。</w:t>
            </w:r>
          </w:p>
          <w:p>
            <w:pPr>
              <w:widowControl/>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15</w:t>
            </w:r>
          </w:p>
        </w:tc>
        <w:tc>
          <w:tcPr>
            <w:tcW w:w="4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snapToGrid w:val="0"/>
                <w:sz w:val="20"/>
                <w:szCs w:val="20"/>
              </w:rPr>
            </w:pPr>
            <w:r>
              <w:rPr>
                <w:rFonts w:hint="eastAsia" w:ascii="仿宋_GB2312" w:hAnsi="仿宋_GB2312" w:eastAsia="仿宋_GB2312" w:cs="仿宋_GB2312"/>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snapToGrid w:val="0"/>
                <w:sz w:val="20"/>
                <w:szCs w:val="20"/>
              </w:rPr>
            </w:pPr>
            <w:r>
              <w:rPr>
                <w:rFonts w:hint="eastAsia" w:ascii="仿宋_GB2312" w:hAnsi="仿宋_GB2312" w:eastAsia="仿宋_GB2312" w:cs="仿宋_GB2312"/>
                <w:kern w:val="0"/>
                <w:sz w:val="20"/>
                <w:szCs w:val="20"/>
              </w:rPr>
              <w:t>困难残疾人生活补贴和重度残疾人护理补贴（认定管理权限在乡镇一级）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snapToGrid w:val="0"/>
                <w:sz w:val="20"/>
                <w:szCs w:val="20"/>
              </w:rPr>
            </w:pPr>
            <w:r>
              <w:rPr>
                <w:rFonts w:hint="eastAsia" w:ascii="仿宋_GB2312" w:hAnsi="仿宋_GB2312" w:eastAsia="仿宋_GB2312" w:cs="仿宋_GB2312"/>
                <w:kern w:val="0"/>
                <w:sz w:val="20"/>
                <w:szCs w:val="20"/>
              </w:rPr>
              <w:t>1.困难残疾人生活补贴给付</w:t>
            </w:r>
          </w:p>
        </w:tc>
        <w:tc>
          <w:tcPr>
            <w:tcW w:w="4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和睦镇人民政府</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b w:val="0"/>
                <w:bCs w:val="0"/>
                <w:color w:val="auto"/>
                <w:kern w:val="0"/>
                <w:sz w:val="20"/>
                <w:szCs w:val="20"/>
                <w:lang w:val="en-US" w:eastAsia="zh-CN" w:bidi="ar-SA"/>
              </w:rPr>
              <w:t>社会事务办公室</w:t>
            </w:r>
          </w:p>
        </w:tc>
        <w:tc>
          <w:tcPr>
            <w:tcW w:w="293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1.【法律】《中华人民共和国残疾人保障法》第四十八条 各级人民政府对生活确有困难的残疾人，通过多种渠道给予生活、教育、住房和其他社会救助。</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县级以上地方人民政府对享受最低生活保障待遇后生活仍有特别困难的残疾人家庭，应当采取其他措施保障其基本生活。</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各级人民政府对贫困残疾人的基本医疗、康复服务、必要的辅助器具的配置和更换，应当按照规定给予救助。</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对生活不能自理的残疾人，地方各级人民政府应当根据情况给予护理补贴。</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snapToGrid w:val="0"/>
                <w:sz w:val="20"/>
                <w:szCs w:val="20"/>
              </w:rPr>
            </w:pPr>
            <w:r>
              <w:rPr>
                <w:rFonts w:hint="eastAsia" w:ascii="仿宋_GB2312" w:hAnsi="仿宋_GB2312" w:eastAsia="仿宋_GB2312" w:cs="仿宋_GB2312"/>
                <w:color w:val="000000"/>
                <w:kern w:val="0"/>
                <w:sz w:val="20"/>
                <w:szCs w:val="20"/>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1.审核责任：审核申请人是否符合获得补贴的资格，并发放残疾人补贴。</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2.监督管理责任：监督管理各地方的补贴发放情况。</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3.评定责任：困难残疾人生活补贴对象为户籍在广西壮族自治区的最低生活保障家庭中的残疾人。</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4.给付责任：对符合条件的残疾人，地方各级人民政府根据情况给予相应补贴。</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snapToGrid w:val="0"/>
                <w:sz w:val="20"/>
                <w:szCs w:val="20"/>
              </w:rPr>
            </w:pPr>
            <w:r>
              <w:rPr>
                <w:rFonts w:hint="eastAsia" w:ascii="仿宋_GB2312" w:hAnsi="仿宋_GB2312" w:eastAsia="仿宋_GB2312" w:cs="仿宋_GB2312"/>
                <w:color w:val="000000"/>
                <w:kern w:val="0"/>
                <w:sz w:val="20"/>
                <w:szCs w:val="20"/>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4-1.【法律】《中华人民共和国残疾人保障法》第四十八条 各级人民政府对生活确有困难的残疾人，通过多种渠道给予生活、教育、住房和其他社会救助。</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各级人民政府对贫困残疾人的基本医疗、康复服务、必要的辅助器具的配置和更换，应当按照规定给予救助。</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对生活不能自理的残疾人，地方各级人民政府应当根据情况给予护理补贴。</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snapToGrid w:val="0"/>
                <w:sz w:val="20"/>
                <w:szCs w:val="20"/>
              </w:rPr>
            </w:pPr>
            <w:r>
              <w:rPr>
                <w:rFonts w:hint="eastAsia" w:ascii="仿宋_GB2312" w:hAnsi="仿宋_GB2312" w:eastAsia="仿宋_GB2312" w:cs="仿宋_GB2312"/>
                <w:color w:val="000000"/>
                <w:kern w:val="0"/>
                <w:sz w:val="20"/>
                <w:szCs w:val="20"/>
              </w:rPr>
              <w:t>4-2.同3。</w:t>
            </w:r>
          </w:p>
        </w:tc>
        <w:tc>
          <w:tcPr>
            <w:tcW w:w="296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1.侵害残疾人的合法权益的；</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2.未依法履行职责，对侵害残疾人权益的行为未及时制止或者未给予受害残疾人必要帮助的；</w:t>
            </w:r>
          </w:p>
          <w:p>
            <w:pPr>
              <w:widowControl/>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3.除以上追责情形外，其他违反法律法规规章的行为依法追究相应责任。（追责主体：社会事务福利股)</w:t>
            </w:r>
          </w:p>
        </w:tc>
        <w:tc>
          <w:tcPr>
            <w:tcW w:w="41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【法律】《中华人民共和国残疾人保障法》（1990年12月28日中华人民共和国主席令第三十六号公布，2008年4月24日中华人民共和国主席令第三号修订）</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第五十九条　残疾人的合法权益受到侵害的，可以向残疾人组织投诉，残疾人组织应当维护残疾人的合法权益，有权要求有关部门或者单位查处。有关部门或者单位应当依法查处，并予以答复。</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残疾人组织对残疾人通过诉讼维护其合法权益需要帮助的，应当给予支持。</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残疾人组织对侵害特定残疾人群体利益的行为，有权要求有关部门依法查处。</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第六十七条　违反本法规定，侵害残疾人的合法权益，其他法律、法规规定行政处罚的，从其规定；造成财产损失或者其他损害的，依法承担民事责任；构成犯罪的，依法追究刑事责任。 </w:t>
            </w:r>
          </w:p>
          <w:p>
            <w:pPr>
              <w:widowControl/>
              <w:adjustRightInd w:val="0"/>
              <w:snapToGrid w:val="0"/>
              <w:spacing w:line="300" w:lineRule="exact"/>
              <w:ind w:left="-31" w:leftChars="-15" w:right="-31" w:rightChars="-15"/>
              <w:jc w:val="left"/>
              <w:rPr>
                <w:rFonts w:ascii="仿宋_GB2312" w:hAnsi="仿宋_GB2312" w:eastAsia="仿宋_GB2312" w:cs="仿宋_GB2312"/>
                <w:kern w:val="0"/>
                <w:sz w:val="20"/>
                <w:szCs w:val="20"/>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firstLine="514"/>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法律法规规章规定的免责情形</w:t>
            </w: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color w:val="FF0000"/>
                <w:kern w:val="0"/>
                <w:sz w:val="20"/>
                <w:szCs w:val="20"/>
              </w:rPr>
            </w:pPr>
          </w:p>
        </w:tc>
        <w:tc>
          <w:tcPr>
            <w:tcW w:w="4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color w:val="FF0000"/>
                <w:kern w:val="0"/>
                <w:sz w:val="20"/>
                <w:szCs w:val="20"/>
              </w:rPr>
            </w:pPr>
            <w:r>
              <w:rPr>
                <w:rFonts w:hint="eastAsia" w:ascii="仿宋_GB2312" w:hAnsi="仿宋_GB2312" w:eastAsia="仿宋_GB2312" w:cs="仿宋_GB2312"/>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color w:val="FF0000"/>
                <w:kern w:val="0"/>
                <w:sz w:val="20"/>
                <w:szCs w:val="20"/>
              </w:rPr>
            </w:pPr>
            <w:r>
              <w:rPr>
                <w:rFonts w:hint="eastAsia" w:ascii="仿宋_GB2312" w:hAnsi="仿宋_GB2312" w:eastAsia="仿宋_GB2312" w:cs="仿宋_GB2312"/>
                <w:kern w:val="0"/>
                <w:sz w:val="20"/>
                <w:szCs w:val="20"/>
              </w:rPr>
              <w:t>困难残疾人生活补贴和重度残疾人护理补贴（认定管理权限在乡镇一级）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2.重度残疾人护理补贴给付</w:t>
            </w:r>
          </w:p>
        </w:tc>
        <w:tc>
          <w:tcPr>
            <w:tcW w:w="4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和睦镇人民政府</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b w:val="0"/>
                <w:bCs w:val="0"/>
                <w:color w:val="auto"/>
                <w:kern w:val="0"/>
                <w:sz w:val="20"/>
                <w:szCs w:val="20"/>
                <w:lang w:val="en-US" w:eastAsia="zh-CN" w:bidi="ar-SA"/>
              </w:rPr>
              <w:t>社会事务办公室</w:t>
            </w:r>
          </w:p>
        </w:tc>
        <w:tc>
          <w:tcPr>
            <w:tcW w:w="293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1.【法律】《中华人民共和国残疾人保障法》第四十八条 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第四条 困难残疾人生活补贴对象为户籍在广西壮族自治区的最低生活保障家庭中的残疾人。有条件的地方，可逐步将困难残疾人生活补贴对象扩大到低收入残疾人及其他困难残疾人。低收入残疾人及其他困难残疾人的认定标准，由当地人民政府参照相关规定结合实际情况制定。</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3.【规范性文件】《广西壮族自治区民政厅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1.审核责任：审核申请人是否符合获得补贴的资格，并发放残疾人补贴。</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2.监督管理责任：监督管理各地方的补贴发放情况。</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3.评定责任：重度残疾人护理补贴对象为户籍在广西壮族自治区的残疾等级被评定为一级、二级且需要长期照护的重度残疾人及三级、四级精神残疾的残疾人。</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4.给付责任：对符合条件的残疾人，地方各级人民政府根据情况给予相应补贴。</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3-1.【规范性文件】《广西壮族自治区人民政府办公厅关于印发广西壮族自治区困难残疾人生活补贴和重度残疾人护理补贴实施办法的通知》（桂政办发〔2015〕120号）第五条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adjustRightInd w:val="0"/>
              <w:snapToGrid w:val="0"/>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3-2.【规范性文件】《广西壮族自治区民政厅 广西壮族自治区残疾人联合会 广西壮族自治区财政厅关于提高全区残疾人两项补贴标准和扩大重度残疾人护理补贴对象范围的通知</w:t>
            </w:r>
            <w:r>
              <w:rPr>
                <w:rFonts w:hint="eastAsia" w:ascii="仿宋_GB2312" w:hAnsi="仿宋_GB2312" w:eastAsia="仿宋_GB2312" w:cs="仿宋_GB2312"/>
                <w:kern w:val="0"/>
                <w:sz w:val="20"/>
                <w:szCs w:val="20"/>
              </w:rPr>
              <w:t>》（桂民发〔2018〕53号），“从2019年1月1日起，调整重度残疾人护理补贴对象范围。将全区持有第二代残疾人证或者第三代残疾人证的三级、四级精神障碍患者纳入补贴范围，补贴标准同一级、二级重度残疾人。”</w:t>
            </w:r>
          </w:p>
          <w:p>
            <w:pPr>
              <w:adjustRightInd w:val="0"/>
              <w:snapToGrid w:val="0"/>
              <w:spacing w:line="300" w:lineRule="exact"/>
              <w:ind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kern w:val="0"/>
                <w:sz w:val="20"/>
                <w:szCs w:val="20"/>
              </w:rPr>
              <w:t>4-1.【法律】《中华人民共和国残疾人保障法》第四十八条 各级人民政府对生活确有困难的残疾人</w:t>
            </w:r>
            <w:r>
              <w:rPr>
                <w:rFonts w:hint="eastAsia" w:ascii="仿宋_GB2312" w:hAnsi="仿宋_GB2312" w:eastAsia="仿宋_GB2312" w:cs="仿宋_GB2312"/>
                <w:color w:val="000000"/>
                <w:kern w:val="0"/>
                <w:sz w:val="20"/>
                <w:szCs w:val="20"/>
              </w:rPr>
              <w:t>，通过多种渠道给予生活、教育、住房和其他社会救助。</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各级人民政府对贫困残疾人的基本医疗、康复服务、必要的辅助器具的配置和更换，应当按照规定给予救助。</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对生活不能自理的残疾人，地方各级人民政府应当根据情况给予护理补贴。</w:t>
            </w:r>
          </w:p>
          <w:p>
            <w:pPr>
              <w:widowControl/>
              <w:adjustRightInd w:val="0"/>
              <w:snapToGrid w:val="0"/>
              <w:spacing w:line="300" w:lineRule="exact"/>
              <w:ind w:left="-31" w:leftChars="-15" w:right="-31" w:rightChars="-15"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4-2.同3。</w:t>
            </w:r>
          </w:p>
        </w:tc>
        <w:tc>
          <w:tcPr>
            <w:tcW w:w="296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1.侵害残疾人的合法权益的；</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2.未依法履行职责，对侵害残疾人权益的行为未及时制止或者未给予受害残疾人必要帮助的；</w:t>
            </w:r>
          </w:p>
          <w:p>
            <w:pPr>
              <w:widowControl/>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3.除以上追责情形外，其他违反法律法规规章的行为依法追究相应责任。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【法律】《中华人民共和国残疾人保障法》（1990年12月28日中华人民共和国主席令第三十六号公布，2008年4月24日中华人民共和国主席令第三号修订）</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第五十九条　残疾人的合法权益受到侵害的，可以向残疾人组织投诉，残疾人组织应当维护残疾人的合法权益，有权要求有关部门或者单位查处。有关部门或者单位应当依法查处，并予以答复。</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残疾人组织对残疾人通过诉讼维护其合法权益需要帮助的，应当给予支持。</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残疾人组织对侵害特定残疾人群体利益的行为，有权要求有关部门依法查处。</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p>
          <w:p>
            <w:pPr>
              <w:widowControl/>
              <w:adjustRightInd w:val="0"/>
              <w:snapToGrid w:val="0"/>
              <w:spacing w:line="300" w:lineRule="exact"/>
              <w:ind w:left="-31" w:leftChars="-15" w:right="-31" w:rightChars="-15"/>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第六十七条　违反本法规定，侵害残疾人的合法权益，其他法律、法规规定行政处罚的，从其规定；造成财产损失或者其他损害的，依法承担民事责任；构成犯罪的，依法追究刑事责任。 </w:t>
            </w:r>
          </w:p>
          <w:p>
            <w:pPr>
              <w:widowControl/>
              <w:adjustRightInd w:val="0"/>
              <w:snapToGrid w:val="0"/>
              <w:spacing w:line="300" w:lineRule="exact"/>
              <w:ind w:left="-31" w:leftChars="-15" w:right="-31" w:rightChars="-15"/>
              <w:jc w:val="left"/>
              <w:rPr>
                <w:rFonts w:ascii="仿宋_GB2312" w:hAnsi="仿宋_GB2312" w:eastAsia="仿宋_GB2312" w:cs="仿宋_GB2312"/>
                <w:kern w:val="0"/>
                <w:sz w:val="20"/>
                <w:szCs w:val="20"/>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法律法规规章规定的免责情形</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left="-31" w:leftChars="-15" w:right="-31" w:rightChars="-15"/>
              <w:jc w:val="left"/>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r>
      <w:tr>
        <w:tblPrEx>
          <w:tblCellMar>
            <w:top w:w="28" w:type="dxa"/>
            <w:left w:w="28" w:type="dxa"/>
            <w:bottom w:w="28" w:type="dxa"/>
            <w:right w:w="28" w:type="dxa"/>
          </w:tblCellMar>
        </w:tblPrEx>
        <w:trPr>
          <w:trHeight w:val="2417"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16</w:t>
            </w:r>
          </w:p>
        </w:tc>
        <w:tc>
          <w:tcPr>
            <w:tcW w:w="4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对草原保护、建设和利用情况的监督检查</w:t>
            </w:r>
          </w:p>
        </w:tc>
        <w:tc>
          <w:tcPr>
            <w:tcW w:w="5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和睦镇人民政府</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lang w:val="en-US" w:eastAsia="zh-CN"/>
              </w:rPr>
              <w:t>经济发展办公室</w:t>
            </w:r>
          </w:p>
        </w:tc>
        <w:tc>
          <w:tcPr>
            <w:tcW w:w="293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中华人民共和国草原法》第八条：国务院草原行政主管部门主管全国草原监督管理工作。县级以上地方人民政府草原行政主管部门主管本行政区域内草原监督管理工作。乡（镇）人民政府应当加强对本行政区域内草原保护、建设和利用情况的监督检查，根据需要可以设专职或者兼职人员负责具体监督检查工作。</w:t>
            </w:r>
          </w:p>
        </w:tc>
        <w:tc>
          <w:tcPr>
            <w:tcW w:w="27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1.选案责任：根据随机抽查细则、举报或上级安排以及日常管理中发现的问题确定检查对象。一般需提前1—2日通知被检查对象。</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3.处理责任：核实检查报告及其他有关材料，对违法行为做出处理决定。</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处罚法》第三十七条第一款：行政机关在调查或者进行检查时，执法人员不得少于两人，并应当向当事人或者有关人员出示证件。当事人或者有关人员应当如实回答询问，并协助调查或者检查，不得阻挠。询问或者检查应当制作笔录。</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296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因不履行或不正确履行行政职责，有下列情形的，行政机关及相关工作人员应承担相应责任：</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1.不履行或不正确履行职责，对检查工作没有认真执行的 ；</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2.在监督检查中玩忽职守、徇私舞弊的 ；</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3.在监督检查中滥用职权，谋取不正当利益和发生腐败行为的 ；</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4.其他违反法律法规规章文件规定的行为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widowControl/>
              <w:spacing w:line="300" w:lineRule="exact"/>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2.同1.</w:t>
            </w:r>
          </w:p>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jc w:val="lef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法律法规规定的免责情形及县委、县人民政府以及县级以上党委人民政府有关文件中明确的免责情形。</w:t>
            </w: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17</w:t>
            </w:r>
          </w:p>
        </w:tc>
        <w:tc>
          <w:tcPr>
            <w:tcW w:w="45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对生产经营单位提取、使用和管理安全费用情况的监督检查</w:t>
            </w:r>
          </w:p>
        </w:tc>
        <w:tc>
          <w:tcPr>
            <w:tcW w:w="5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和睦镇人民政府</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lang w:val="en-US" w:eastAsia="zh-CN"/>
              </w:rPr>
              <w:t>经济发展办公室</w:t>
            </w:r>
          </w:p>
        </w:tc>
        <w:tc>
          <w:tcPr>
            <w:tcW w:w="29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二十三条：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2.【规范性文件】</w:t>
            </w:r>
            <w:r>
              <w:rPr>
                <w:rFonts w:hint="eastAsia" w:ascii="仿宋_GB2312" w:hAnsi="仿宋_GB2312" w:eastAsia="仿宋_GB2312" w:cs="仿宋_GB2312"/>
                <w:color w:val="000000"/>
                <w:kern w:val="0"/>
                <w:sz w:val="20"/>
                <w:szCs w:val="20"/>
                <w:lang w:val="en-US" w:eastAsia="zh-CN"/>
              </w:rPr>
              <w:t>财政部　应急部关于印发</w:t>
            </w:r>
            <w:r>
              <w:rPr>
                <w:rFonts w:hint="eastAsia" w:ascii="仿宋_GB2312" w:hAnsi="仿宋_GB2312" w:eastAsia="仿宋_GB2312" w:cs="仿宋_GB2312"/>
                <w:color w:val="000000"/>
                <w:kern w:val="0"/>
                <w:sz w:val="20"/>
                <w:szCs w:val="20"/>
              </w:rPr>
              <w:t>《企业安全生产费用提取和使用管理办法》</w:t>
            </w:r>
            <w:r>
              <w:rPr>
                <w:rFonts w:hint="eastAsia" w:ascii="仿宋_GB2312" w:hAnsi="仿宋_GB2312" w:eastAsia="仿宋_GB2312" w:cs="仿宋_GB2312"/>
                <w:color w:val="000000"/>
                <w:kern w:val="0"/>
                <w:sz w:val="20"/>
                <w:szCs w:val="20"/>
                <w:lang w:val="en-US" w:eastAsia="zh-CN"/>
              </w:rPr>
              <w:t>的通知财资〔2022〕136号</w:t>
            </w:r>
            <w:r>
              <w:rPr>
                <w:rFonts w:hint="eastAsia" w:ascii="仿宋_GB2312" w:hAnsi="仿宋_GB2312" w:eastAsia="仿宋_GB2312" w:cs="仿宋_GB2312"/>
                <w:color w:val="000000"/>
                <w:kern w:val="0"/>
                <w:sz w:val="20"/>
                <w:szCs w:val="20"/>
              </w:rPr>
              <w:t>第六十一条　</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各级应急管理部门、矿山安全监察机构及其他负有安全生产监督管理职责的部门和财政部门依法对企业安全生产费用提取、使用和管理进行监督检查。</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 人，并出示相关证件进行检查；检查不得影响被检查单位正常的生产经营活动。</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4.监管责任（承办科室）：按照检查计划、方案，对生产经营单位提取、使用和管理安全费用情况进行监督检查。</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color w:val="000000"/>
                <w:kern w:val="0"/>
                <w:sz w:val="20"/>
                <w:szCs w:val="20"/>
              </w:rPr>
            </w:pP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   　县级以上地方各级人民政府应当根据本行政区域内的安全生产状况，组织有关部门按照职责分工，对本行政区域内容易发生重大生产安全事故的生产经营单位进行严格检查。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七条：安全生产监督检查人员应当忠于职守，坚持原则，秉公执法。安全生产监督检查人员执行监督检查任务时，必须出示有效的行政执法证件；对涉及被检查单位的技术秘密和业务秘密，应当为其保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第六十五条第二款:监督检查不得影响被检查单位的正常生产经营活动。</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widowControl/>
              <w:adjustRightInd w:val="0"/>
              <w:snapToGrid w:val="0"/>
              <w:spacing w:line="300" w:lineRule="exact"/>
              <w:rPr>
                <w:rFonts w:ascii="仿宋_GB2312" w:hAnsi="仿宋_GB2312" w:eastAsia="仿宋_GB2312" w:cs="仿宋_GB2312"/>
                <w:color w:val="000000"/>
                <w:kern w:val="0"/>
                <w:sz w:val="20"/>
                <w:szCs w:val="20"/>
              </w:rPr>
            </w:pP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法律法规规章规定的免责情形以及县委、县人民政府有关文件中明确的免责情形。</w:t>
            </w: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18</w:t>
            </w:r>
          </w:p>
        </w:tc>
        <w:tc>
          <w:tcPr>
            <w:tcW w:w="45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对生产经营单位消除重大事故隐患的监督检查</w:t>
            </w:r>
          </w:p>
        </w:tc>
        <w:tc>
          <w:tcPr>
            <w:tcW w:w="5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和睦镇人民政府</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第四十一条：生产经营单位应当建立安全风险分级管控制度，按照安全风险分级采取相应的管控措施。</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县级以上地方各级人民政府负有安全生产监督管理职责的部门应当将重大事故隐患纳入相关信息系统，建立健全重大事故隐患治理督办制度，督促生产经营单位消除重大事故隐患。</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第六十二条：县级以上地方各级人民政府应当根据本行政区域内的安全生产状况，组织有关部门按照职责分工，对本行政区域内容易发生重大生产安全事故的生产经营单位进行严格检查。 </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当事人或者有关人员应当如实回答询问，并协助调查或者检查，不得拒绝或者阻挠。询问或者检查应当制作笔录。</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第四十三条：执法人员与案件有直接利害关系或者有其他关系可能影响公正执法的，应当回避。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当事人认为执法人员与案件有直接利害关系或者有其他关系可能影响公正执法的，有权申请回避。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当事人提出回避申请的，行政机关应当依法审查，由行政机关负责人决定。决定作出之前，不停止调查。</w:t>
            </w:r>
          </w:p>
          <w:p>
            <w:pPr>
              <w:widowControl/>
              <w:spacing w:line="300" w:lineRule="exact"/>
              <w:ind w:firstLine="400" w:firstLineChars="200"/>
              <w:rPr>
                <w:rFonts w:ascii="仿宋_GB2312" w:hAnsi="仿宋_GB2312" w:eastAsia="仿宋_GB2312" w:cs="仿宋_GB2312"/>
                <w:kern w:val="0"/>
                <w:sz w:val="20"/>
                <w:szCs w:val="20"/>
              </w:rPr>
            </w:pP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widowControl/>
              <w:spacing w:line="300" w:lineRule="exact"/>
              <w:ind w:firstLine="400" w:firstLineChars="200"/>
              <w:rPr>
                <w:rFonts w:ascii="仿宋_GB2312" w:hAnsi="仿宋_GB2312" w:eastAsia="仿宋_GB2312" w:cs="仿宋_GB2312"/>
                <w:kern w:val="0"/>
                <w:sz w:val="20"/>
                <w:szCs w:val="20"/>
              </w:rPr>
            </w:pPr>
          </w:p>
          <w:p>
            <w:pPr>
              <w:widowControl/>
              <w:spacing w:line="300" w:lineRule="exact"/>
              <w:ind w:firstLine="400" w:firstLineChars="200"/>
              <w:rPr>
                <w:rFonts w:ascii="仿宋_GB2312" w:hAnsi="仿宋_GB2312" w:eastAsia="仿宋_GB2312" w:cs="仿宋_GB2312"/>
                <w:kern w:val="0"/>
                <w:sz w:val="20"/>
                <w:szCs w:val="20"/>
              </w:rPr>
            </w:pPr>
          </w:p>
        </w:tc>
        <w:tc>
          <w:tcPr>
            <w:tcW w:w="296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widowControl/>
              <w:adjustRightInd w:val="0"/>
              <w:snapToGrid w:val="0"/>
              <w:spacing w:line="300" w:lineRule="exact"/>
              <w:rPr>
                <w:rFonts w:ascii="仿宋_GB2312" w:hAnsi="仿宋_GB2312" w:eastAsia="仿宋_GB2312" w:cs="仿宋_GB2312"/>
                <w:color w:val="000000"/>
                <w:kern w:val="0"/>
                <w:sz w:val="20"/>
                <w:szCs w:val="20"/>
              </w:rPr>
            </w:pP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法律法规规章规定的免责情形以及县委、县人民政府有关文件中明确的免责情形。</w:t>
            </w: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19</w:t>
            </w:r>
          </w:p>
        </w:tc>
        <w:tc>
          <w:tcPr>
            <w:tcW w:w="45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对安全生产评价、检验、检测机构的监督检查</w:t>
            </w: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和睦镇人民政府</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三条：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安全评价检测检验机构管理办法》（2019年应急管理部令第1号）第三条第三款：设区的市级人民政府、县级人民政府应急管理部门、煤矿安全生产监督管理部门按照各自的职责，对安全评价检测检验机构执业行为实施监督检查，并对发现的违法行为依法实施行政处罚。</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当事人或者有关人员应当如实回答询问，并协助调查或者检查，不得拒绝或者阻挠。询问或者检查应当制作笔录。</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第四十三条：执法人员与案件有直接利害关系或者有其他关系可能影响公正执法的，应当回避。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当事人认为执法人员与案件有直接利害关系或者有其他关系可能影响公正执法的，有权申请回避。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当事人提出回避申请的，行政机关应当依法审查，由行政机关负责人决定。决定作出之前，不停止调查。</w:t>
            </w:r>
          </w:p>
          <w:p>
            <w:pPr>
              <w:widowControl/>
              <w:spacing w:line="300" w:lineRule="exact"/>
              <w:ind w:firstLine="400" w:firstLineChars="200"/>
              <w:rPr>
                <w:rFonts w:ascii="仿宋_GB2312" w:hAnsi="仿宋_GB2312" w:eastAsia="仿宋_GB2312" w:cs="仿宋_GB2312"/>
                <w:kern w:val="0"/>
                <w:sz w:val="20"/>
                <w:szCs w:val="20"/>
              </w:rPr>
            </w:pP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widowControl/>
              <w:adjustRightInd w:val="0"/>
              <w:snapToGrid w:val="0"/>
              <w:spacing w:line="300" w:lineRule="exact"/>
              <w:rPr>
                <w:rFonts w:ascii="仿宋_GB2312" w:hAnsi="仿宋_GB2312" w:eastAsia="仿宋_GB2312" w:cs="仿宋_GB2312"/>
                <w:color w:val="000000"/>
                <w:kern w:val="0"/>
                <w:sz w:val="20"/>
                <w:szCs w:val="20"/>
              </w:rPr>
            </w:pP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法律法规规章规定的免责情形以及县委、县人民政府有关文件中明确的免责情形。</w:t>
            </w: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20</w:t>
            </w:r>
          </w:p>
        </w:tc>
        <w:tc>
          <w:tcPr>
            <w:tcW w:w="45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对非煤矿山企业劳动条件、安全状况、作业场所、生产设备、职工安全教育和培训工作等情况的监督检查</w:t>
            </w: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和睦镇人民政府</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2.【法律】《中华人民共和国矿山安全法》第三十三条：县级以上各级人民政府劳动行政主管部门对矿山安全工作行使下列监督职责：</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（一）检查矿山企业和管理矿山企业的主管部门贯彻执行矿山安全法律、法规的情况；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（二）参加矿山建设工程安全设施的设计审查和竣工验收；</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（三）检查矿山劳动条件和安全状况；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（四）检查矿山企业职工安全教育、培训工作；</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（五）监督矿山企业提取和使用安全技术措施专项费用的情况；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（六）参加并监督矿山事故的调查和处理；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（七）法律、行政法规规定的其他监督职责。</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当事人或者有关人员应当如实回答询问，并协助调查或者检查，不得拒绝或者阻挠。询问或者检查应当制作笔录。</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第四十三条：执法人员与案件有直接利害关系或者有其他关系可能影响公正执法的，应当回避。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当事人认为执法人员与案件有直接利害关系或者有其他关系可能影响公正执法的，有权申请回避。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当事人提出回避申请的，行政机关应当依法审查，由行政机关负责人决定。决定作出之前，不停止调查。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widowControl/>
              <w:adjustRightInd w:val="0"/>
              <w:snapToGrid w:val="0"/>
              <w:spacing w:line="300" w:lineRule="exact"/>
              <w:rPr>
                <w:rFonts w:ascii="仿宋_GB2312" w:hAnsi="仿宋_GB2312" w:eastAsia="仿宋_GB2312" w:cs="仿宋_GB2312"/>
                <w:color w:val="000000"/>
                <w:kern w:val="0"/>
                <w:sz w:val="20"/>
                <w:szCs w:val="20"/>
              </w:rPr>
            </w:pP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法律法规规章规定的免责情形以及县委、县人民政府有关文件中明确的免责情形。</w:t>
            </w: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w:t>
            </w:r>
          </w:p>
        </w:tc>
        <w:tc>
          <w:tcPr>
            <w:tcW w:w="45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对危险化学品生产、储存、使用、经营、运输企业安全生产情况的监督检查和隐患排查</w:t>
            </w:r>
          </w:p>
        </w:tc>
        <w:tc>
          <w:tcPr>
            <w:tcW w:w="5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和睦镇人民政府</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危险化学品安全管理条例》（2002年国务院令第344号公布，2013年国务院令第645号修订）第七十六条：未经安全条件审查，新建、改建、扩建生产、储存危险化学品的建设项目的，由安全生产监督管理部门责令停止建设，限期改正；逾期不改正的，处50万元以上100万元以下的罚款；构成犯罪的，依法追究刑事责任。</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未经安全条件审查，新建、改建、扩建储存、装卸危险化学品的港口建设项目的，由港口行政管理部门依照前款规定予以处罚。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第七条：负有危险化学品安全监督管理职责的部门依法进行监督检查，可以采取下列措施：</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（一）进入危险化学品作业场所实施现场检查，向有关单位和人员了解情况，查阅、复制有关文件、资料；</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（二）发现危险化学品事故隐患，责令立即消除或者限期消除；</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（三）对不符合法律、行政法规、规章规定或者国家标准、行业标准要求的设施、设备、装置、器材、运输工具，责令立即停止使用；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经本部门主要负责人批准，查封违法生产、储存、使用、经营危险化学品的场所，扣押违法生产、储存、使用、经营、运输的危险化学品以及用于违法生产、使用、运输危险化学品的原材料、设备、运输工具；</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（五）发现影响危险化学品安全的违法行为，当场予以纠正或者责令限期改正。</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负有危险化学品安全监督管理职责的部门依法进行监督检查，监督检查人员不得少于2人，并应当出示执法证件；有关单位和个人对依法进行的监督检查应当予以配合，不得拒绝、阻碍。</w:t>
            </w:r>
          </w:p>
          <w:p>
            <w:pPr>
              <w:widowControl/>
              <w:spacing w:line="300" w:lineRule="exact"/>
              <w:ind w:firstLine="400" w:firstLineChars="200"/>
              <w:rPr>
                <w:rFonts w:ascii="仿宋_GB2312" w:hAnsi="仿宋_GB2312" w:eastAsia="仿宋_GB2312" w:cs="仿宋_GB2312"/>
                <w:kern w:val="0"/>
                <w:sz w:val="20"/>
                <w:szCs w:val="20"/>
              </w:rPr>
            </w:pPr>
          </w:p>
          <w:p>
            <w:pPr>
              <w:widowControl/>
              <w:spacing w:line="300" w:lineRule="exact"/>
              <w:ind w:firstLine="400" w:firstLineChars="200"/>
              <w:rPr>
                <w:rFonts w:ascii="仿宋_GB2312" w:hAnsi="仿宋_GB2312" w:eastAsia="仿宋_GB2312" w:cs="仿宋_GB2312"/>
                <w:kern w:val="0"/>
                <w:sz w:val="20"/>
                <w:szCs w:val="20"/>
              </w:rPr>
            </w:pPr>
          </w:p>
          <w:p>
            <w:pPr>
              <w:widowControl/>
              <w:spacing w:line="300" w:lineRule="exact"/>
              <w:ind w:firstLine="400" w:firstLineChars="200"/>
              <w:rPr>
                <w:rFonts w:ascii="仿宋_GB2312" w:hAnsi="仿宋_GB2312" w:eastAsia="仿宋_GB2312" w:cs="仿宋_GB2312"/>
                <w:kern w:val="0"/>
                <w:sz w:val="20"/>
                <w:szCs w:val="20"/>
              </w:rPr>
            </w:pP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当事人或者有关人员应当如实回答询问，并协助调查或者检查，不得拒绝或者阻挠。询问或者检查应当制作笔录。</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第四十三条：执法人员与案件有直接利害关系或者有其他关系可能影响公正执法的，应当回避。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当事人认为执法人员与案件有直接利害关系或者有其他关系可能影响公正执法的，有权申请回避。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当事人提出回避申请的，行政机关应当依法审查，由行政机关负责人决定。决定作出之前，不停止调查。</w:t>
            </w:r>
          </w:p>
          <w:p>
            <w:pPr>
              <w:widowControl/>
              <w:spacing w:line="300" w:lineRule="exact"/>
              <w:ind w:firstLine="400" w:firstLineChars="200"/>
              <w:rPr>
                <w:rFonts w:ascii="仿宋_GB2312" w:hAnsi="仿宋_GB2312" w:eastAsia="仿宋_GB2312" w:cs="仿宋_GB2312"/>
                <w:kern w:val="0"/>
                <w:sz w:val="20"/>
                <w:szCs w:val="20"/>
              </w:rPr>
            </w:pP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widowControl/>
              <w:spacing w:line="300" w:lineRule="exact"/>
              <w:ind w:firstLine="400" w:firstLineChars="200"/>
              <w:rPr>
                <w:rFonts w:ascii="仿宋_GB2312" w:hAnsi="仿宋_GB2312" w:eastAsia="仿宋_GB2312" w:cs="仿宋_GB2312"/>
                <w:kern w:val="0"/>
                <w:sz w:val="20"/>
                <w:szCs w:val="20"/>
              </w:rPr>
            </w:pPr>
          </w:p>
        </w:tc>
        <w:tc>
          <w:tcPr>
            <w:tcW w:w="296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widowControl/>
              <w:adjustRightInd w:val="0"/>
              <w:snapToGrid w:val="0"/>
              <w:spacing w:line="300" w:lineRule="exact"/>
              <w:rPr>
                <w:rFonts w:ascii="仿宋_GB2312" w:hAnsi="仿宋_GB2312" w:eastAsia="仿宋_GB2312" w:cs="仿宋_GB2312"/>
                <w:color w:val="000000"/>
                <w:kern w:val="0"/>
                <w:sz w:val="20"/>
                <w:szCs w:val="20"/>
              </w:rPr>
            </w:pP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法律法规规章规定的免责情形以及县委、县人民政府有关文件中明确的免责情形。</w:t>
            </w: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w:t>
            </w:r>
          </w:p>
        </w:tc>
        <w:tc>
          <w:tcPr>
            <w:tcW w:w="45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对烟花爆竹生产企业的监督检查</w:t>
            </w: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和睦镇人民政府</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部门规章】《烟花爆竹生产企业安全生产许可证实施办法》（2012年国家安全监管总局令第54号）第三十五条：发证机关及所在地人民政府安全生产监督管理部门应当加强对烟花爆竹生产企业的监督检查，督促其依照法律、法规、规章和国家标准、行业标准的规定进行生产。</w:t>
            </w:r>
          </w:p>
          <w:p>
            <w:pPr>
              <w:widowControl/>
              <w:spacing w:line="300" w:lineRule="exact"/>
              <w:ind w:firstLine="400" w:firstLineChars="200"/>
              <w:rPr>
                <w:rFonts w:ascii="仿宋_GB2312" w:hAnsi="仿宋_GB2312" w:eastAsia="仿宋_GB2312" w:cs="仿宋_GB2312"/>
                <w:kern w:val="0"/>
                <w:sz w:val="20"/>
                <w:szCs w:val="20"/>
              </w:rPr>
            </w:pPr>
          </w:p>
          <w:p>
            <w:pPr>
              <w:widowControl/>
              <w:spacing w:line="300" w:lineRule="exact"/>
              <w:ind w:firstLine="400" w:firstLineChars="200"/>
              <w:rPr>
                <w:rFonts w:ascii="仿宋_GB2312" w:hAnsi="仿宋_GB2312" w:eastAsia="仿宋_GB2312" w:cs="仿宋_GB2312"/>
                <w:kern w:val="0"/>
                <w:sz w:val="20"/>
                <w:szCs w:val="20"/>
              </w:rPr>
            </w:pP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当事人或者有关人员应当如实回答询问，并协助调查或者检查，不得拒绝或者阻挠。询问或者检查应当制作笔录。</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第四十三条：执法人员与案件有直接利害关系或者有其他关系可能影响公正执法的，应当回避。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当事人认为执法人员与案件有直接利害关系或者有其他关系可能影响公正执法的，有权申请回避。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当事人提出回避申请的，行政机关应当依法审查，由行政机关负责人决定。决定作出之前，不停止调查。</w:t>
            </w:r>
          </w:p>
          <w:p>
            <w:pPr>
              <w:widowControl/>
              <w:spacing w:line="300" w:lineRule="exact"/>
              <w:ind w:firstLine="400" w:firstLineChars="200"/>
              <w:rPr>
                <w:rFonts w:ascii="仿宋_GB2312" w:hAnsi="仿宋_GB2312" w:eastAsia="仿宋_GB2312" w:cs="仿宋_GB2312"/>
                <w:kern w:val="0"/>
                <w:sz w:val="20"/>
                <w:szCs w:val="20"/>
              </w:rPr>
            </w:pP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法律法规规章规定的免责情形以及县委、县人民政府有关文件中明确的免责情形。</w:t>
            </w: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23</w:t>
            </w:r>
          </w:p>
        </w:tc>
        <w:tc>
          <w:tcPr>
            <w:tcW w:w="45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对非药品类易制毒化学品生产、经营的监督检查</w:t>
            </w: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和睦镇人民政府</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易制毒化学品管理条例》（2005年国务院令第445号公布，2018年国务院令第703号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部门规章】《非药品类易制毒化学品生产、经营许可实施办法》（2006年国家安全生产监督管理总局令第60号）第二十五条：县级以上人民政府安全生产监督管理部门应当加强非药品类易制毒化学品生产、经营的监督检查工作。</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当事人或者有关人员应当如实回答询问，并协助调查或者检查，不得拒绝或者阻挠。询问或者检查应当制作笔录。</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第四十三条：执法人员与案件有直接利害关系或者有其他关系可能影响公正执法的，应当回避。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当事人认为执法人员与案件有直接利害关系或者有其他关系可能影响公正执法的，有权申请回避。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当事人提出回避申请的，行政机关应当依法审查，由行政机关负责人决定。决定作出之前，不停止调查。</w:t>
            </w:r>
          </w:p>
          <w:p>
            <w:pPr>
              <w:widowControl/>
              <w:spacing w:line="300" w:lineRule="exact"/>
              <w:ind w:firstLine="400" w:firstLineChars="200"/>
              <w:rPr>
                <w:rFonts w:ascii="仿宋_GB2312" w:hAnsi="仿宋_GB2312" w:eastAsia="仿宋_GB2312" w:cs="仿宋_GB2312"/>
                <w:kern w:val="0"/>
                <w:sz w:val="20"/>
                <w:szCs w:val="20"/>
              </w:rPr>
            </w:pP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法律法规规章规定的免责情形以及县委、县人民政府有关文件中明确的免责情形。</w:t>
            </w: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24</w:t>
            </w:r>
          </w:p>
        </w:tc>
        <w:tc>
          <w:tcPr>
            <w:tcW w:w="45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对存在重大危险源的危险化学品单位的监督检查</w:t>
            </w: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color w:val="FF0000"/>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和睦镇人民政府</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危险化学品重大危险源监督管理暂行规定》（2011年国家安全生产监督管理总局令第40号公布，2015年国家安全监管总局令第79号修正）第三十条：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首次对重大危险源的监督检查应当包括下列主要内容：</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（一）重大危险源的运行情况、安全管理规章制度及安全操作规程制定和落实情况；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（二）重大危险源的辨识、分级、安全评估、登记建档、备案情况；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（三）重大危险源的监测监控情况；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（四）重大危险源安全设施和安全监测监控系统的检测、检验以及维护保养情况；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（五）重大危险源事故应急预案的编制、评审、备案、修订和演练情况；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（六）有关从业人员的安全培训教育情况；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（七）安全标志设置情况；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（八）应急救援器材、设备、物资配备情况；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（九）预防和控制事故措施的落实情况。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1.告知责任：制定检查计划、方案，确定检查目标、对象、内容，公告或通知被检查单位（暗访不通知）。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2.检查责任：检查时，执法人员不得少于2人，并出示相关证件进行检查；检查不得影响被检查单位正常的生产经营活动。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3.处理责任：制作检查记录，对检查发现的问题提出整改和处理意见。</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4.监管责任：按照检查计划、方案，对生产经营单位提取、使用和管理安全费用情况进行监督检查。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应急管理部门应当按照分类分级监督管理的要求，制定安全生产年度监督检查计划，并按照年度监督检查计划进行监督检查，发现事故隐患，应当及时处理。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当事人或者有关人员应当如实回答询问，并协助调查或者检查，不得拒绝或者阻挠。询问或者检查应当制作笔录。</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第四十三条：执法人员与案件有直接利害关系或者有其他关系可能影响公正执法的，应当回避。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当事人认为执法人员与案件有直接利害关系或者有其他关系可能影响公正执法的，有权申请回避。</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当事人提出回避申请的，行政机关应当依法审查，由行政机关负责人决定。决定作出之前，不停止调查。</w:t>
            </w:r>
          </w:p>
          <w:p>
            <w:pPr>
              <w:widowControl/>
              <w:spacing w:line="300" w:lineRule="exact"/>
              <w:ind w:firstLine="400" w:firstLineChars="200"/>
              <w:rPr>
                <w:rFonts w:ascii="仿宋_GB2312" w:hAnsi="仿宋_GB2312" w:eastAsia="仿宋_GB2312" w:cs="仿宋_GB2312"/>
                <w:kern w:val="0"/>
                <w:sz w:val="20"/>
                <w:szCs w:val="20"/>
              </w:rPr>
            </w:pP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（一）进入生产经营单位进行检查，调阅有关资料，向有关单位和人员了解情况；</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监督检查不得影响被检查单位的正常生产经营活动。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widowControl/>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法律法规规章规定的免责情形以及县委、县人民政府有关文件中明确的免责情形。</w:t>
            </w: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25</w:t>
            </w:r>
          </w:p>
        </w:tc>
        <w:tc>
          <w:tcPr>
            <w:tcW w:w="45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对小型露天采石场安全生产情况情况的监督检查</w:t>
            </w: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和睦镇人民政府</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2.【部门规章】《小型露天采石场安全管理与监督检查规定》（2011年国家安全监管总局令第39号公布，2015年国家安全监管总局令第78号修正，自2015年7月1日起施行）第二十九条：安全生产监督管理部门应当加强对小型露天采石场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4.监管责任（承办科室）：按照检查计划、方案，对小型露天采石场安全生产情况隐患排查情况进行监督检查。</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安全生产监督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安全生产监督检查人员执行监督检查任务时，必须出示有效的行政执法证件；对涉及被检查单位的技术秘密和业务秘密，应当为其保密。第六十五条第二款:监督检查不得影响被检查单位的正常生产经营活动。 </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tc>
        <w:tc>
          <w:tcPr>
            <w:tcW w:w="296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法律法规规章规定的免责情形以及县委、县人民政府有关文件中明确的免责情形。</w:t>
            </w: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26</w:t>
            </w:r>
          </w:p>
        </w:tc>
        <w:tc>
          <w:tcPr>
            <w:tcW w:w="45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对地质勘探单位安全生产情况的监督检查</w:t>
            </w: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00" w:firstLineChars="200"/>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和睦镇人民政府</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2.【部门规章】《金属与非金属矿产资源地质勘探安全生产监督管理暂行规定》（2010年国家安全监管总局令第35号公布，2015年国家安全监管总局令第78号修正,自2015年7月1日起施行）第二十二条：安全生产监督管理部门应当加强对地质勘探单位安全生产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4.监管责任（承办科室）：按照检查计划、方案，对地质勘探单位安全生产情况进行监督检查。</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法律法规规章规定的免责情形以及县委、县人民政府有关文件中明确的免责情形。</w:t>
            </w: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27</w:t>
            </w:r>
          </w:p>
        </w:tc>
        <w:tc>
          <w:tcPr>
            <w:tcW w:w="4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对生产经营单位应急预案的编制、定期演练和备案等事项的监督检查</w:t>
            </w: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和睦镇人民政府</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snapToGrid w:val="0"/>
                <w:sz w:val="20"/>
                <w:szCs w:val="20"/>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【部门规章】《生产安全事故应急预案管理办法》（2016年国家安全监管总局令第88号公布，自2016年7月1日起施行；根据2019年7月11日应急管理部第2号修正） 第二十九条:各级人民政府负有安全生产监督管理职责的部门应当建立应急预案备案登记建档制度，指导、督促生产经营单位做好应急预案的备案登记工作。第四十一条：各级人民政府应急管理部门和煤矿安全监察机构应当将生产经营单位应急预案工作纳入年度监督检查计划，明确检查的重点内容和标准，并严格按照计划开展执法检查。</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4.监管责任（承办科室）：按照检查计划、方案，对生产经营单位应急预案的备案登记工作和建立应急预案备案登记建档制度进行监督检查。</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法律法规规章规定的免责情形以及县委、县人民政府有关文件中明确的免责情形。</w:t>
            </w: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28</w:t>
            </w:r>
          </w:p>
        </w:tc>
        <w:tc>
          <w:tcPr>
            <w:tcW w:w="4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对非煤矿山外包工程安全生产的监督检查</w:t>
            </w: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p>
        </w:tc>
        <w:tc>
          <w:tcPr>
            <w:tcW w:w="4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和睦镇人民政府</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snapToGrid w:val="0"/>
                <w:sz w:val="20"/>
                <w:szCs w:val="20"/>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部门规章】《非煤矿山外包工程安全管理暂行办法》（2013年国家安全监管总局令第62号公布，根据2015年国家安全监管总局令第78号修正,自2015年7月1日起施行）第二十九条：安全生产监督管理部门应当加强对外包工程的安全生产监督检查，重点检查下列事项：（一）发包单位非煤矿山安全生产许可证、安全生产管理协议、安全投入等情况；（二）承包单位的施工资质、应当依法取得的非煤矿山安全生产许可证、安全投入落实、承包单位及其项目部的安全生产管理机构、技术力量配备、相关人员的安全资格和持证等情况；（三）违法发包、转包、分项发包等行为。</w:t>
            </w:r>
          </w:p>
        </w:tc>
        <w:tc>
          <w:tcPr>
            <w:tcW w:w="273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4.监管责任（承办科室）：按照检查计划、方案，对非煤矿山外包工程安全生产进行监督检查。</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法律法规规章规定的免责情形以及县委、县人民政府有关文件中明确的免责情形。</w:t>
            </w: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kern w:val="0"/>
                <w:sz w:val="20"/>
                <w:szCs w:val="20"/>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29</w:t>
            </w:r>
          </w:p>
        </w:tc>
        <w:tc>
          <w:tcPr>
            <w:tcW w:w="4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jc w:val="center"/>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行政检查</w:t>
            </w:r>
          </w:p>
        </w:tc>
        <w:tc>
          <w:tcPr>
            <w:tcW w:w="4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消防安全</w:t>
            </w:r>
          </w:p>
          <w:p>
            <w:pPr>
              <w:adjustRightInd w:val="0"/>
              <w:snapToGrid w:val="0"/>
              <w:spacing w:line="300" w:lineRule="exact"/>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检查</w:t>
            </w:r>
          </w:p>
        </w:tc>
        <w:tc>
          <w:tcPr>
            <w:tcW w:w="57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color w:val="000000" w:themeColor="text1"/>
                <w:kern w:val="0"/>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snapToGrid w:val="0"/>
                <w:sz w:val="20"/>
                <w:szCs w:val="20"/>
              </w:rPr>
              <w:t>和睦镇人民政府</w:t>
            </w:r>
          </w:p>
        </w:tc>
        <w:tc>
          <w:tcPr>
            <w:tcW w:w="78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rPr>
                <w:rFonts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3.【规范性文件】《消防安全责任制实施办法》（国办发〔2017〕87号）第九条：乡镇人民政府消防工作职责：（六）部署消防安全整治，组织开展消防安全检查，督促整改火灾隐患。</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街道办事处应当履行前款第（一）、（四）、（五）、（六）、（七）项职责，并保障消防工作经费。</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27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1.告知责任：确定检查目标、对象、内容，公告或通知被检查单位（暗访不通知）。</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2.检查责任：按照上级要求和相关标准，对单位开展消防安全检查；属于监督执法检查时，执法人员不得少于2人，并按照有关规定进行。</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3.处理责任：制作检查记录，对检查发现的问题提出整改和处理意见，并督促整改消防安全违法行为和火灾隐患，对重大消防问题或者火灾隐患实行专项督办。</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地方政府规章】《广西壮族自治区行政执法程序规定》（1997年广西壮族自治区人民政府令第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3—3.【规范性文件】《消防安全责任制实施办法》（国办发〔2017〕87号）第九条：乡镇人民政府工作职责：（六）部署消防安全整治，组织开展消防安全检查，督促整改火灾隐患。</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adjustRightInd w:val="0"/>
              <w:snapToGrid w:val="0"/>
              <w:spacing w:line="300" w:lineRule="exact"/>
              <w:ind w:firstLine="400" w:firstLineChars="200"/>
              <w:rPr>
                <w:rFonts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4—2.【规范性文件】《消防安全责任制实施办法》（国办发〔2017〕87号）第九条：乡镇人民政府工作职责：（六）部署消防安全整治，组织开展消防安全检查，督促整改火灾隐患。</w:t>
            </w:r>
          </w:p>
        </w:tc>
        <w:tc>
          <w:tcPr>
            <w:tcW w:w="296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因不履行或不正确履行行政职责，有下列情形之一的，行政机关及相关工作人员应承担相应责任:</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1.在监督检查中滥用职权、玩忽职守、徇私舞弊行为的；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2.违法实施监督检查，给当事人的合法权益造成损害的；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3.不按规定制作、送达法律文书，不按照本规定履行消防监督检查职责，拒不改正的；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4.无故拖延消防安全检查，不在法定期限内履行职责的；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5.未按照本规定组织开展消防监督抽查的；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6.发现火灾隐患不及时通知有关单位或者个人整改的;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7.利用消防监督检查职权为用户指定消防产品的品牌、销售单位或者指定消防技术服务机构、消防设施施工、维修保养单位的: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8.接受被检查单位、个人财物或者其他不正当利益的;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9.其他违反法律法规等规定的行为。</w:t>
            </w:r>
          </w:p>
        </w:tc>
        <w:tc>
          <w:tcPr>
            <w:tcW w:w="416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1.【法律】《中华人民共和国消防法》（1998年4月29日公布，2008年10月28日国家主席令第6号第一次修订，2019年4月23日国家主席令第29号第一次修正，2021年4月29日国家主席令第81号第二次修正）第71条 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2.【部门规章】《消防监督检查规定》（2009年4月30日公安部令第107号发布，2012年7月17日公安部令第120号修订）第三十六条 公安机关消防机构及其工作人员在消防监督检查中有下列情形的，对直接负责的主管人员和其他直接责任人员应当依法给予处分；构成犯罪的，依法追究刑事责任：（一）不按规定制作、送达法律文书，不按照本规定履行消防监督检查职责，拒不改正的；（二）对不符合消防安全条件的公众聚集场所准予消防安全检查合格的；（三）无故拖延消防安全检查，不在法定期限内履行职责的（四）未按照本规定组织开展消防监督抽查的；（五）发现火灾隐患不及时通知有关单位或者个人整改的；（六）利用消防监督检查职权为用户指定消防产品的品牌、销售单位或者指定消防技术服务机构、消防设施施工、维修保养单位的；（七）接受被检查单位、个人财物或者其他不正当利益的；（八）其他滥用职权、玩忽职守、徇私舞弊的行为。</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3-8同1、2。</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法律法规规定的免责情形及县委、县人民政府以及县级以上党委人民政府有关文件中明确的免责情形。</w:t>
            </w:r>
          </w:p>
        </w:tc>
        <w:tc>
          <w:tcPr>
            <w:tcW w:w="75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仿宋_GB2312" w:hAnsi="仿宋_GB2312" w:eastAsia="仿宋_GB2312" w:cs="仿宋_GB2312"/>
                <w:color w:val="FF0000"/>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120" w:hRule="atLeast"/>
          <w:jc w:val="center"/>
        </w:trPr>
        <w:tc>
          <w:tcPr>
            <w:tcW w:w="527" w:type="dxa"/>
            <w:tcMar>
              <w:top w:w="28" w:type="dxa"/>
              <w:left w:w="28" w:type="dxa"/>
              <w:bottom w:w="28" w:type="dxa"/>
              <w:right w:w="28" w:type="dxa"/>
            </w:tcMar>
            <w:vAlign w:val="center"/>
          </w:tcPr>
          <w:p>
            <w:pPr>
              <w:widowControl/>
              <w:adjustRightInd w:val="0"/>
              <w:snapToGrid w:val="0"/>
              <w:spacing w:line="300" w:lineRule="exact"/>
              <w:jc w:val="center"/>
              <w:rPr>
                <w:rFonts w:ascii="仿宋_GB2312" w:hAnsi="仿宋_GB2312" w:eastAsia="仿宋_GB2312" w:cs="仿宋_GB2312"/>
                <w:color w:val="000000"/>
                <w:kern w:val="0"/>
                <w:sz w:val="20"/>
                <w:szCs w:val="20"/>
              </w:rPr>
            </w:pPr>
            <w:bookmarkStart w:id="1" w:name="_GoBack" w:colFirst="6" w:colLast="6"/>
            <w:r>
              <w:rPr>
                <w:rFonts w:hint="eastAsia" w:ascii="仿宋_GB2312" w:hAnsi="仿宋_GB2312" w:eastAsia="仿宋_GB2312" w:cs="仿宋_GB2312"/>
                <w:color w:val="000000"/>
                <w:kern w:val="0"/>
                <w:sz w:val="20"/>
                <w:szCs w:val="20"/>
              </w:rPr>
              <w:t>30</w:t>
            </w:r>
          </w:p>
        </w:tc>
        <w:tc>
          <w:tcPr>
            <w:tcW w:w="457" w:type="dxa"/>
            <w:tcMar>
              <w:top w:w="28" w:type="dxa"/>
              <w:left w:w="28" w:type="dxa"/>
              <w:bottom w:w="28" w:type="dxa"/>
              <w:right w:w="28" w:type="dxa"/>
            </w:tcMar>
            <w:vAlign w:val="center"/>
          </w:tcPr>
          <w:p>
            <w:pPr>
              <w:widowControl/>
              <w:adjustRightInd w:val="0"/>
              <w:snapToGrid w:val="0"/>
              <w:spacing w:line="30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行政确认</w:t>
            </w:r>
          </w:p>
        </w:tc>
        <w:tc>
          <w:tcPr>
            <w:tcW w:w="480" w:type="dxa"/>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《独生子女父母光荣证》核发</w:t>
            </w:r>
          </w:p>
        </w:tc>
        <w:tc>
          <w:tcPr>
            <w:tcW w:w="575" w:type="dxa"/>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color w:val="000000"/>
                <w:kern w:val="0"/>
                <w:sz w:val="20"/>
                <w:szCs w:val="20"/>
              </w:rPr>
            </w:pPr>
          </w:p>
        </w:tc>
        <w:tc>
          <w:tcPr>
            <w:tcW w:w="443" w:type="dxa"/>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和睦镇人民政府</w:t>
            </w:r>
          </w:p>
        </w:tc>
        <w:tc>
          <w:tcPr>
            <w:tcW w:w="783" w:type="dxa"/>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lang w:val="en-US" w:eastAsia="zh-CN"/>
              </w:rPr>
              <w:t>社会事务发展办公室</w:t>
            </w:r>
          </w:p>
        </w:tc>
        <w:tc>
          <w:tcPr>
            <w:tcW w:w="2938" w:type="dxa"/>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fldChar w:fldCharType="begin"/>
            </w:r>
            <w:r>
              <w:rPr>
                <w:rFonts w:hint="eastAsia" w:ascii="仿宋_GB2312" w:hAnsi="仿宋_GB2312" w:eastAsia="仿宋_GB2312" w:cs="仿宋_GB2312"/>
                <w:color w:val="000000"/>
                <w:kern w:val="0"/>
                <w:sz w:val="20"/>
                <w:szCs w:val="20"/>
              </w:rPr>
              <w:instrText xml:space="preserve"> HYPERLINK "javascript:SLC(18415926)" \o "" </w:instrText>
            </w:r>
            <w:r>
              <w:rPr>
                <w:rFonts w:hint="eastAsia" w:ascii="仿宋_GB2312" w:hAnsi="仿宋_GB2312" w:eastAsia="仿宋_GB2312" w:cs="仿宋_GB2312"/>
                <w:color w:val="000000"/>
                <w:kern w:val="0"/>
                <w:sz w:val="20"/>
                <w:szCs w:val="20"/>
              </w:rPr>
              <w:fldChar w:fldCharType="separate"/>
            </w:r>
            <w:r>
              <w:rPr>
                <w:rFonts w:hint="eastAsia" w:ascii="仿宋_GB2312" w:hAnsi="仿宋_GB2312" w:eastAsia="仿宋_GB2312" w:cs="仿宋_GB2312"/>
                <w:color w:val="000000"/>
                <w:kern w:val="0"/>
                <w:sz w:val="20"/>
                <w:szCs w:val="20"/>
              </w:rPr>
              <w:t>1.【法律】</w:t>
            </w:r>
            <w:r>
              <w:rPr>
                <w:rFonts w:hint="eastAsia" w:ascii="仿宋_GB2312" w:hAnsi="仿宋_GB2312" w:eastAsia="仿宋_GB2312" w:cs="仿宋_GB2312"/>
                <w:color w:val="000000"/>
                <w:kern w:val="0"/>
                <w:sz w:val="20"/>
                <w:szCs w:val="20"/>
                <w:lang w:val="en-US" w:eastAsia="zh-CN"/>
              </w:rPr>
              <w:t>2021年8月20日修正的《中华人民共和国人口与计划生育法》</w:t>
            </w:r>
            <w:r>
              <w:rPr>
                <w:rFonts w:hint="eastAsia" w:ascii="仿宋_GB2312" w:hAnsi="仿宋_GB2312" w:eastAsia="仿宋_GB2312" w:cs="仿宋_GB2312"/>
                <w:color w:val="000000"/>
                <w:kern w:val="0"/>
                <w:sz w:val="20"/>
                <w:szCs w:val="20"/>
              </w:rPr>
              <w:t>第三十一条　在国家提倡一对夫妻生育一个子女期间，自愿终身只生育一个子女的夫妻，国家发给《独生子女父母光荣证》。获得《独生子女父母光荣证》的夫妻，按照国家和省、自治区、直辖市有关规定享受独生子女父母奖励。</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法律、法规或者规章规定给予获得《独生子女父母光荣证》的夫妻奖励的措施中由其所在单位落实的，有关单位应当执行。</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在国家提倡一对夫妻生育一个子女期间，按照规定应当享受计划生育家庭老年人奖励扶助的，继续享受相关奖励扶助，并在老年人福利、养老服务等方面给予必要的优先和照顾。</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地方性法规】《广西壮族自治区人口和计划生育条例》（2012年广西壮族自治区第十一届人民代表大会常务委员会第二十七次会议通过，2020年广西壮族自治区第十三届人民代表大会常务委员会第十八次会议第四次修正）第二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仿宋_GB2312" w:hAnsi="仿宋_GB2312" w:eastAsia="仿宋_GB2312" w:cs="仿宋_GB2312"/>
                <w:color w:val="000000"/>
                <w:kern w:val="0"/>
                <w:sz w:val="20"/>
                <w:szCs w:val="20"/>
              </w:rPr>
              <w:fldChar w:fldCharType="end"/>
            </w:r>
          </w:p>
        </w:tc>
        <w:tc>
          <w:tcPr>
            <w:tcW w:w="2730" w:type="dxa"/>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1.受理责任：负责对鉴定对象进行病史及必要的社会调查，收集整理有关重要资料。（不予受理应当告知理由）。</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2.审查责任：负责对要求鉴定的对象进行检查与诊断。</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3.决定责任：作出行政确认或者不予行政确认决定，法定告知（不予确认的应当书面告知理由）。</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4.告知环节责任：负责开具鉴定结论，并由县级卫生计生行政部门领回交给申请人。</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5.事后监管环节责任：建立健全监督制度，分管领导对审批后的相关事宜实施监督管理。</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6.其他法律法规规章文件规定应履行的责任。</w:t>
            </w:r>
          </w:p>
        </w:tc>
        <w:tc>
          <w:tcPr>
            <w:tcW w:w="3811" w:type="dxa"/>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执法程序规定》（1997年广西壮族自治区人民政府令第13号）第二十二条：行政执法机关应将办理各种申请的条件、程序、期限和范围及其他相关情况向社会公开，并应建立受理申请登记制度。</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地方政府规章】《广西壮族自治区行政执法程序规定》（1997年广西壮族自治区人民政府令第13号）第二十五条：行政执法机关决定受理相对人的申请后，应对相对人的申请事由以及申请材料的真实性、合法性、有效性进行审查。</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地方政府规章】《广西壮族自治区行政执法程序规定》（1997年广西壮族自治区人民政府令第13号）第三十三条：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执法程序规定》（1997年广西壮族自治区人民政府令第13号）第五十七条：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地方政府规章】《广西壮族自治区行政执法程序规定》（1997年广西壮族自治区人民政府令第13号）第六十八条：行政执法机关应根据法律、法规和规章的规定，建立健全相应的执法工作规则，保证具体执法行为合法、高效、有序。</w:t>
            </w:r>
          </w:p>
        </w:tc>
        <w:tc>
          <w:tcPr>
            <w:tcW w:w="2969" w:type="dxa"/>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widowControl/>
              <w:adjustRightInd w:val="0"/>
              <w:snapToGrid w:val="0"/>
              <w:spacing w:line="300" w:lineRule="exact"/>
              <w:ind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p>
        </w:tc>
        <w:tc>
          <w:tcPr>
            <w:tcW w:w="1150" w:type="dxa"/>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法律法规规章规定的免责情形。</w:t>
            </w:r>
          </w:p>
        </w:tc>
        <w:tc>
          <w:tcPr>
            <w:tcW w:w="757" w:type="dxa"/>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color w:val="000000"/>
                <w:kern w:val="0"/>
                <w:sz w:val="20"/>
                <w:szCs w:val="20"/>
              </w:rPr>
            </w:pPr>
          </w:p>
        </w:tc>
      </w:tr>
      <w:bookmarkEnd w:id="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0653" w:hRule="atLeast"/>
          <w:jc w:val="center"/>
        </w:trPr>
        <w:tc>
          <w:tcPr>
            <w:tcW w:w="527" w:type="dxa"/>
            <w:tcMar>
              <w:top w:w="28" w:type="dxa"/>
              <w:left w:w="28" w:type="dxa"/>
              <w:bottom w:w="28" w:type="dxa"/>
              <w:right w:w="28" w:type="dxa"/>
            </w:tcMar>
            <w:vAlign w:val="center"/>
          </w:tcPr>
          <w:p>
            <w:pPr>
              <w:widowControl/>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31</w:t>
            </w:r>
          </w:p>
        </w:tc>
        <w:tc>
          <w:tcPr>
            <w:tcW w:w="457" w:type="dxa"/>
            <w:tcMar>
              <w:top w:w="28" w:type="dxa"/>
              <w:left w:w="28" w:type="dxa"/>
              <w:bottom w:w="28" w:type="dxa"/>
              <w:right w:w="28" w:type="dxa"/>
            </w:tcMar>
            <w:vAlign w:val="center"/>
          </w:tcPr>
          <w:p>
            <w:pPr>
              <w:widowControl/>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行政确认</w:t>
            </w:r>
          </w:p>
        </w:tc>
        <w:tc>
          <w:tcPr>
            <w:tcW w:w="480" w:type="dxa"/>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生育登记</w:t>
            </w:r>
          </w:p>
        </w:tc>
        <w:tc>
          <w:tcPr>
            <w:tcW w:w="575" w:type="dxa"/>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p>
        </w:tc>
        <w:tc>
          <w:tcPr>
            <w:tcW w:w="443" w:type="dxa"/>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和睦镇人民政府</w:t>
            </w:r>
          </w:p>
        </w:tc>
        <w:tc>
          <w:tcPr>
            <w:tcW w:w="783" w:type="dxa"/>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lang w:val="en-US" w:eastAsia="zh-CN"/>
              </w:rPr>
              <w:t>社会事务发展办公室</w:t>
            </w:r>
          </w:p>
        </w:tc>
        <w:tc>
          <w:tcPr>
            <w:tcW w:w="2938" w:type="dxa"/>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【地方性法规】《广西壮族自治区人口和计划生育条例》（2022年3月24日修订通过，颁布施行）第十六条 实行生育登记制度。生育子女的夫妻可以通过生育登记平台进行网上登记，也可以到一方户籍所在地或者现居住地乡镇人民政府、街道办事处及其委托的村民委员会、居民委员会进行登记。</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p>
        </w:tc>
        <w:tc>
          <w:tcPr>
            <w:tcW w:w="2730" w:type="dxa"/>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1.受理阶段责任：公示依法应当提交的材料和受理条件；一次性告知补正材料；依法受理或不予受理（不予受理应当告知理由）。</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2.审查阶段责任：审核材料真实性和合法性；现场审核；论证申请人是否符合相关法律法规标准的要求。</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3.决定阶段责任：作出行政许可或不予行政许可的决定（不予许可的应书面说明理由，并告知当事人享有依法申请行政复议或提起行政诉讼的权利）。</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4.送达阶段责任：对许可的制发送达并信息公开，对不予许可的制发送达《不予许可决定书》；按时办结；法定告知。</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5.事后监管责任：定期或不定期检查已发单位是否有违反《放射诊疗管理规定》的行为，对违法行为依法查处，并给予有关责任人相关处分。</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6.其他法律法规规章文件规定应履行的责任。</w:t>
            </w:r>
          </w:p>
        </w:tc>
        <w:tc>
          <w:tcPr>
            <w:tcW w:w="3811" w:type="dxa"/>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1—2.【法律】《中华人民共和国行政许可法》第三十二条：行政机关对申请人提出的行政许可申请，应当根据下列情况分别作出处理：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第三十七条：行政机关对行政许可申请进行审查后，除当场作出行政许可决定的外，应当在法定期限内按照规定程序作出行政许可决定。</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3.同2</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4—1.【法律】《中华人民共和国行政许可法》第四十四条：行政机关作出准予行政许可的决定，应当自作出决定之日起十日内向申请人颁发、送达行政许可证件，或者加贴标签、加盖检验、检测、检疫印章。</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4—2.【法律】《中华人民共和国行政许可法》第四十条：行政机关作出的准予行政许可决定，应当予以公开，公众有权查阅。</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第四十三条：依法应当先经下级行政机关审查后报上级行政机关决定的行政许可，下级行政机关应当自其受理行政许可申请之日起二十日内审查完毕。但是，法律、法规另有规定的，依照其规定。</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二条：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第六十三条：行政机关实施监督检查，不得妨碍被许可人正常的生产经营活动，不得索取或者收受被许可人的财物，不得谋取其他利益。</w:t>
            </w:r>
          </w:p>
        </w:tc>
        <w:tc>
          <w:tcPr>
            <w:tcW w:w="2969" w:type="dxa"/>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widowControl/>
              <w:adjustRightInd w:val="0"/>
              <w:snapToGrid w:val="0"/>
              <w:spacing w:line="300" w:lineRule="exact"/>
              <w:ind w:firstLine="400" w:firstLineChars="200"/>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widowControl/>
              <w:adjustRightInd w:val="0"/>
              <w:snapToGrid w:val="0"/>
              <w:spacing w:line="300" w:lineRule="exact"/>
              <w:ind w:firstLine="400" w:firstLineChars="200"/>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p>
        </w:tc>
        <w:tc>
          <w:tcPr>
            <w:tcW w:w="1150" w:type="dxa"/>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sz w:val="20"/>
                <w:szCs w:val="20"/>
              </w:rPr>
              <w:t>法律法规规章规定的免责情形。</w:t>
            </w:r>
          </w:p>
        </w:tc>
        <w:tc>
          <w:tcPr>
            <w:tcW w:w="757" w:type="dxa"/>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4352" w:hRule="atLeast"/>
          <w:jc w:val="center"/>
        </w:trPr>
        <w:tc>
          <w:tcPr>
            <w:tcW w:w="527" w:type="dxa"/>
            <w:tcMar>
              <w:top w:w="28" w:type="dxa"/>
              <w:left w:w="28" w:type="dxa"/>
              <w:bottom w:w="28" w:type="dxa"/>
              <w:right w:w="28"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32</w:t>
            </w:r>
          </w:p>
        </w:tc>
        <w:tc>
          <w:tcPr>
            <w:tcW w:w="457" w:type="dxa"/>
            <w:tcMar>
              <w:top w:w="28" w:type="dxa"/>
              <w:left w:w="28" w:type="dxa"/>
              <w:bottom w:w="28" w:type="dxa"/>
              <w:right w:w="28"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tcMar>
              <w:top w:w="28" w:type="dxa"/>
              <w:left w:w="28" w:type="dxa"/>
              <w:bottom w:w="28" w:type="dxa"/>
              <w:right w:w="28"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经济              普查</w:t>
            </w:r>
          </w:p>
        </w:tc>
        <w:tc>
          <w:tcPr>
            <w:tcW w:w="575" w:type="dxa"/>
            <w:tcMar>
              <w:top w:w="28" w:type="dxa"/>
              <w:left w:w="28" w:type="dxa"/>
              <w:bottom w:w="28" w:type="dxa"/>
              <w:right w:w="28" w:type="dxa"/>
            </w:tcMar>
            <w:vAlign w:val="center"/>
          </w:tcPr>
          <w:p>
            <w:pPr>
              <w:adjustRightInd w:val="0"/>
              <w:snapToGrid w:val="0"/>
              <w:spacing w:line="300" w:lineRule="exact"/>
              <w:rPr>
                <w:rFonts w:ascii="仿宋_GB2312" w:hAnsi="仿宋_GB2312" w:eastAsia="仿宋_GB2312" w:cs="仿宋_GB2312"/>
                <w:kern w:val="0"/>
                <w:sz w:val="20"/>
                <w:szCs w:val="20"/>
              </w:rPr>
            </w:pPr>
          </w:p>
        </w:tc>
        <w:tc>
          <w:tcPr>
            <w:tcW w:w="443" w:type="dxa"/>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和睦镇人民政府</w:t>
            </w:r>
          </w:p>
        </w:tc>
        <w:tc>
          <w:tcPr>
            <w:tcW w:w="783" w:type="dxa"/>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lang w:val="en-US" w:eastAsia="zh-CN"/>
              </w:rPr>
              <w:t>经济发展办公室</w:t>
            </w:r>
          </w:p>
        </w:tc>
        <w:tc>
          <w:tcPr>
            <w:tcW w:w="2938" w:type="dxa"/>
            <w:tcMar>
              <w:top w:w="28" w:type="dxa"/>
              <w:left w:w="28" w:type="dxa"/>
              <w:bottom w:w="28" w:type="dxa"/>
              <w:right w:w="28" w:type="dxa"/>
            </w:tcMar>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经济普查条例》（2004年国务院令第415号发布，2018年国务院令第702号修订）第十六条：地方各级人民政府设立经济普查领导小组及其办公室，按照国务院经济普查领导小组及其办公室的统一规定和要求，具体组织实施当地的经济普查工作。</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街道办事处和居（村）民委员会应当广泛动员和组织社会力量积极参与并认真做好经济普查工作。</w:t>
            </w:r>
          </w:p>
        </w:tc>
        <w:tc>
          <w:tcPr>
            <w:tcW w:w="2730" w:type="dxa"/>
            <w:tcMar>
              <w:top w:w="28" w:type="dxa"/>
              <w:left w:w="28" w:type="dxa"/>
              <w:bottom w:w="28" w:type="dxa"/>
              <w:right w:w="28" w:type="dxa"/>
            </w:tcMar>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1.启动阶段责任：广泛动员和组织社会力量积极参与经济普查工作。</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tcMar>
              <w:top w:w="28" w:type="dxa"/>
              <w:left w:w="28" w:type="dxa"/>
              <w:bottom w:w="28" w:type="dxa"/>
              <w:right w:w="28" w:type="dxa"/>
            </w:tcMar>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1.【行政法规】《全国经济普查条例》（2018年8月11日国务院令第702号公布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2.【行政法规】《全国经济普查条例》（2018年8月11日国务院令第702号公布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令或者授意经济普查机构、经济普查人员篡改经济普查资料或者编造虚假数据。</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3.【行政法规】《全国经济普查条例》（2018年8月11日国务院令第702号公布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2969" w:type="dxa"/>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因不履行或不正确履行经济普查职责，有下列情形的，行政机关及相关工作人员应承担相应责任：</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1.对普查中发现的问题，不及时处理，造成不良后果的；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2.瞒报、伪造、篡改调查资料或者编造虚假调查数据的；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3.泄露调查数据造成不良后果的；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4.在调查中玩忽职守、滥用职权的；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5.在调查中发生腐败行为的；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6.其他违反法律法规规章文件规定的行为。</w:t>
            </w:r>
          </w:p>
        </w:tc>
        <w:tc>
          <w:tcPr>
            <w:tcW w:w="4161" w:type="dxa"/>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rPr>
              <w:t>《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 对本地方、本部门、本单位发生的严重统计违法行为失察的。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rPr>
              <w:t>《全国经济普查条例》第三十五条： 地方部门、单位的领导人自行修改经济普查资料、编造虚假数据或者强令、授意经济普查机构、经济普查人员篡改经济普查资料或者编造虚假数据的，依法给予处分，并由县级以上人民政府统计机构予以通报。</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经济普查人员参与篡改经济普查资料、编造虚假数据的，由县级以上人民政府统计机构责令改正，依法给予处分，或者建议有关部门、单位依法给予处分。</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3.【法律】</w:t>
            </w:r>
            <w:r>
              <w:rPr>
                <w:rFonts w:hint="eastAsia" w:ascii="仿宋_GB2312" w:hAnsi="仿宋_GB2312" w:eastAsia="仿宋_GB2312" w:cs="仿宋_GB2312"/>
                <w:snapToGrid w:val="0"/>
                <w:color w:val="000000"/>
                <w:sz w:val="20"/>
                <w:szCs w:val="20"/>
              </w:rPr>
              <w:t>《中华人民共和国统计法》第三十九条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4.【法律】</w:t>
            </w:r>
            <w:r>
              <w:rPr>
                <w:rFonts w:hint="eastAsia" w:ascii="仿宋_GB2312" w:hAnsi="仿宋_GB2312" w:eastAsia="仿宋_GB2312" w:cs="仿宋_GB2312"/>
                <w:snapToGrid w:val="0"/>
                <w:color w:val="000000"/>
                <w:sz w:val="20"/>
                <w:szCs w:val="20"/>
              </w:rPr>
              <w:t>《中华人民共和国行政处罚法》第七十九条：第二款执法人员利用职务上的便利，索取或者收受他人财物、将收缴罚款据为已有，构成犯罪的，依法追究刑事责任；情节轻微不构成犯罪的，依法给予处分。</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5.同上</w:t>
            </w:r>
          </w:p>
        </w:tc>
        <w:tc>
          <w:tcPr>
            <w:tcW w:w="1150" w:type="dxa"/>
            <w:tcMar>
              <w:top w:w="28" w:type="dxa"/>
              <w:left w:w="28" w:type="dxa"/>
              <w:bottom w:w="28" w:type="dxa"/>
              <w:right w:w="28" w:type="dxa"/>
            </w:tcMar>
            <w:vAlign w:val="center"/>
          </w:tcPr>
          <w:p>
            <w:pPr>
              <w:adjustRightInd w:val="0"/>
              <w:snapToGrid w:val="0"/>
              <w:spacing w:line="300" w:lineRule="exact"/>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法律法规规定的免责情</w:t>
            </w:r>
          </w:p>
          <w:p>
            <w:pPr>
              <w:adjustRightInd w:val="0"/>
              <w:snapToGrid w:val="0"/>
              <w:spacing w:line="300" w:lineRule="exact"/>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形及市委、</w:t>
            </w:r>
          </w:p>
          <w:p>
            <w:pPr>
              <w:widowControl/>
              <w:adjustRightInd w:val="0"/>
              <w:snapToGrid w:val="0"/>
              <w:spacing w:line="300" w:lineRule="exact"/>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市人民政府有关文件中明确的免责情形</w:t>
            </w:r>
          </w:p>
        </w:tc>
        <w:tc>
          <w:tcPr>
            <w:tcW w:w="757" w:type="dxa"/>
            <w:tcMar>
              <w:top w:w="28" w:type="dxa"/>
              <w:left w:w="28" w:type="dxa"/>
              <w:bottom w:w="28" w:type="dxa"/>
              <w:right w:w="28" w:type="dxa"/>
            </w:tcMar>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0" w:hRule="atLeast"/>
          <w:jc w:val="center"/>
        </w:trPr>
        <w:tc>
          <w:tcPr>
            <w:tcW w:w="527" w:type="dxa"/>
            <w:tcMar>
              <w:top w:w="28" w:type="dxa"/>
              <w:left w:w="28" w:type="dxa"/>
              <w:bottom w:w="28" w:type="dxa"/>
              <w:right w:w="28"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33</w:t>
            </w:r>
          </w:p>
        </w:tc>
        <w:tc>
          <w:tcPr>
            <w:tcW w:w="457" w:type="dxa"/>
            <w:tcMar>
              <w:top w:w="28" w:type="dxa"/>
              <w:left w:w="28" w:type="dxa"/>
              <w:bottom w:w="28" w:type="dxa"/>
              <w:right w:w="28"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tcMar>
              <w:top w:w="28" w:type="dxa"/>
              <w:left w:w="28" w:type="dxa"/>
              <w:bottom w:w="28" w:type="dxa"/>
              <w:right w:w="28"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农业                普查</w:t>
            </w:r>
          </w:p>
        </w:tc>
        <w:tc>
          <w:tcPr>
            <w:tcW w:w="575" w:type="dxa"/>
            <w:tcMar>
              <w:top w:w="28" w:type="dxa"/>
              <w:left w:w="28" w:type="dxa"/>
              <w:bottom w:w="28" w:type="dxa"/>
              <w:right w:w="28" w:type="dxa"/>
            </w:tcMar>
            <w:vAlign w:val="center"/>
          </w:tcPr>
          <w:p>
            <w:pPr>
              <w:adjustRightInd w:val="0"/>
              <w:snapToGrid w:val="0"/>
              <w:spacing w:line="300" w:lineRule="exact"/>
              <w:rPr>
                <w:rFonts w:ascii="仿宋_GB2312" w:hAnsi="仿宋_GB2312" w:eastAsia="仿宋_GB2312" w:cs="仿宋_GB2312"/>
                <w:kern w:val="0"/>
                <w:sz w:val="20"/>
                <w:szCs w:val="20"/>
              </w:rPr>
            </w:pPr>
          </w:p>
        </w:tc>
        <w:tc>
          <w:tcPr>
            <w:tcW w:w="443" w:type="dxa"/>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和睦镇人民政府</w:t>
            </w:r>
          </w:p>
        </w:tc>
        <w:tc>
          <w:tcPr>
            <w:tcW w:w="783" w:type="dxa"/>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lang w:val="en-US" w:eastAsia="zh-CN"/>
              </w:rPr>
              <w:t>经济发展办公室</w:t>
            </w:r>
          </w:p>
        </w:tc>
        <w:tc>
          <w:tcPr>
            <w:tcW w:w="2938" w:type="dxa"/>
            <w:tcMar>
              <w:top w:w="28" w:type="dxa"/>
              <w:left w:w="28" w:type="dxa"/>
              <w:bottom w:w="28" w:type="dxa"/>
              <w:right w:w="28" w:type="dxa"/>
            </w:tcMar>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农业普查条例》（2006年国务院令第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tc>
        <w:tc>
          <w:tcPr>
            <w:tcW w:w="2730" w:type="dxa"/>
            <w:tcMar>
              <w:top w:w="28" w:type="dxa"/>
              <w:left w:w="28" w:type="dxa"/>
              <w:bottom w:w="28" w:type="dxa"/>
              <w:right w:w="28" w:type="dxa"/>
            </w:tcMar>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1.启动阶段责任：广泛动员和组织社会力量积极参与农业普查工作。</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tcMar>
              <w:top w:w="28" w:type="dxa"/>
              <w:left w:w="28" w:type="dxa"/>
              <w:bottom w:w="28" w:type="dxa"/>
              <w:right w:w="28" w:type="dxa"/>
            </w:tcMar>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1.【行政法规】《全国农业普查条例》（2006年8月23日中华人民共和国国务院令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2.【行政法规】《全国农业普查条例》（2006年8月23日中华人民共和国国务院令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3.【行政法规】《全国农业普查条例》（2006年8月23日中华人民共和国国务院令 第473号发布）第二十六条：农业普查数据处理方案和实施办法，由国务院农业普查领导小组办公室制订。 地方普查办公室应当按照数据处理方案和实施办法的规定进行数据处理，并按时上报普查数据。</w:t>
            </w:r>
          </w:p>
        </w:tc>
        <w:tc>
          <w:tcPr>
            <w:tcW w:w="2969" w:type="dxa"/>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因不履行或不正确履行经济普查职责，有下列情形的，行政机关及相关工作人员应承担相应责任：</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1.对普查中发现的问题，不及时处理，造成不良后果的；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2.瞒报、伪造、篡改调查资料或者编造虚假调查数据的；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3.泄露调查数据造成不良后果的；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4.在调查中玩忽职守、滥用职权的；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5.在调查中发生腐败行为的；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6.其他违反法律法规规章文件规定的行为。</w:t>
            </w:r>
          </w:p>
        </w:tc>
        <w:tc>
          <w:tcPr>
            <w:tcW w:w="4161" w:type="dxa"/>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rPr>
              <w:t>《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 对本地方、本部门、本单位发生的严重统计违法行为失察的。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rPr>
              <w:t>《全国经济普查条例》第三十五条： 地方部门、单位的领导人自行修改经济普查资料、编造虚假数据或者强令、授意经济普查机构、经济普查人员篡改经济普查资料或者编造虚假数据的，依法给予处分，并由县级以上人民政府统计机构予以通报。</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经济普查人员参与篡改经济普查资料、编造虚假数据的，由县级以上人民政府统计机构责令改正，依法给予处分，或者建议有关部门、单位依法给予处分。</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3.【法律】</w:t>
            </w:r>
            <w:r>
              <w:rPr>
                <w:rFonts w:hint="eastAsia" w:ascii="仿宋_GB2312" w:hAnsi="仿宋_GB2312" w:eastAsia="仿宋_GB2312" w:cs="仿宋_GB2312"/>
                <w:snapToGrid w:val="0"/>
                <w:color w:val="000000"/>
                <w:sz w:val="20"/>
                <w:szCs w:val="20"/>
              </w:rPr>
              <w:t>《中华人民共和国统计法》第三十九条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4.【法律】</w:t>
            </w:r>
            <w:r>
              <w:rPr>
                <w:rFonts w:hint="eastAsia" w:ascii="仿宋_GB2312" w:hAnsi="仿宋_GB2312" w:eastAsia="仿宋_GB2312" w:cs="仿宋_GB2312"/>
                <w:snapToGrid w:val="0"/>
                <w:color w:val="000000"/>
                <w:sz w:val="20"/>
                <w:szCs w:val="20"/>
              </w:rPr>
              <w:t>《中华人民共和国行政处罚法》第七十九条：第二款执法人员利用职务上的便利，索取或者收受他人财物、将收缴罚款据为已有，构成犯罪的，依法追究刑事责任；情节轻微不构成犯罪的，依法给予处分。</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5.同上</w:t>
            </w:r>
          </w:p>
        </w:tc>
        <w:tc>
          <w:tcPr>
            <w:tcW w:w="1150" w:type="dxa"/>
            <w:tcMar>
              <w:top w:w="28" w:type="dxa"/>
              <w:left w:w="28" w:type="dxa"/>
              <w:bottom w:w="28" w:type="dxa"/>
              <w:right w:w="28" w:type="dxa"/>
            </w:tcMar>
            <w:vAlign w:val="center"/>
          </w:tcPr>
          <w:p>
            <w:pPr>
              <w:adjustRightInd w:val="0"/>
              <w:snapToGrid w:val="0"/>
              <w:spacing w:line="30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法律法规规定的免责情</w:t>
            </w:r>
          </w:p>
          <w:p>
            <w:pPr>
              <w:adjustRightInd w:val="0"/>
              <w:snapToGrid w:val="0"/>
              <w:spacing w:line="300" w:lineRule="exac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形及市委、</w:t>
            </w:r>
          </w:p>
          <w:p>
            <w:pPr>
              <w:widowControl/>
              <w:adjustRightInd w:val="0"/>
              <w:snapToGrid w:val="0"/>
              <w:spacing w:line="300" w:lineRule="exact"/>
              <w:jc w:val="center"/>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市人民政府有关文件中明确的免责情形</w:t>
            </w:r>
          </w:p>
        </w:tc>
        <w:tc>
          <w:tcPr>
            <w:tcW w:w="757" w:type="dxa"/>
            <w:tcMar>
              <w:top w:w="28" w:type="dxa"/>
              <w:left w:w="28" w:type="dxa"/>
              <w:bottom w:w="28" w:type="dxa"/>
              <w:right w:w="28" w:type="dxa"/>
            </w:tcMar>
            <w:vAlign w:val="center"/>
          </w:tcPr>
          <w:p>
            <w:pPr>
              <w:adjustRightInd w:val="0"/>
              <w:snapToGrid w:val="0"/>
              <w:spacing w:line="300" w:lineRule="exact"/>
              <w:rPr>
                <w:rFonts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5266" w:hRule="atLeast"/>
          <w:jc w:val="center"/>
        </w:trPr>
        <w:tc>
          <w:tcPr>
            <w:tcW w:w="527" w:type="dxa"/>
            <w:tcMar>
              <w:top w:w="28" w:type="dxa"/>
              <w:left w:w="28" w:type="dxa"/>
              <w:bottom w:w="28" w:type="dxa"/>
              <w:right w:w="28"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34</w:t>
            </w:r>
          </w:p>
        </w:tc>
        <w:tc>
          <w:tcPr>
            <w:tcW w:w="457" w:type="dxa"/>
            <w:tcMar>
              <w:top w:w="28" w:type="dxa"/>
              <w:left w:w="28" w:type="dxa"/>
              <w:bottom w:w="28" w:type="dxa"/>
              <w:right w:w="28"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tcMar>
              <w:top w:w="28" w:type="dxa"/>
              <w:left w:w="28" w:type="dxa"/>
              <w:bottom w:w="28" w:type="dxa"/>
              <w:right w:w="28"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人口             普查</w:t>
            </w:r>
          </w:p>
        </w:tc>
        <w:tc>
          <w:tcPr>
            <w:tcW w:w="575" w:type="dxa"/>
            <w:tcMar>
              <w:top w:w="28" w:type="dxa"/>
              <w:left w:w="28" w:type="dxa"/>
              <w:bottom w:w="28" w:type="dxa"/>
              <w:right w:w="28" w:type="dxa"/>
            </w:tcMar>
            <w:vAlign w:val="center"/>
          </w:tcPr>
          <w:p>
            <w:pPr>
              <w:adjustRightInd w:val="0"/>
              <w:snapToGrid w:val="0"/>
              <w:spacing w:line="300" w:lineRule="exact"/>
              <w:rPr>
                <w:rFonts w:ascii="仿宋_GB2312" w:hAnsi="仿宋_GB2312" w:eastAsia="仿宋_GB2312" w:cs="仿宋_GB2312"/>
                <w:kern w:val="0"/>
                <w:sz w:val="20"/>
                <w:szCs w:val="20"/>
              </w:rPr>
            </w:pPr>
          </w:p>
        </w:tc>
        <w:tc>
          <w:tcPr>
            <w:tcW w:w="443" w:type="dxa"/>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和睦镇人民政府</w:t>
            </w:r>
          </w:p>
        </w:tc>
        <w:tc>
          <w:tcPr>
            <w:tcW w:w="783" w:type="dxa"/>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lang w:val="en-US" w:eastAsia="zh-CN"/>
              </w:rPr>
              <w:t>经济发展办公室</w:t>
            </w:r>
          </w:p>
        </w:tc>
        <w:tc>
          <w:tcPr>
            <w:tcW w:w="2938" w:type="dxa"/>
            <w:tcMar>
              <w:top w:w="28" w:type="dxa"/>
              <w:left w:w="28" w:type="dxa"/>
              <w:bottom w:w="28" w:type="dxa"/>
              <w:right w:w="28" w:type="dxa"/>
            </w:tcMar>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【行政法规】《全国人口普查条例》（2010年国务院令第576号）第三条：人口普查工作按照全国统一领导、部门分工协作、地方分级负责、各方共同参与的原则组织实施。</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国务院统一领导全国人口普查工作，研究决定人口普查中的重大问题。地方各级人民政府按照国务院的统一规定和要求，领导本行政区域的人口普查工作。</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在人口普查工作期间，各级人民政府设立由统计机构和有关部门组成的人口普查机构（以下简称普查机构），负责人口普查的组织实施工作。</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tc>
        <w:tc>
          <w:tcPr>
            <w:tcW w:w="2730" w:type="dxa"/>
            <w:tcMar>
              <w:top w:w="28" w:type="dxa"/>
              <w:left w:w="28" w:type="dxa"/>
              <w:bottom w:w="28" w:type="dxa"/>
              <w:right w:w="28" w:type="dxa"/>
            </w:tcMar>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1.启动阶段责任：广泛动员和组织社会力量积极参与人口普查工作。</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tcMar>
              <w:top w:w="28" w:type="dxa"/>
              <w:left w:w="28" w:type="dxa"/>
              <w:bottom w:w="28" w:type="dxa"/>
              <w:right w:w="28" w:type="dxa"/>
            </w:tcMar>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1.【行政法规】《全国人口普查条例》（2010年5月12日中华人民共和国国务院令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2.【行政法规】《全国人口普查条例》（2010年5月12日中华人民共和国国务院令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3.【行政法规】《全国人口普查条例》（2010年5月12日中华人民共和国国务院令 第576号发布）第二十九条：地方各级普查机构应当按照普查方案的规定进行数据处理，并按时上报人口普查资料。</w:t>
            </w:r>
          </w:p>
        </w:tc>
        <w:tc>
          <w:tcPr>
            <w:tcW w:w="2969" w:type="dxa"/>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因不履行或不正确履行经济普查职责，有下列情形的，行政机关及相关工作人员应承担相应责任：</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1.对普查中发现的问题，不及时处理，造成不良后果的；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2.瞒报、伪造、篡改调查资料或者编造虚假调查数据的；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3.泄露调查数据造成不良后果的；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4.在调查中玩忽职守、滥用职权的；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5.在调查中发生腐败行为的；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6.其他违反法律法规规章文件规定的行为。</w:t>
            </w:r>
          </w:p>
        </w:tc>
        <w:tc>
          <w:tcPr>
            <w:tcW w:w="4161" w:type="dxa"/>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rPr>
              <w:t>《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 对本地方、本部门、本单位发生的严重统计违法行为失察的。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rPr>
              <w:t>《全国经济普查条例》第三十五条： 地方部门、单位的领导人自行修改经济普查资料、编造虚假数据或者强令、授意经济普查机构、经济普查人员篡改经济普查资料或者编造虚假数据的，依法给予处分，并由县级以上人民政府统计机构予以通报。</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经济普查人员参与篡改经济普查资料、编造虚假数据的，由县级以上人民政府统计机构责令改正，依法给予处分，或者建议有关部门、单位依法给予处分。</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3.【法律】</w:t>
            </w:r>
            <w:r>
              <w:rPr>
                <w:rFonts w:hint="eastAsia" w:ascii="仿宋_GB2312" w:hAnsi="仿宋_GB2312" w:eastAsia="仿宋_GB2312" w:cs="仿宋_GB2312"/>
                <w:snapToGrid w:val="0"/>
                <w:color w:val="000000"/>
                <w:sz w:val="20"/>
                <w:szCs w:val="20"/>
              </w:rPr>
              <w:t>《中华人民共和国统计法》第三十九条 县级以上人民政府统计机构或者有关部门有下列行为之一的对直接负责的主管人员和其他直接责任人员由任免机关或者监察机关依法给予处分：（一）违法公布统计资料的；（二）泄露统计调查对象的商业秘密、个人信息或者提供、泄露在统计调查中获得的能够识别或者推断单个统计调查对象身份的资料的；（三）违反国家有关规定，造成统计资料毁损灭失的。统计人员有前款所列行为之一的，依法给予处分。</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4.【法律】</w:t>
            </w:r>
            <w:r>
              <w:rPr>
                <w:rFonts w:hint="eastAsia" w:ascii="仿宋_GB2312" w:hAnsi="仿宋_GB2312" w:eastAsia="仿宋_GB2312" w:cs="仿宋_GB2312"/>
                <w:snapToGrid w:val="0"/>
                <w:color w:val="000000"/>
                <w:sz w:val="20"/>
                <w:szCs w:val="20"/>
              </w:rPr>
              <w:t>《中华人民共和国行政处罚法》第七十九条：第二款执法人员利用职务上的便利，索取或者收受他人财物、将收缴罚款据为已有，构成犯罪的，依法追究刑事责任；情节轻微不构成犯罪的，依法给予处分。</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5.同上</w:t>
            </w:r>
          </w:p>
        </w:tc>
        <w:tc>
          <w:tcPr>
            <w:tcW w:w="1150" w:type="dxa"/>
            <w:tcMar>
              <w:top w:w="28" w:type="dxa"/>
              <w:left w:w="28" w:type="dxa"/>
              <w:bottom w:w="28" w:type="dxa"/>
              <w:right w:w="28" w:type="dxa"/>
            </w:tcMar>
            <w:vAlign w:val="center"/>
          </w:tcPr>
          <w:p>
            <w:pPr>
              <w:adjustRightInd w:val="0"/>
              <w:snapToGrid w:val="0"/>
              <w:spacing w:line="300" w:lineRule="exact"/>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法律法规规定的免责情</w:t>
            </w:r>
          </w:p>
          <w:p>
            <w:pPr>
              <w:adjustRightInd w:val="0"/>
              <w:snapToGrid w:val="0"/>
              <w:spacing w:line="300" w:lineRule="exact"/>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形及市委、</w:t>
            </w:r>
          </w:p>
          <w:p>
            <w:pPr>
              <w:widowControl/>
              <w:adjustRightInd w:val="0"/>
              <w:snapToGrid w:val="0"/>
              <w:spacing w:line="300" w:lineRule="exact"/>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市人民政府有关文件中明确的免责情形</w:t>
            </w:r>
          </w:p>
        </w:tc>
        <w:tc>
          <w:tcPr>
            <w:tcW w:w="757" w:type="dxa"/>
            <w:tcMar>
              <w:top w:w="28" w:type="dxa"/>
              <w:left w:w="28" w:type="dxa"/>
              <w:bottom w:w="28" w:type="dxa"/>
              <w:right w:w="28" w:type="dxa"/>
            </w:tcMar>
            <w:vAlign w:val="center"/>
          </w:tcPr>
          <w:p>
            <w:pPr>
              <w:adjustRightInd w:val="0"/>
              <w:snapToGrid w:val="0"/>
              <w:spacing w:line="300" w:lineRule="exact"/>
              <w:rPr>
                <w:rFonts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2064" w:hRule="atLeast"/>
          <w:jc w:val="center"/>
        </w:trPr>
        <w:tc>
          <w:tcPr>
            <w:tcW w:w="527" w:type="dxa"/>
            <w:tcMar>
              <w:top w:w="28" w:type="dxa"/>
              <w:left w:w="28" w:type="dxa"/>
              <w:bottom w:w="28" w:type="dxa"/>
              <w:right w:w="28"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35</w:t>
            </w:r>
          </w:p>
        </w:tc>
        <w:tc>
          <w:tcPr>
            <w:tcW w:w="457" w:type="dxa"/>
            <w:tcMar>
              <w:top w:w="28" w:type="dxa"/>
              <w:left w:w="28" w:type="dxa"/>
              <w:bottom w:w="28" w:type="dxa"/>
              <w:right w:w="28" w:type="dxa"/>
            </w:tcMar>
            <w:vAlign w:val="center"/>
          </w:tcPr>
          <w:p>
            <w:pPr>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tcMar>
              <w:top w:w="28" w:type="dxa"/>
              <w:left w:w="28" w:type="dxa"/>
              <w:bottom w:w="28" w:type="dxa"/>
              <w:right w:w="28" w:type="dxa"/>
            </w:tcMar>
            <w:vAlign w:val="center"/>
          </w:tcPr>
          <w:p>
            <w:pPr>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统计资料的补正</w:t>
            </w:r>
          </w:p>
        </w:tc>
        <w:tc>
          <w:tcPr>
            <w:tcW w:w="575" w:type="dxa"/>
            <w:tcMar>
              <w:top w:w="28" w:type="dxa"/>
              <w:left w:w="28" w:type="dxa"/>
              <w:bottom w:w="28" w:type="dxa"/>
              <w:right w:w="28" w:type="dxa"/>
            </w:tcMar>
            <w:vAlign w:val="center"/>
          </w:tcPr>
          <w:p>
            <w:pPr>
              <w:adjustRightInd w:val="0"/>
              <w:snapToGrid w:val="0"/>
              <w:spacing w:line="300" w:lineRule="exact"/>
              <w:rPr>
                <w:rFonts w:ascii="仿宋_GB2312" w:hAnsi="仿宋_GB2312" w:eastAsia="仿宋_GB2312" w:cs="仿宋_GB2312"/>
                <w:kern w:val="0"/>
                <w:sz w:val="20"/>
                <w:szCs w:val="20"/>
              </w:rPr>
            </w:pPr>
          </w:p>
        </w:tc>
        <w:tc>
          <w:tcPr>
            <w:tcW w:w="443" w:type="dxa"/>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snapToGrid w:val="0"/>
                <w:sz w:val="20"/>
                <w:szCs w:val="20"/>
              </w:rPr>
              <w:t>和睦镇人民政府</w:t>
            </w:r>
          </w:p>
        </w:tc>
        <w:tc>
          <w:tcPr>
            <w:tcW w:w="783" w:type="dxa"/>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lang w:val="en-US" w:eastAsia="zh-CN"/>
              </w:rPr>
              <w:t>经济发展办公室</w:t>
            </w:r>
          </w:p>
        </w:tc>
        <w:tc>
          <w:tcPr>
            <w:tcW w:w="2938" w:type="dxa"/>
            <w:tcMar>
              <w:top w:w="28" w:type="dxa"/>
              <w:left w:w="28" w:type="dxa"/>
              <w:bottom w:w="28" w:type="dxa"/>
              <w:right w:w="28" w:type="dxa"/>
            </w:tcMar>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国务院令第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2730" w:type="dxa"/>
            <w:tcMar>
              <w:top w:w="28" w:type="dxa"/>
              <w:left w:w="28" w:type="dxa"/>
              <w:bottom w:w="28" w:type="dxa"/>
              <w:right w:w="28" w:type="dxa"/>
            </w:tcMar>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1.对统计调查对象提供的统计资料进行审核；</w:t>
            </w:r>
          </w:p>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2.统计资料不完整或者存在明显错误的，督促指导统计调查对象依法予以补充或者改正。</w:t>
            </w:r>
          </w:p>
        </w:tc>
        <w:tc>
          <w:tcPr>
            <w:tcW w:w="3811" w:type="dxa"/>
            <w:tcMar>
              <w:top w:w="28" w:type="dxa"/>
              <w:left w:w="28" w:type="dxa"/>
              <w:bottom w:w="28" w:type="dxa"/>
              <w:right w:w="28" w:type="dxa"/>
            </w:tcMar>
            <w:vAlign w:val="center"/>
          </w:tcPr>
          <w:p>
            <w:pPr>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【行政法规】《中华人民共和国统计法实施条例》（2017年4月12日中华人民共和国国务院令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2969" w:type="dxa"/>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因不履行或不正确履行统计资料的补正职责，有下列情形的，行政机关及相关工作人员应承担相应责任：</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1.未对统计调查对象提供的统计资料进行审核；</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2.不督促指导统计调查对象依法予以补充或者改正。</w:t>
            </w:r>
          </w:p>
        </w:tc>
        <w:tc>
          <w:tcPr>
            <w:tcW w:w="4161" w:type="dxa"/>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rPr>
              <w:t>《中华人民共和国统计法》第三十七条：地方人民政府、政府统计机构或者有关部门、单位的负责人有下列行为之一的，由任免机关或者监察机关依法给予处分并由县级以上人民政府统计机构予以通报：（一）自行修改统计资料、编造虚假统计数据的；（二）要求统计机构、统计人员或者其他机构、人员伪造、篡改统计资料的；（三）对依法履行职责或者拒绝、抵制统计违法行为的统计人员打击报复的；（四） 对本地方、本部门、本单位发生的严重统计违法行为失察的。</w:t>
            </w:r>
          </w:p>
          <w:p>
            <w:pPr>
              <w:widowControl/>
              <w:adjustRightInd w:val="0"/>
              <w:snapToGrid w:val="0"/>
              <w:spacing w:line="300" w:lineRule="exact"/>
              <w:ind w:firstLine="400" w:firstLineChars="200"/>
              <w:rPr>
                <w:rFonts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2.同上</w:t>
            </w:r>
          </w:p>
        </w:tc>
        <w:tc>
          <w:tcPr>
            <w:tcW w:w="1150" w:type="dxa"/>
            <w:tcMar>
              <w:top w:w="28" w:type="dxa"/>
              <w:left w:w="28" w:type="dxa"/>
              <w:bottom w:w="28" w:type="dxa"/>
              <w:right w:w="28" w:type="dxa"/>
            </w:tcMar>
            <w:vAlign w:val="center"/>
          </w:tcPr>
          <w:p>
            <w:pPr>
              <w:adjustRightInd w:val="0"/>
              <w:snapToGrid w:val="0"/>
              <w:spacing w:line="300" w:lineRule="exact"/>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法律法规规定的免责情</w:t>
            </w:r>
          </w:p>
          <w:p>
            <w:pPr>
              <w:adjustRightInd w:val="0"/>
              <w:snapToGrid w:val="0"/>
              <w:spacing w:line="300" w:lineRule="exact"/>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形及市委、</w:t>
            </w:r>
          </w:p>
          <w:p>
            <w:pPr>
              <w:widowControl/>
              <w:adjustRightInd w:val="0"/>
              <w:snapToGrid w:val="0"/>
              <w:spacing w:line="300" w:lineRule="exact"/>
              <w:rPr>
                <w:rFonts w:ascii="仿宋_GB2312" w:hAnsi="仿宋_GB2312" w:eastAsia="仿宋_GB2312" w:cs="仿宋_GB2312"/>
                <w:snapToGrid w:val="0"/>
                <w:color w:val="000000"/>
                <w:sz w:val="20"/>
                <w:szCs w:val="20"/>
              </w:rPr>
            </w:pPr>
            <w:r>
              <w:rPr>
                <w:rFonts w:hint="eastAsia" w:ascii="仿宋_GB2312" w:hAnsi="仿宋_GB2312" w:eastAsia="仿宋_GB2312" w:cs="仿宋_GB2312"/>
                <w:color w:val="000000"/>
                <w:kern w:val="0"/>
                <w:sz w:val="20"/>
                <w:szCs w:val="20"/>
              </w:rPr>
              <w:t>市人民政府有关文件中明确的免责情形</w:t>
            </w:r>
          </w:p>
        </w:tc>
        <w:tc>
          <w:tcPr>
            <w:tcW w:w="757" w:type="dxa"/>
            <w:tcMar>
              <w:top w:w="28" w:type="dxa"/>
              <w:left w:w="28" w:type="dxa"/>
              <w:bottom w:w="28" w:type="dxa"/>
              <w:right w:w="28" w:type="dxa"/>
            </w:tcMar>
            <w:vAlign w:val="center"/>
          </w:tcPr>
          <w:p>
            <w:pPr>
              <w:adjustRightInd w:val="0"/>
              <w:snapToGrid w:val="0"/>
              <w:spacing w:line="300" w:lineRule="exact"/>
              <w:rPr>
                <w:rFonts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872" w:hRule="atLeast"/>
          <w:jc w:val="center"/>
        </w:trPr>
        <w:tc>
          <w:tcPr>
            <w:tcW w:w="527" w:type="dxa"/>
            <w:tcMar>
              <w:top w:w="28" w:type="dxa"/>
              <w:left w:w="28" w:type="dxa"/>
              <w:bottom w:w="28" w:type="dxa"/>
              <w:right w:w="28" w:type="dxa"/>
            </w:tcMar>
            <w:vAlign w:val="center"/>
          </w:tcPr>
          <w:p>
            <w:pPr>
              <w:widowControl/>
              <w:adjustRightInd w:val="0"/>
              <w:snapToGrid w:val="0"/>
              <w:spacing w:line="3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36</w:t>
            </w:r>
          </w:p>
        </w:tc>
        <w:tc>
          <w:tcPr>
            <w:tcW w:w="457" w:type="dxa"/>
            <w:tcMar>
              <w:top w:w="28" w:type="dxa"/>
              <w:left w:w="28" w:type="dxa"/>
              <w:bottom w:w="28" w:type="dxa"/>
              <w:right w:w="28" w:type="dxa"/>
            </w:tcMar>
            <w:vAlign w:val="center"/>
          </w:tcPr>
          <w:p>
            <w:pPr>
              <w:widowControl/>
              <w:adjustRightInd w:val="0"/>
              <w:snapToGrid w:val="0"/>
              <w:spacing w:line="30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其他行政权力</w:t>
            </w:r>
          </w:p>
        </w:tc>
        <w:tc>
          <w:tcPr>
            <w:tcW w:w="480" w:type="dxa"/>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出具非医学需要鉴定胎儿性别和选择性终止妊娠的证明</w:t>
            </w:r>
          </w:p>
        </w:tc>
        <w:tc>
          <w:tcPr>
            <w:tcW w:w="575" w:type="dxa"/>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color w:val="FF0000"/>
                <w:kern w:val="0"/>
                <w:sz w:val="20"/>
                <w:szCs w:val="20"/>
              </w:rPr>
            </w:pPr>
          </w:p>
        </w:tc>
        <w:tc>
          <w:tcPr>
            <w:tcW w:w="443" w:type="dxa"/>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color w:val="FF0000"/>
                <w:kern w:val="0"/>
                <w:sz w:val="20"/>
                <w:szCs w:val="20"/>
              </w:rPr>
            </w:pPr>
            <w:r>
              <w:rPr>
                <w:rFonts w:hint="eastAsia" w:ascii="仿宋_GB2312" w:hAnsi="仿宋_GB2312" w:eastAsia="仿宋_GB2312" w:cs="仿宋_GB2312"/>
                <w:snapToGrid w:val="0"/>
                <w:sz w:val="20"/>
                <w:szCs w:val="20"/>
              </w:rPr>
              <w:t>和睦镇人民政府</w:t>
            </w:r>
          </w:p>
        </w:tc>
        <w:tc>
          <w:tcPr>
            <w:tcW w:w="783" w:type="dxa"/>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lang w:eastAsia="zh-CN"/>
              </w:rPr>
              <w:t>社会事务办公室</w:t>
            </w:r>
          </w:p>
        </w:tc>
        <w:tc>
          <w:tcPr>
            <w:tcW w:w="2938" w:type="dxa"/>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地方性法规】《广西壮族自治区禁止非医学需要鉴定胎儿性别和选择性别人工终止妊娠的规定》（2011年广西壮族自治区第十一届人民代表大会常务委员会第二十二次会议通过）第九条：符合法定生育条件且妊娠十四周以上的妇女不得人工终止妊娠，但有下列情形之一的除外：</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（一）胎儿有严重缺陷或者患有严重遗传性疾病的；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（二）妊娠妇女患有严重疾病，继续妊娠将危及生命安全或者严重危害健康的；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（三）经自治区人民政府卫生行政部门指定的医疗保健机构诊断认为需要终止妊娠的；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（四）离婚、丧偶等要求终止妊娠的。</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第十条：医疗保健机构或者计划生育技术服务机构施行人工终止妊娠手术前，应当遵守下列规定：</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（一）有第八条和第九条第一项、第二项、第三项规定情形之一的，查验本人身份证明和自治区人民政府卫生行政部门指定的医疗保健机构或者开展产前诊断的县级以上医疗保健机构出具的医学诊断证明；</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（二）有第九条第四项规定情形的，查验本人身份证明和县级人民政府人口和计划生育行政部门或者所在乡（镇）人民政府、街道办事处计划生育工作机构出具的证明。</w:t>
            </w:r>
          </w:p>
        </w:tc>
        <w:tc>
          <w:tcPr>
            <w:tcW w:w="2730" w:type="dxa"/>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1.受理环节责任：公示依法应当提交的材料和受理条件；一次性告知补齐补正材料；依法受理或不予受理（不予受理应当告知理由）。</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2.审查环节责任：审核材料真实性和合法性，并提出审查意见。</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3.决定环节责任：作出行政许可或不予行政许可的决定（不予许可的应书面说明理由，并告知当事人享有依法申请行政复议或提起行政诉讼的权利）。</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4.送达环节责任：准予许可的，制发许可证书或批件。</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5.其他法律法规规章文件规定应履行的责任。</w:t>
            </w:r>
          </w:p>
        </w:tc>
        <w:tc>
          <w:tcPr>
            <w:tcW w:w="3811" w:type="dxa"/>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4.【法律】《中华人民共和国行政许可法》第四十四条：行政机关作出准予行政许可的决定，应当自作出决定之日起十日内向申请人颁发、送达行政许可证件，或者加贴标签、加盖检验、检测、检疫印章。</w:t>
            </w:r>
          </w:p>
        </w:tc>
        <w:tc>
          <w:tcPr>
            <w:tcW w:w="2969" w:type="dxa"/>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bidi="ar"/>
              </w:rPr>
              <w:t>因不履行或不正确履行行政</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职责，有下列情形</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的，行政机关及相关工作人员应承担相应责任：</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1.未按规定组织开展医师定期</w:t>
            </w:r>
            <w:r>
              <w:rPr>
                <w:rFonts w:hint="eastAsia" w:ascii="仿宋_GB2312" w:hAnsi="仿宋_GB2312" w:eastAsia="仿宋_GB2312" w:cs="仿宋_GB2312"/>
                <w:color w:val="000000"/>
                <w:kern w:val="0"/>
                <w:sz w:val="20"/>
                <w:szCs w:val="20"/>
                <w:lang w:bidi="ar"/>
              </w:rPr>
              <w:br w:type="textWrapping"/>
            </w:r>
            <w:r>
              <w:rPr>
                <w:rFonts w:hint="eastAsia" w:ascii="仿宋_GB2312" w:hAnsi="仿宋_GB2312" w:eastAsia="仿宋_GB2312" w:cs="仿宋_GB2312"/>
                <w:color w:val="000000"/>
                <w:kern w:val="0"/>
                <w:sz w:val="20"/>
                <w:szCs w:val="20"/>
                <w:lang w:bidi="ar"/>
              </w:rPr>
              <w:t>考核或委托考核机构进行考核的。     2.未履行监督责任的。3.其他违反法律法规的情形。</w:t>
            </w:r>
          </w:p>
        </w:tc>
        <w:tc>
          <w:tcPr>
            <w:tcW w:w="4161" w:type="dxa"/>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bidi="ar"/>
              </w:rPr>
              <w:t>1-1.【法律】《中华人民共和国执业医师法》（1998 年 6 月 26 日国家主席令第 5 号公布，自 1999 年 5 月 1 日起施行，2009 年修正）第四十二条 卫生行政部门工作人员或者医疗、预防、保健机构工作人员违反本法有关规定，弄虚作假、玩忽职守、滥用职权、徇私舞弊，尚不构成犯罪的，依法给予行政处分；构成犯罪的，依法追究刑事责任。1-2.【规范性文件】《医师定期考核管理办法》（卫医发〔2007〕66 号）第三十条 考核机构工作人员违反有关规定，弄虚作假、玩忽职守、滥用职权、徇私舞弊，按《执业医师法》第四十二条处理。2.同 1</w:t>
            </w:r>
          </w:p>
        </w:tc>
        <w:tc>
          <w:tcPr>
            <w:tcW w:w="1150" w:type="dxa"/>
            <w:tcMar>
              <w:top w:w="28" w:type="dxa"/>
              <w:left w:w="28" w:type="dxa"/>
              <w:bottom w:w="28" w:type="dxa"/>
              <w:right w:w="28" w:type="dxa"/>
            </w:tcMar>
            <w:vAlign w:val="center"/>
          </w:tcPr>
          <w:p>
            <w:pPr>
              <w:widowControl/>
              <w:adjustRightInd w:val="0"/>
              <w:snapToGrid w:val="0"/>
              <w:spacing w:line="300" w:lineRule="exact"/>
              <w:ind w:firstLine="400" w:firstLineChars="200"/>
              <w:rPr>
                <w:rFonts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lang w:bidi="ar"/>
              </w:rPr>
              <w:t>法律法规规章规定的免责情。</w:t>
            </w:r>
          </w:p>
        </w:tc>
        <w:tc>
          <w:tcPr>
            <w:tcW w:w="757" w:type="dxa"/>
            <w:tcMar>
              <w:top w:w="28" w:type="dxa"/>
              <w:left w:w="28" w:type="dxa"/>
              <w:bottom w:w="28" w:type="dxa"/>
              <w:right w:w="28" w:type="dxa"/>
            </w:tcMar>
            <w:vAlign w:val="center"/>
          </w:tcPr>
          <w:p>
            <w:pPr>
              <w:widowControl/>
              <w:adjustRightInd w:val="0"/>
              <w:snapToGrid w:val="0"/>
              <w:spacing w:line="300" w:lineRule="exact"/>
              <w:rPr>
                <w:rFonts w:ascii="仿宋_GB2312" w:hAnsi="仿宋_GB2312" w:eastAsia="仿宋_GB2312" w:cs="仿宋_GB2312"/>
                <w:kern w:val="0"/>
                <w:sz w:val="20"/>
                <w:szCs w:val="20"/>
              </w:rPr>
            </w:pPr>
          </w:p>
        </w:tc>
      </w:tr>
    </w:tbl>
    <w:p>
      <w:pPr>
        <w:rPr>
          <w:rFonts w:ascii="仿宋_GB2312" w:hAnsi="仿宋_GB2312" w:eastAsia="仿宋_GB2312" w:cs="仿宋_GB2312"/>
          <w:sz w:val="20"/>
          <w:szCs w:val="20"/>
        </w:rPr>
      </w:pPr>
    </w:p>
    <w:sectPr>
      <w:footerReference r:id="rId3" w:type="default"/>
      <w:pgSz w:w="23811" w:h="16838" w:orient="landscape"/>
      <w:pgMar w:top="1066" w:right="1043" w:bottom="1066" w:left="104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书宋_GBK">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xN2EyYWM2NDZlYTQ5Yjg2N2M0ZmQzMTBlODE4OWEifQ=="/>
  </w:docVars>
  <w:rsids>
    <w:rsidRoot w:val="5DCA0F26"/>
    <w:rsid w:val="000F4777"/>
    <w:rsid w:val="00160242"/>
    <w:rsid w:val="001D6AE6"/>
    <w:rsid w:val="004B71FB"/>
    <w:rsid w:val="00613EAB"/>
    <w:rsid w:val="007A5699"/>
    <w:rsid w:val="00AA0722"/>
    <w:rsid w:val="00CF1F2C"/>
    <w:rsid w:val="00D43D9C"/>
    <w:rsid w:val="00EE71E2"/>
    <w:rsid w:val="00F56F9F"/>
    <w:rsid w:val="011675EA"/>
    <w:rsid w:val="015F5DD0"/>
    <w:rsid w:val="01E21AEB"/>
    <w:rsid w:val="031569F5"/>
    <w:rsid w:val="04F63615"/>
    <w:rsid w:val="04FE56D2"/>
    <w:rsid w:val="05460069"/>
    <w:rsid w:val="057C552B"/>
    <w:rsid w:val="05A17AD6"/>
    <w:rsid w:val="067A6867"/>
    <w:rsid w:val="06820D66"/>
    <w:rsid w:val="068E2344"/>
    <w:rsid w:val="06B70E4A"/>
    <w:rsid w:val="071E2D3E"/>
    <w:rsid w:val="077F14C3"/>
    <w:rsid w:val="07F72B3F"/>
    <w:rsid w:val="08124A29"/>
    <w:rsid w:val="0850231C"/>
    <w:rsid w:val="08DE3DA3"/>
    <w:rsid w:val="09A82D92"/>
    <w:rsid w:val="09FB6499"/>
    <w:rsid w:val="0A3751CF"/>
    <w:rsid w:val="0ABF2C8D"/>
    <w:rsid w:val="0B552AA6"/>
    <w:rsid w:val="0C9E722C"/>
    <w:rsid w:val="0D0364DD"/>
    <w:rsid w:val="0D164AB3"/>
    <w:rsid w:val="0D16768D"/>
    <w:rsid w:val="0DDA7834"/>
    <w:rsid w:val="0E6354DA"/>
    <w:rsid w:val="0EF7654A"/>
    <w:rsid w:val="10797AFB"/>
    <w:rsid w:val="10845C94"/>
    <w:rsid w:val="10E52823"/>
    <w:rsid w:val="110113F5"/>
    <w:rsid w:val="116B5E91"/>
    <w:rsid w:val="12371472"/>
    <w:rsid w:val="129400ED"/>
    <w:rsid w:val="12B82CC5"/>
    <w:rsid w:val="13234B6C"/>
    <w:rsid w:val="138446FB"/>
    <w:rsid w:val="13AD0114"/>
    <w:rsid w:val="13F13B5D"/>
    <w:rsid w:val="144775E6"/>
    <w:rsid w:val="14F7361D"/>
    <w:rsid w:val="159E414D"/>
    <w:rsid w:val="15D13572"/>
    <w:rsid w:val="15F32621"/>
    <w:rsid w:val="169D22EB"/>
    <w:rsid w:val="17421926"/>
    <w:rsid w:val="175E564A"/>
    <w:rsid w:val="17845CA2"/>
    <w:rsid w:val="178C1FD1"/>
    <w:rsid w:val="179D3B41"/>
    <w:rsid w:val="17D275F9"/>
    <w:rsid w:val="1830753E"/>
    <w:rsid w:val="184E796B"/>
    <w:rsid w:val="189A6D3C"/>
    <w:rsid w:val="195F2281"/>
    <w:rsid w:val="19DB6FDF"/>
    <w:rsid w:val="1AC14290"/>
    <w:rsid w:val="1BBB2653"/>
    <w:rsid w:val="1C0E2F29"/>
    <w:rsid w:val="1CB42226"/>
    <w:rsid w:val="1CDF6673"/>
    <w:rsid w:val="1D507EB3"/>
    <w:rsid w:val="1E782E07"/>
    <w:rsid w:val="1E9B2DB3"/>
    <w:rsid w:val="1F754ACB"/>
    <w:rsid w:val="1F87779B"/>
    <w:rsid w:val="204460F6"/>
    <w:rsid w:val="20515ADA"/>
    <w:rsid w:val="20753B32"/>
    <w:rsid w:val="2142218E"/>
    <w:rsid w:val="21602BD4"/>
    <w:rsid w:val="217E4362"/>
    <w:rsid w:val="21BF4218"/>
    <w:rsid w:val="21E14FE4"/>
    <w:rsid w:val="221B240C"/>
    <w:rsid w:val="240F619A"/>
    <w:rsid w:val="2416386D"/>
    <w:rsid w:val="25B65CEB"/>
    <w:rsid w:val="260C3151"/>
    <w:rsid w:val="26535612"/>
    <w:rsid w:val="2722104F"/>
    <w:rsid w:val="27532294"/>
    <w:rsid w:val="277F2F2D"/>
    <w:rsid w:val="27E32305"/>
    <w:rsid w:val="280E2503"/>
    <w:rsid w:val="28294644"/>
    <w:rsid w:val="28E079FB"/>
    <w:rsid w:val="2A4139A0"/>
    <w:rsid w:val="2ABF7F77"/>
    <w:rsid w:val="2B9D0161"/>
    <w:rsid w:val="2C4415B0"/>
    <w:rsid w:val="2C564FF8"/>
    <w:rsid w:val="2C7449D4"/>
    <w:rsid w:val="2CA7618E"/>
    <w:rsid w:val="2CC336B2"/>
    <w:rsid w:val="2CDD25E2"/>
    <w:rsid w:val="2D1F1043"/>
    <w:rsid w:val="2DEB48D6"/>
    <w:rsid w:val="2E323F3D"/>
    <w:rsid w:val="2E73317C"/>
    <w:rsid w:val="2E7D1F5B"/>
    <w:rsid w:val="2F3A4283"/>
    <w:rsid w:val="305A0D1C"/>
    <w:rsid w:val="30B40786"/>
    <w:rsid w:val="3148081D"/>
    <w:rsid w:val="31C92054"/>
    <w:rsid w:val="31D62E1D"/>
    <w:rsid w:val="325027EE"/>
    <w:rsid w:val="32694107"/>
    <w:rsid w:val="32AC4EE2"/>
    <w:rsid w:val="32BC063A"/>
    <w:rsid w:val="32FE65F6"/>
    <w:rsid w:val="330A4270"/>
    <w:rsid w:val="331D35FA"/>
    <w:rsid w:val="334E5EA9"/>
    <w:rsid w:val="338323E4"/>
    <w:rsid w:val="33C344F4"/>
    <w:rsid w:val="33FF7C55"/>
    <w:rsid w:val="340706E9"/>
    <w:rsid w:val="34336FF2"/>
    <w:rsid w:val="359B0B00"/>
    <w:rsid w:val="360965D7"/>
    <w:rsid w:val="362E5CDC"/>
    <w:rsid w:val="366E215D"/>
    <w:rsid w:val="36C41867"/>
    <w:rsid w:val="36CA4935"/>
    <w:rsid w:val="37983B97"/>
    <w:rsid w:val="385D2697"/>
    <w:rsid w:val="3A3F1455"/>
    <w:rsid w:val="3A4B6C12"/>
    <w:rsid w:val="3A7F1E32"/>
    <w:rsid w:val="3AB41D1C"/>
    <w:rsid w:val="3B9A23E6"/>
    <w:rsid w:val="3BD6018C"/>
    <w:rsid w:val="3C19653A"/>
    <w:rsid w:val="3D460A5E"/>
    <w:rsid w:val="3D4963CF"/>
    <w:rsid w:val="3D637687"/>
    <w:rsid w:val="3D8B6956"/>
    <w:rsid w:val="3E201212"/>
    <w:rsid w:val="3E520A0E"/>
    <w:rsid w:val="3F5C58B2"/>
    <w:rsid w:val="403F656D"/>
    <w:rsid w:val="407A02AE"/>
    <w:rsid w:val="41A575DC"/>
    <w:rsid w:val="42E00E0F"/>
    <w:rsid w:val="42F97BDF"/>
    <w:rsid w:val="4339149F"/>
    <w:rsid w:val="43DC0EAD"/>
    <w:rsid w:val="44504CFF"/>
    <w:rsid w:val="449A59D6"/>
    <w:rsid w:val="449D3834"/>
    <w:rsid w:val="44DC729E"/>
    <w:rsid w:val="45034D45"/>
    <w:rsid w:val="45BE69EE"/>
    <w:rsid w:val="45C046FE"/>
    <w:rsid w:val="466752F2"/>
    <w:rsid w:val="469C43B4"/>
    <w:rsid w:val="46B95949"/>
    <w:rsid w:val="47056F72"/>
    <w:rsid w:val="47274BDA"/>
    <w:rsid w:val="473C4359"/>
    <w:rsid w:val="476F48BD"/>
    <w:rsid w:val="47F52506"/>
    <w:rsid w:val="48616501"/>
    <w:rsid w:val="48E14678"/>
    <w:rsid w:val="491875B7"/>
    <w:rsid w:val="498A77E3"/>
    <w:rsid w:val="498F1A9B"/>
    <w:rsid w:val="4A1D4FA7"/>
    <w:rsid w:val="4A46080E"/>
    <w:rsid w:val="4C026487"/>
    <w:rsid w:val="4C0902B0"/>
    <w:rsid w:val="4C4A3D1B"/>
    <w:rsid w:val="4C6C3DB1"/>
    <w:rsid w:val="4CC7150F"/>
    <w:rsid w:val="4D1A1CDF"/>
    <w:rsid w:val="4D2134DD"/>
    <w:rsid w:val="4D3032B0"/>
    <w:rsid w:val="4F1B2C8C"/>
    <w:rsid w:val="4FD82365"/>
    <w:rsid w:val="50103C1A"/>
    <w:rsid w:val="50865B92"/>
    <w:rsid w:val="516D7A79"/>
    <w:rsid w:val="518D2DB8"/>
    <w:rsid w:val="52050320"/>
    <w:rsid w:val="5283444E"/>
    <w:rsid w:val="53D85C9D"/>
    <w:rsid w:val="544B5FDC"/>
    <w:rsid w:val="54813591"/>
    <w:rsid w:val="54B54496"/>
    <w:rsid w:val="54DA05AA"/>
    <w:rsid w:val="54ED6EBD"/>
    <w:rsid w:val="54FB29CE"/>
    <w:rsid w:val="552117E0"/>
    <w:rsid w:val="55241A0D"/>
    <w:rsid w:val="552A088E"/>
    <w:rsid w:val="55C3647B"/>
    <w:rsid w:val="55FC2000"/>
    <w:rsid w:val="56064D2B"/>
    <w:rsid w:val="56067C81"/>
    <w:rsid w:val="56091C83"/>
    <w:rsid w:val="5667559D"/>
    <w:rsid w:val="576C2C57"/>
    <w:rsid w:val="58785589"/>
    <w:rsid w:val="5A05197F"/>
    <w:rsid w:val="5A221B66"/>
    <w:rsid w:val="5A5D05FC"/>
    <w:rsid w:val="5AD00162"/>
    <w:rsid w:val="5AD2718F"/>
    <w:rsid w:val="5AF347F1"/>
    <w:rsid w:val="5B2F06F8"/>
    <w:rsid w:val="5B9B762E"/>
    <w:rsid w:val="5BC540A8"/>
    <w:rsid w:val="5BFD58CF"/>
    <w:rsid w:val="5C7D7084"/>
    <w:rsid w:val="5CBE4936"/>
    <w:rsid w:val="5D0403B6"/>
    <w:rsid w:val="5D3D6DEF"/>
    <w:rsid w:val="5DCA0F26"/>
    <w:rsid w:val="5E263F67"/>
    <w:rsid w:val="5E540135"/>
    <w:rsid w:val="5F993740"/>
    <w:rsid w:val="606232AE"/>
    <w:rsid w:val="606E4E45"/>
    <w:rsid w:val="60AE592B"/>
    <w:rsid w:val="6106379C"/>
    <w:rsid w:val="617050B9"/>
    <w:rsid w:val="618D7A19"/>
    <w:rsid w:val="61B422A3"/>
    <w:rsid w:val="632471DC"/>
    <w:rsid w:val="64063AB3"/>
    <w:rsid w:val="649E38F9"/>
    <w:rsid w:val="64AD3AA5"/>
    <w:rsid w:val="64B42626"/>
    <w:rsid w:val="65110961"/>
    <w:rsid w:val="6648015B"/>
    <w:rsid w:val="666A6A65"/>
    <w:rsid w:val="670A7A34"/>
    <w:rsid w:val="68B021EF"/>
    <w:rsid w:val="69AA263B"/>
    <w:rsid w:val="6A687132"/>
    <w:rsid w:val="6B685C60"/>
    <w:rsid w:val="6B7439F8"/>
    <w:rsid w:val="6B8A0454"/>
    <w:rsid w:val="6C1A3DE9"/>
    <w:rsid w:val="6D375CEF"/>
    <w:rsid w:val="6D387555"/>
    <w:rsid w:val="6D865817"/>
    <w:rsid w:val="6DB23336"/>
    <w:rsid w:val="6DCC3F57"/>
    <w:rsid w:val="6E1E2DBD"/>
    <w:rsid w:val="6EE25D58"/>
    <w:rsid w:val="6F10581E"/>
    <w:rsid w:val="700A405F"/>
    <w:rsid w:val="704B7D1E"/>
    <w:rsid w:val="70C70C40"/>
    <w:rsid w:val="723F6B0D"/>
    <w:rsid w:val="73245A95"/>
    <w:rsid w:val="740B3259"/>
    <w:rsid w:val="74937AEF"/>
    <w:rsid w:val="74AB7E44"/>
    <w:rsid w:val="74E514C2"/>
    <w:rsid w:val="75653527"/>
    <w:rsid w:val="75C3369B"/>
    <w:rsid w:val="75D645FB"/>
    <w:rsid w:val="760D4499"/>
    <w:rsid w:val="76277D27"/>
    <w:rsid w:val="76497137"/>
    <w:rsid w:val="76A93F86"/>
    <w:rsid w:val="7763527B"/>
    <w:rsid w:val="776D5413"/>
    <w:rsid w:val="77733A96"/>
    <w:rsid w:val="779B2290"/>
    <w:rsid w:val="780649BD"/>
    <w:rsid w:val="78080136"/>
    <w:rsid w:val="78105AA2"/>
    <w:rsid w:val="786C12F2"/>
    <w:rsid w:val="792228BA"/>
    <w:rsid w:val="79407273"/>
    <w:rsid w:val="798C21A4"/>
    <w:rsid w:val="79DA6121"/>
    <w:rsid w:val="7A0D3680"/>
    <w:rsid w:val="7A7C72A1"/>
    <w:rsid w:val="7ACE0058"/>
    <w:rsid w:val="7AE07DDC"/>
    <w:rsid w:val="7AEE7234"/>
    <w:rsid w:val="7AF62418"/>
    <w:rsid w:val="7B7F7B3F"/>
    <w:rsid w:val="7CF32906"/>
    <w:rsid w:val="7D407BDD"/>
    <w:rsid w:val="7D816EE4"/>
    <w:rsid w:val="7EBC71A1"/>
    <w:rsid w:val="7F0D79C5"/>
    <w:rsid w:val="7F16390D"/>
    <w:rsid w:val="7F7D45B6"/>
    <w:rsid w:val="7F910AC4"/>
    <w:rsid w:val="7FA9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0"/>
    <w:pPr>
      <w:ind w:firstLine="200" w:firstLineChars="200"/>
    </w:pPr>
  </w:style>
  <w:style w:type="paragraph" w:customStyle="1" w:styleId="3">
    <w:name w:val="正文文本缩进1"/>
    <w:basedOn w:val="1"/>
    <w:qFormat/>
    <w:uiPriority w:val="0"/>
    <w:pPr>
      <w:spacing w:after="120"/>
      <w:ind w:left="200" w:leftChars="200"/>
    </w:pPr>
  </w:style>
  <w:style w:type="paragraph" w:styleId="4">
    <w:name w:val="Body Text"/>
    <w:basedOn w:val="1"/>
    <w:next w:val="5"/>
    <w:qFormat/>
    <w:uiPriority w:val="0"/>
    <w:pPr>
      <w:spacing w:after="120"/>
    </w:pPr>
  </w:style>
  <w:style w:type="paragraph" w:styleId="5">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semiHidden/>
    <w:qFormat/>
    <w:uiPriority w:val="0"/>
    <w:pPr>
      <w:snapToGrid w:val="0"/>
      <w:jc w:val="left"/>
    </w:pPr>
    <w:rPr>
      <w:kern w:val="0"/>
      <w:sz w:val="18"/>
      <w:szCs w:val="20"/>
    </w:rPr>
  </w:style>
  <w:style w:type="paragraph" w:styleId="9">
    <w:name w:val="Normal (Web)"/>
    <w:basedOn w:val="1"/>
    <w:qFormat/>
    <w:uiPriority w:val="0"/>
    <w:pPr>
      <w:spacing w:beforeAutospacing="1" w:afterAutospacing="1"/>
      <w:jc w:val="left"/>
    </w:pPr>
    <w:rPr>
      <w:kern w:val="0"/>
      <w:sz w:val="24"/>
    </w:rPr>
  </w:style>
  <w:style w:type="paragraph" w:styleId="10">
    <w:name w:val="Body Text First Indent 2"/>
    <w:basedOn w:val="1"/>
    <w:next w:val="1"/>
    <w:qFormat/>
    <w:uiPriority w:val="0"/>
    <w:pPr>
      <w:spacing w:after="120"/>
      <w:ind w:left="200" w:leftChars="200" w:firstLine="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21"/>
    <w:qFormat/>
    <w:uiPriority w:val="0"/>
    <w:rPr>
      <w:rFonts w:hint="eastAsia" w:ascii="宋体" w:hAnsi="宋体" w:eastAsia="宋体"/>
      <w:color w:val="000000"/>
      <w:sz w:val="20"/>
      <w:szCs w:val="20"/>
      <w:u w:val="none"/>
    </w:rPr>
  </w:style>
  <w:style w:type="character" w:customStyle="1" w:styleId="15">
    <w:name w:val="font61"/>
    <w:qFormat/>
    <w:uiPriority w:val="0"/>
    <w:rPr>
      <w:rFonts w:hint="default" w:ascii="Times New Roman" w:hAnsi="Times New Roman" w:cs="Times New Roman"/>
      <w:color w:val="000000"/>
      <w:sz w:val="20"/>
      <w:szCs w:val="20"/>
      <w:u w:val="none"/>
    </w:rPr>
  </w:style>
  <w:style w:type="character" w:customStyle="1" w:styleId="16">
    <w:name w:val="font51"/>
    <w:qFormat/>
    <w:uiPriority w:val="0"/>
    <w:rPr>
      <w:rFonts w:hint="eastAsia" w:ascii="宋体" w:hAnsi="宋体" w:eastAsia="宋体"/>
      <w:color w:val="000000"/>
      <w:sz w:val="20"/>
      <w:szCs w:val="20"/>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81"/>
    <w:basedOn w:val="13"/>
    <w:qFormat/>
    <w:uiPriority w:val="0"/>
    <w:rPr>
      <w:rFonts w:ascii="DejaVu Sans" w:hAnsi="DejaVu Sans" w:eastAsia="DejaVu Sans" w:cs="DejaVu Sans"/>
      <w:color w:val="FF0000"/>
      <w:sz w:val="18"/>
      <w:szCs w:val="18"/>
      <w:u w:val="none"/>
    </w:rPr>
  </w:style>
  <w:style w:type="character" w:customStyle="1" w:styleId="19">
    <w:name w:val="font31"/>
    <w:basedOn w:val="13"/>
    <w:qFormat/>
    <w:uiPriority w:val="0"/>
    <w:rPr>
      <w:rFonts w:hint="default" w:ascii="方正书宋_GBK" w:hAnsi="方正书宋_GBK" w:eastAsia="方正书宋_GBK" w:cs="方正书宋_GBK"/>
      <w:color w:val="FF0000"/>
      <w:sz w:val="18"/>
      <w:szCs w:val="18"/>
      <w:u w:val="none"/>
    </w:rPr>
  </w:style>
  <w:style w:type="paragraph" w:customStyle="1" w:styleId="20">
    <w:name w:val="_Style 2"/>
    <w:next w:val="1"/>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113025</Words>
  <Characters>115694</Characters>
  <Lines>837</Lines>
  <Paragraphs>235</Paragraphs>
  <TotalTime>1</TotalTime>
  <ScaleCrop>false</ScaleCrop>
  <LinksUpToDate>false</LinksUpToDate>
  <CharactersWithSpaces>116252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2023-07-31T07:11:00Z</dcterms:created>
  <dc:creator>暖暖</dc:creator>
  <cp:lastModifiedBy>Administrator</cp:lastModifiedBy>
  <dcterms:modified xsi:type="dcterms:W3CDTF">2023-08-31T08:36:47Z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9A4EC42DCAA74B199257E6CFD84517CA_13</vt:lpwstr>
  </property>
</Properties>
</file>