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hint="eastAsia" w:ascii="Times New Roman" w:hAnsi="Times New Roman" w:eastAsia="方正小标宋简体" w:cs="方正小标宋简体"/>
          <w:snapToGrid w:val="0"/>
          <w:color w:val="auto"/>
          <w:sz w:val="44"/>
          <w:szCs w:val="44"/>
        </w:rPr>
      </w:pPr>
      <w:bookmarkStart w:id="0" w:name="_Toc89999792"/>
      <w:r>
        <w:rPr>
          <w:rFonts w:hint="eastAsia" w:eastAsia="方正小标宋简体" w:cs="方正小标宋简体"/>
          <w:snapToGrid w:val="0"/>
          <w:color w:val="auto"/>
          <w:sz w:val="44"/>
          <w:szCs w:val="44"/>
          <w:lang w:eastAsia="zh-CN"/>
        </w:rPr>
        <w:t>融水苗族自治县</w:t>
      </w:r>
      <w:r>
        <w:rPr>
          <w:rFonts w:hint="eastAsia" w:eastAsia="方正小标宋简体" w:cs="方正小标宋简体"/>
          <w:snapToGrid w:val="0"/>
          <w:color w:val="auto"/>
          <w:sz w:val="44"/>
          <w:szCs w:val="44"/>
          <w:lang w:val="en-US" w:eastAsia="zh-CN"/>
        </w:rPr>
        <w:t>大浪</w:t>
      </w:r>
      <w:r>
        <w:rPr>
          <w:rFonts w:hint="eastAsia" w:eastAsia="方正小标宋简体" w:cs="方正小标宋简体"/>
          <w:snapToGrid w:val="0"/>
          <w:color w:val="auto"/>
          <w:sz w:val="44"/>
          <w:szCs w:val="44"/>
          <w:lang w:eastAsia="zh-CN"/>
        </w:rPr>
        <w:t>镇人民政府</w:t>
      </w:r>
      <w:r>
        <w:rPr>
          <w:rFonts w:hint="eastAsia" w:ascii="Times New Roman" w:hAnsi="Times New Roman" w:eastAsia="方正小标宋简体" w:cs="方正小标宋简体"/>
          <w:snapToGrid w:val="0"/>
          <w:color w:val="auto"/>
          <w:sz w:val="44"/>
          <w:szCs w:val="44"/>
        </w:rPr>
        <w:t>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2"/>
        <w:gridCol w:w="2939"/>
        <w:gridCol w:w="2730"/>
        <w:gridCol w:w="3811"/>
        <w:gridCol w:w="2969"/>
        <w:gridCol w:w="4161"/>
        <w:gridCol w:w="1170"/>
        <w:gridCol w:w="73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7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rPr>
              <w:t>实施</w:t>
            </w:r>
            <w:r>
              <w:rPr>
                <w:rFonts w:hint="eastAsia" w:ascii="仿宋_GB2312" w:hAnsi="仿宋_GB2312" w:eastAsia="仿宋_GB2312" w:cs="仿宋_GB2312"/>
                <w:snapToGrid w:val="0"/>
                <w:color w:val="auto"/>
                <w:sz w:val="20"/>
                <w:szCs w:val="20"/>
                <w:lang w:val="en-US" w:eastAsia="zh-CN"/>
              </w:rPr>
              <w:t>主体</w:t>
            </w:r>
          </w:p>
        </w:tc>
        <w:tc>
          <w:tcPr>
            <w:tcW w:w="782"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承办的内设机构</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auto"/>
                <w:sz w:val="20"/>
                <w:szCs w:val="20"/>
              </w:rPr>
            </w:pPr>
            <w:r>
              <w:rPr>
                <w:rFonts w:hint="eastAsia" w:ascii="仿宋_GB2312" w:hAnsi="仿宋_GB2312" w:eastAsia="仿宋_GB2312" w:cs="仿宋_GB2312"/>
                <w:snapToGrid w:val="0"/>
                <w:color w:val="auto"/>
                <w:sz w:val="20"/>
                <w:szCs w:val="20"/>
              </w:rPr>
              <w:t>设定依据</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行行政许可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大大浪镇人民政府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社会事务办公室</w:t>
            </w:r>
          </w:p>
        </w:tc>
        <w:tc>
          <w:tcPr>
            <w:tcW w:w="293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适龄儿童、少年因身体状况需要延缓入学或者休学的，其父母或者其他法定监护人应当提出申请，由当地乡镇人民政府或者县级人民政府教育行政部门批准。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 xml:space="preserve">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除法律、法规授权组织外，实施行政许可，应当以教育行政部门名义作出。有关行政许可的文书、证件，应当以实施行政许可的教育行政部门名义签发并对外发布。</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教育行政部门应当按照行政许可法的规定，建立检查、备案、档案管理等制度。对被许可人从事行政许可事项的活动进行监督检查时，应当制作笔录，笔录归档后，公众有权查阅。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法律法规规章规定的免责情形</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center"/>
              <w:rPr>
                <w:rFonts w:hint="eastAsia" w:ascii="仿宋_GB2312" w:hAnsi="仿宋_GB2312" w:eastAsia="仿宋_GB2312" w:cs="仿宋_GB2312"/>
                <w:kern w:val="0"/>
                <w:sz w:val="20"/>
                <w:szCs w:val="20"/>
                <w:lang w:eastAsia="zh-CN"/>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200" w:firstLineChars="1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w:t>
            </w:r>
          </w:p>
        </w:tc>
        <w:tc>
          <w:tcPr>
            <w:tcW w:w="45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乡村建设规划许可证核发</w:t>
            </w:r>
          </w:p>
        </w:tc>
        <w:tc>
          <w:tcPr>
            <w:tcW w:w="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p>
        </w:tc>
        <w:tc>
          <w:tcPr>
            <w:tcW w:w="44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X大浪镇人民政府</w:t>
            </w:r>
          </w:p>
        </w:tc>
        <w:tc>
          <w:tcPr>
            <w:tcW w:w="78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第三十八条：村民在乡、村庄规划区范围内进行住宅建设的，应当办理乡村建设规划许可证。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县级人民政府城乡规划主管部门可以委托乡（镇）人民政府核发乡村建设规划许可证。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在乡、村庄规划区内进行本条第一款规定的建设，应当在取得乡村建设规划许可证后，依法办理用地审批手续。</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2.审查责任：按照政策规定对书面材料进行审查，提出是否同意审批的初步意见，告知申请人、利害相关人享有听证权利；涉及公共利益的重大许可，向社会公告，并举行听证。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4.送达责任：准予许可的制发送达审批决定。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5.事后监管环节责任：分管领导对审批后的相关事宜实施监督管理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3-1.【法律】《中华人民共和国行政许可法》第三十七条：行政机关对行政许可申请进行审.查后，除了当场作出行政许可决定的，应在法定期限内按照规定程序作出行政许可决定。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4-1.【法律】《中华人民共和国行政许可法》第四十条：行政机关作出的准予行政许可决定，应当予以公开，公众有权查阅。</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tc>
        <w:tc>
          <w:tcPr>
            <w:tcW w:w="4161"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法律法规规章规定的免责情况。</w:t>
            </w:r>
          </w:p>
        </w:tc>
        <w:tc>
          <w:tcPr>
            <w:tcW w:w="73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c>
          <w:tcPr>
            <w:tcW w:w="457"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工商企业等社会资本通过流转取得土地经营权审批</w:t>
            </w:r>
          </w:p>
        </w:tc>
        <w:tc>
          <w:tcPr>
            <w:tcW w:w="575"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大浪镇人民政府</w:t>
            </w:r>
          </w:p>
        </w:tc>
        <w:tc>
          <w:tcPr>
            <w:tcW w:w="782"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第三十六条：承包方可以自主决定依法采取出租（转包）、入股或者其他方式向他人流转土地经营权，并向发包方备案。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2.【部门规章】《农村土地经营权流转管理办法》第二十九条 ：县级以上地方人民政府对工商企业等社会资本流转土地经营权，依法建立分级资格审查和项目审核制度。审查审核的一般程序如下：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1.受理责任：公示应当提交的材料，当场一次性告知补正材料，依法受理或不予受理（不予受理应当告知理由）。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2.审查责任：对提交材料进行审查，审查是否符合条件，提出审查意见。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4.送达责任：制作拖拉机、联合收割机驾驶证，送达并公开信息。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2.【法律】《中华人民共和国农村土地承包法》（根据2018年12月29日第十三届全国人民代表大会常务委员会第七次会议《关于修改〈中华人民共和国农村土地承包法〉的决定》第二次修正）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70" w:type="dxa"/>
            <w:tcBorders>
              <w:top w:val="single" w:color="auto" w:sz="4" w:space="0"/>
              <w:bottom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bottom w:val="single" w:color="auto" w:sz="4" w:space="0"/>
              <w:right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45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农村村民宅基地审批</w:t>
            </w:r>
          </w:p>
        </w:tc>
        <w:tc>
          <w:tcPr>
            <w:tcW w:w="575"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大浪镇人民政府</w:t>
            </w:r>
          </w:p>
        </w:tc>
        <w:tc>
          <w:tcPr>
            <w:tcW w:w="782"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【法律】《中华人民共和国土地管理法》第六十二条：农村村民一户只能拥有一处宅基地，其宅基地的面积不得超过省、自治区、直辖市规定的标准。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农村村民住宅用地，由乡（镇）人民政府审核批准；其中，涉及占用农用地的，依照本法第四十四条的规定办理审批手续。</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农村村民出卖、出租、赠与住宅后，再申请宅基地的，不予批准。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国家允许进城落户的农村村民依法自愿有偿退出宅基地，鼓励农村集体经济组织及其成员盘活利用闲置宅基地和闲置住宅。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国务院农业农村主管部门负责全国农村宅基地改革和管理有关工作。</w:t>
            </w:r>
          </w:p>
        </w:tc>
        <w:tc>
          <w:tcPr>
            <w:tcW w:w="273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2.审查责任：审查申请材料，组织现场检查。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6.其他法律法规规章文件规定应履行的责任。</w:t>
            </w:r>
          </w:p>
        </w:tc>
        <w:tc>
          <w:tcPr>
            <w:tcW w:w="381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（一）申请事项依法不需要取得行政许可的，应当即时告知申请人不受理；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（三）申请材料存在可以当场更正的错误的，应当允许申请人当场更正；</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3.【法律】《中华人民共和国行政许可法》第三十七条：行政机关对行政许可申请进行审查后，除当场作出行政许可决定的外，应当在法定期限内按照规定程序作出行政许可决定。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超过省、自治区、直辖市规定的标准，多占的土地以非法占用土地论处。</w:t>
            </w:r>
          </w:p>
        </w:tc>
        <w:tc>
          <w:tcPr>
            <w:tcW w:w="2969"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2.行政机关工作人员办理行政许可、实施监督检查，索取或者收受他人财物或者谋取其他利益。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3.行政机关实施行政许可，擅自收费或者不按照法定项目和标准收费的。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4.行政机关违法实施行政许可，给当事人的合法权益造成损害的</w:t>
            </w:r>
          </w:p>
        </w:tc>
        <w:tc>
          <w:tcPr>
            <w:tcW w:w="4161"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第七十三条 行政机关工作人员办理行政许可、实施监督检查，索取或者收受他人财物或者谋取其他利益，构成犯罪的，依法追究刑事责任；尚不构成犯罪的，依法给予行政处分。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第七十六条 行政机关违法实施行政许可，给当事人的合法权益造成损害的，应当依照国家赔偿法的规定给予赔偿。</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1170"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auto" w:sz="4" w:space="0"/>
            </w:tcBorders>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在村庄、集镇规划区内公共场所修建临时建筑等设施审批</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大浪镇人民政府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2.审查责任：审查申请材料，组织专家审查。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3.决定责任：作出行政许可或者不予行政许可决定，法定告知（不予许可的应当书面告知理由）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4.送达责任：准予许可的，制发许可证书或批件，送达并信息公开。</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5.监管责任：建立企业诚信信息库，建立实施监督检查的运行机制和管理制度，开展定期和不定期检查，依法采取相关处置措施。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w:t>
            </w:r>
            <w:r>
              <w:rPr>
                <w:rFonts w:hint="eastAsia" w:ascii="仿宋_GB2312" w:hAnsi="仿宋_GB2312" w:eastAsia="仿宋_GB2312" w:cs="仿宋_GB2312"/>
                <w:kern w:val="0"/>
                <w:sz w:val="20"/>
                <w:szCs w:val="20"/>
                <w:lang w:val="en" w:eastAsia="zh-C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lang w:val="en-US" w:eastAsia="zh-CN"/>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1.对符合条件的申请不予办理或不在法定期限内办理；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2.对不符合许可条件的予以许可的；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3.未严格审查申报材料或弄虚作假审批、有失职行为，造成消防验收受到损害的；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4.不按照法定条件或者违反法定程序审核、审批，以及乱收费用，情节严重的；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5.在审批过程中徇私舞弊、滥用职权、玩忽职守的；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6.利用职务上的便利，索取他人财物，为他人谋取利益的；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7.除以上追责情形外，其他违反法律法规规章的行为依法追究相应责任。</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法律法规规定的免责情形以及县委、县人民政府有关文件中明确的免责情形。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【行政法规】《村庄和集镇规划建设管理条例》（中华人民共和国国务院令第116号）第六条 国务院建设行政主管部门主管全国的村庄、集镇规划建设管理工作。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县级以上地方人民政府建设行政主管部门主管本行政区域的村庄、集镇规划建设管理工作。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乡级人民政府负责本行政区域的村庄、集镇规划建设管理工作。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行政许可</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林木采伐许可证核发</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大浪镇人民政府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第五十九条符合林木采伐技术规程的，审核发放采伐许可证的部门应当及时核发采伐许可证。但是，审核发放采伐许可证的部门不得超过年采伐限额发放采伐许可证。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1.受理责任：公示依法应当提交的材料；一次性告知补正材料；依法受理或不予受理（不予受理应当告知理由）。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2.审查责任：对申请材料进行审查，提出是否同意审批的初步意见；直接关系他人重大利益的，告知利害相关人并听取意见。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3.决定责任：作出准予或者不予行政许可决定。不予许可的书面告知理由。</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4.送达责任：送达审批决定，公开许可结果。</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5.事后监管责任：建立实施监督检查的工作机制，并按照规定开展检查，依法采取相关处置措施。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6.法律法规规章文件规定的其他应履行的责任。</w:t>
            </w:r>
          </w:p>
        </w:tc>
        <w:tc>
          <w:tcPr>
            <w:tcW w:w="381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因不履行或不正确履行行政职责，有下列情形的，行政机关及相关工作人员应承担相应责任：</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1.对符合法定条件的行政许可申请不予受理的。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2.不在办公场所公示依法应当公示的材料的。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4.申请人提交的申请材料不齐全、不符合法定形式，不一次告知申请人必须补正的全部内容的。 </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6.向申请人提出不正当要求的；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7.无正当理由对符合法定条件的申请不予受理、不予批准的。</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8.其他违反法律法规规章规定的行为。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161"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both"/>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法律法规规定的免责情形及县委、县人民政府以及县级以上党委人民政府有关文件中明确的免责情形。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w:t>
            </w: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违反乡村清洁规定行为的处罚</w:t>
            </w: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大浪镇人民政府</w:t>
            </w:r>
          </w:p>
        </w:tc>
        <w:tc>
          <w:tcPr>
            <w:tcW w:w="782"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第十九条第三款：任何单位和个人不得在非指定地点倾倒、抛撒或者堆放建筑垃圾。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5.决定责任：作出行政处罚决定，制作行政处罚决定书。</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8.监督责任：对行政处罚决定执行情况进行监督检查。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vMerge w:val="restart"/>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符合立案标准的，行政机关应当及时立案。</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执法人员应当文明执法，尊重和保护当事人合法权益。</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shd w:val="clear" w:color="auto" w:fill="FFFFFF"/>
            <w:noWrap w:val="0"/>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keepNext w:val="0"/>
              <w:keepLines w:val="0"/>
              <w:pageBreakBefore w:val="0"/>
              <w:numPr>
                <w:numId w:val="0"/>
              </w:numPr>
              <w:kinsoku/>
              <w:wordWrap/>
              <w:overflowPunct/>
              <w:topLinePunct w:val="0"/>
              <w:autoSpaceDE/>
              <w:autoSpaceDN/>
              <w:bidi w:val="0"/>
              <w:adjustRightInd w:val="0"/>
              <w:snapToGrid w:val="0"/>
              <w:spacing w:line="300" w:lineRule="exact"/>
              <w:jc w:val="left"/>
              <w:rPr>
                <w:rFonts w:hint="default"/>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kern w:val="0"/>
                <w:sz w:val="20"/>
                <w:szCs w:val="20"/>
                <w:lang w:val="en-US" w:eastAsia="zh-CN" w:bidi="ar"/>
              </w:rPr>
            </w:pPr>
          </w:p>
        </w:tc>
        <w:tc>
          <w:tcPr>
            <w:tcW w:w="45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lang w:eastAsia="zh-CN"/>
              </w:rPr>
            </w:pPr>
          </w:p>
        </w:tc>
        <w:tc>
          <w:tcPr>
            <w:tcW w:w="48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575"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kern w:val="2"/>
                <w:sz w:val="20"/>
                <w:szCs w:val="20"/>
                <w:lang w:val="en-US" w:eastAsia="zh-CN" w:bidi="ar-SA"/>
              </w:rPr>
            </w:pPr>
          </w:p>
        </w:tc>
        <w:tc>
          <w:tcPr>
            <w:tcW w:w="443"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p>
        </w:tc>
        <w:tc>
          <w:tcPr>
            <w:tcW w:w="782" w:type="dxa"/>
            <w:shd w:val="clear" w:color="auto" w:fill="FFFFFF"/>
            <w:noWrap w:val="0"/>
            <w:tcMar>
              <w:top w:w="57" w:type="dxa"/>
              <w:left w:w="57" w:type="dxa"/>
              <w:bottom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auto"/>
                <w:sz w:val="20"/>
                <w:szCs w:val="20"/>
              </w:rPr>
            </w:pPr>
          </w:p>
        </w:tc>
        <w:tc>
          <w:tcPr>
            <w:tcW w:w="2939"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auto"/>
                <w:kern w:val="0"/>
                <w:sz w:val="20"/>
                <w:szCs w:val="20"/>
              </w:rPr>
            </w:pPr>
          </w:p>
        </w:tc>
        <w:tc>
          <w:tcPr>
            <w:tcW w:w="2730"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color w:val="000000"/>
                <w:sz w:val="20"/>
                <w:szCs w:val="20"/>
              </w:rPr>
            </w:pPr>
          </w:p>
        </w:tc>
        <w:tc>
          <w:tcPr>
            <w:tcW w:w="3811" w:type="dxa"/>
            <w:vMerge w:val="continue"/>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390" w:firstLineChars="0"/>
              <w:jc w:val="left"/>
              <w:rPr>
                <w:rFonts w:hint="eastAsia" w:ascii="仿宋_GB2312" w:hAnsi="仿宋_GB2312" w:eastAsia="仿宋_GB2312" w:cs="仿宋_GB2312"/>
                <w:b w:val="0"/>
                <w:bCs w:val="0"/>
                <w:color w:val="000000"/>
                <w:kern w:val="0"/>
                <w:sz w:val="20"/>
                <w:szCs w:val="20"/>
                <w:lang w:val="en-US" w:eastAsia="zh-CN" w:bidi="ar-SA"/>
              </w:rPr>
            </w:pPr>
          </w:p>
        </w:tc>
        <w:tc>
          <w:tcPr>
            <w:tcW w:w="2969"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4161" w:type="dxa"/>
            <w:shd w:val="clear" w:color="auto" w:fill="FFFFFF"/>
            <w:noWrap w:val="0"/>
            <w:tcMar>
              <w:top w:w="57" w:type="dxa"/>
              <w:left w:w="57" w:type="dxa"/>
              <w:bottom w:w="57" w:type="dxa"/>
              <w:right w:w="57" w:type="dxa"/>
            </w:tcMar>
            <w:vAlign w:val="center"/>
          </w:tcPr>
          <w:p>
            <w:pPr>
              <w:pStyle w:val="8"/>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lang w:val="en-US" w:eastAsia="zh-CN"/>
              </w:rPr>
            </w:pPr>
          </w:p>
        </w:tc>
        <w:tc>
          <w:tcPr>
            <w:tcW w:w="1170"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eastAsia="zh-CN"/>
              </w:rPr>
            </w:pPr>
          </w:p>
        </w:tc>
        <w:tc>
          <w:tcPr>
            <w:tcW w:w="737" w:type="dxa"/>
            <w:shd w:val="clear" w:color="auto" w:fill="FFFFFF"/>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【地方性法规】《广西壮族自治区乡村规划建设管理条例》（2018年广西壮族自治区第十三届人民代表大会常务委员会公告第13号）第五十条第二款：任何单位和个人不得擅自占用和损坏乡村公共设施。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1.立案责任：根据日常监管和投诉情况，进行相关监督检查和核实，决定是否立案受理。</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2.调查取证责任：对立案的案件展开调查和取证，制作调查笔录，调查结束出具书面调查终结报告。在调查取证时，应由2名以上执法人员参加，并向当事人出示有效的行政执法证件，允许当事人辩解陈述。</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3.审查核实责任：按照有关规定对案件违法事实、证据、调查取证程序、法律适用、处罚种类和幅度、当事人陈述和申辩理由等方面进行审查，提出处理意见（主要证据不足时，以适当的方式补充调查）。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4.告知责任：作出行政处罚决定前，制作《行政处罚告知书》送达当事人，告知违法事实及其享有的陈述、申辩等权利。符合听证规定的，制作并送达《行政处罚听证告知书》。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5.决定责任：作出行政处罚决定，制作行政处罚决定书。</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7.执行责任：监督当事人在决定的期限内，履行生效的行政处罚决定。当事人在法定期限内不申请行政复议或者提起行政诉讼，又不履行的，可依法采取申请人民法院强制执行。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8.监督责任：对行政处罚决定执行情况进行监督检查。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7-2.【部门规章】《住房和城乡建设行政处罚程序规定》（2022年建设部令第55号）第三十八条：当事人不履行行政处罚决定，执法机关可以依法强制执行或者申请人民法院强制执行。</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1.没有法律和事实依据实施行政处罚的；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2.行政处罚显失公正的；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5.因处罚不当给当事人造成损失的；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6.不具备行政执法资格实施行政处罚的；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8.符合听证条件，行政管理相对人要求听证，应予组织听证而不组织听证的；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9.在行政处罚过程中发生腐败行为的；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8.同1.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kern w:val="2"/>
                <w:sz w:val="20"/>
                <w:szCs w:val="20"/>
                <w:highlight w:val="none"/>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1.立案责任：通过举报、巡查、移送、上级交办等发现违法行为后开展调查，符合立案标准的予以立案。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2.调查取证责任：指定专人负责，及时组织调查取证，通过搜集证据、现场了解核实情况等进行调查，制作笔录。调查时应出示执法证件，执法人员不得少于二人，依法回避。</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3.审查责任：审查案件调查报告，对案件违法事实、证据、调查取证程序、法律适用、处罚种类和幅度、当事人陈述和申辩理由等方面进行审查，提出处理意见。</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4.告知责任：作出行政处罚决定前，应制作《行政处罚告知书》送达当事人，告知违法事实及其享有的陈述、申辩等权利。符合听证规定的，告知听证权。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6.送达责任：当场送达或在七日内依照民事诉讼法的有关规定送达。</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7.执行责任：依照生效的行政处罚决定，自觉履行或强制执行。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1.没有法律和事实依据实施处罚的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2.擅自改变处罚种类、幅度的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3.违反法定的处罚程序的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4.违反“罚缴分离”规定，擅自收取罚款以及截留、私分或者变相私分罚款的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5.滥用职权、滥施处罚，给当事人造成损失的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6.对当事人进行处罚不使用罚款、没收财物单据或者使用非法定部门制发的罚款、没收财物单据的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snapToGrid w:val="0"/>
                <w:color w:val="000000" w:themeColor="text1"/>
                <w:kern w:val="2"/>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i w:val="0"/>
                <w:iCs w:val="0"/>
                <w:caps w:val="0"/>
                <w:color w:val="000000" w:themeColor="text1"/>
                <w:spacing w:val="0"/>
                <w:kern w:val="2"/>
                <w:sz w:val="20"/>
                <w:szCs w:val="20"/>
                <w:highlight w:val="none"/>
                <w:shd w:val="clear" w:fill="FFFFFF"/>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000000" w:themeColor="text1"/>
                <w:kern w:val="0"/>
                <w:sz w:val="20"/>
                <w:szCs w:val="20"/>
                <w:highlight w:val="none"/>
                <w:lang w:val="en-US" w:eastAsia="zh-CN" w:bidi="ar-SA"/>
                <w14:textFill>
                  <w14:solidFill>
                    <w14:schemeClr w14:val="tx1"/>
                  </w14:solidFill>
                </w14:textFill>
              </w:rPr>
            </w:pPr>
            <w:r>
              <w:rPr>
                <w:rFonts w:hint="eastAsia" w:ascii="仿宋_GB2312" w:hAnsi="仿宋_GB2312" w:eastAsia="仿宋_GB2312" w:cs="仿宋_GB2312"/>
                <w:color w:val="auto"/>
                <w:kern w:val="0"/>
                <w:sz w:val="20"/>
                <w:szCs w:val="20"/>
                <w:lang w:val="en-US" w:eastAsia="zh-CN"/>
              </w:rPr>
              <w:t>县级辖区内，国有林场和自然保护区内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由县林业局行使；乡镇集体林区内</w:t>
            </w:r>
            <w:r>
              <w:rPr>
                <w:rFonts w:hint="eastAsia" w:ascii="仿宋_GB2312" w:hAnsi="仿宋_GB2312" w:eastAsia="仿宋_GB2312" w:cs="仿宋_GB2312"/>
                <w:color w:val="auto"/>
                <w:kern w:val="0"/>
                <w:sz w:val="20"/>
                <w:szCs w:val="20"/>
              </w:rPr>
              <w:t>对滥伐林木的处罚</w:t>
            </w:r>
            <w:r>
              <w:rPr>
                <w:rFonts w:hint="eastAsia" w:ascii="仿宋_GB2312" w:hAnsi="仿宋_GB2312" w:eastAsia="仿宋_GB2312" w:cs="仿宋_GB2312"/>
                <w:color w:val="auto"/>
                <w:kern w:val="0"/>
                <w:sz w:val="20"/>
                <w:szCs w:val="20"/>
                <w:lang w:val="en-US" w:eastAsia="zh-CN"/>
              </w:rPr>
              <w:t>由乡镇人民政府行使。</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仿宋_GB2312" w:hAnsi="仿宋_GB2312" w:eastAsia="仿宋_GB2312" w:cs="仿宋_GB2312"/>
                <w:color w:val="000000" w:themeColor="text1"/>
                <w:kern w:val="0"/>
                <w:sz w:val="20"/>
                <w:szCs w:val="2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i w:val="0"/>
                <w:iCs w:val="0"/>
                <w:color w:val="auto"/>
                <w:kern w:val="2"/>
                <w:sz w:val="20"/>
                <w:szCs w:val="20"/>
                <w:u w:val="none"/>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2"/>
                <w:sz w:val="20"/>
                <w:szCs w:val="20"/>
                <w:u w:val="none"/>
                <w:lang w:val="en-US" w:eastAsia="zh-CN" w:bidi="ar"/>
              </w:rPr>
            </w:pPr>
            <w:r>
              <w:rPr>
                <w:rFonts w:hint="eastAsia" w:ascii="仿宋_GB2312" w:hAnsi="仿宋_GB2312" w:eastAsia="仿宋_GB2312" w:cs="仿宋_GB2312"/>
                <w:color w:val="auto"/>
                <w:kern w:val="2"/>
                <w:sz w:val="20"/>
                <w:szCs w:val="20"/>
                <w:u w:val="none"/>
                <w:lang w:val="en-US" w:eastAsia="zh-CN" w:bidi="ar"/>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auto"/>
                <w:kern w:val="2"/>
                <w:sz w:val="20"/>
                <w:szCs w:val="20"/>
                <w:u w:val="none"/>
                <w:lang w:val="en-US" w:eastAsia="zh-CN" w:bidi="ar"/>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32"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20"/>
                <w:szCs w:val="20"/>
                <w:shd w:val="clear"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行政机关实施行政处罚，有下列情形之一</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firstLine="400" w:firstLineChars="200"/>
              <w:jc w:val="left"/>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20"/>
                <w:szCs w:val="20"/>
                <w14:textFill>
                  <w14:solidFill>
                    <w14:schemeClr w14:val="tx1"/>
                  </w14:solidFill>
                </w14:textFill>
              </w:rPr>
              <w:t>行政机关对当事人进行处罚不使用罚款、没收财物单据或者使用非法定部门制发的罚款、没收财物单据的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numPr>
                <w:ilvl w:val="0"/>
                <w:numId w:val="0"/>
              </w:numPr>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行政机关违反本法第六十七条的规定自行收缴罚款的，财政部门违反本法第七十四条的规定向行政机关返还罚款、没收的违法所得或者拍卖款项的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exact"/>
              <w:ind w:left="0" w:leftChars="0" w:firstLine="400" w:firstLineChars="200"/>
              <w:jc w:val="left"/>
              <w:textAlignment w:val="auto"/>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行政机关截留、私分或者变相私分罚款、没收的违法所得或者财物的</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after="0" w:line="300" w:lineRule="exact"/>
              <w:ind w:left="0" w:leftChars="0" w:firstLine="400" w:firstLineChars="200"/>
              <w:jc w:val="left"/>
              <w:textAlignment w:val="auto"/>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1.【法律】《行政处罚法》</w:t>
            </w:r>
            <w:r>
              <w:rPr>
                <w:rFonts w:hint="eastAsia" w:ascii="仿宋_GB2312" w:hAnsi="仿宋_GB2312" w:eastAsia="仿宋_GB2312" w:cs="仿宋_GB2312"/>
                <w:color w:val="000000" w:themeColor="text1"/>
                <w:kern w:val="0"/>
                <w:sz w:val="20"/>
                <w:szCs w:val="20"/>
                <w14:textFill>
                  <w14:solidFill>
                    <w14:schemeClr w14:val="tx1"/>
                  </w14:solidFill>
                </w14:textFill>
              </w:rPr>
              <w:t>第七十六条　行政机关实施行政处罚，有下列情形之一，由上级行政机关或者有关机关责令改正，对直接负责的主管人员和其他直接责任人员依法给予处分：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pageBreakBefore w:val="0"/>
              <w:widowControl/>
              <w:shd w:val="clear" w:color="auto" w:fill="FFFFFF"/>
              <w:kinsoku/>
              <w:wordWrap/>
              <w:overflowPunct/>
              <w:topLinePunct w:val="0"/>
              <w:autoSpaceDE/>
              <w:autoSpaceDN/>
              <w:bidi w:val="0"/>
              <w:spacing w:line="300" w:lineRule="exact"/>
              <w:ind w:firstLine="480"/>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450" w:beforeAutospacing="0" w:after="450" w:afterAutospacing="0" w:line="300" w:lineRule="exact"/>
              <w:ind w:left="0" w:right="0" w:firstLine="0"/>
              <w:jc w:val="left"/>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 xml:space="preserve">    </w:t>
            </w:r>
            <w:r>
              <w:rPr>
                <w:rStyle w:val="17"/>
                <w:rFonts w:hint="eastAsia" w:ascii="仿宋_GB2312" w:hAnsi="仿宋_GB2312" w:eastAsia="仿宋_GB2312" w:cs="仿宋_GB2312"/>
                <w:color w:val="000000" w:themeColor="text1"/>
                <w:sz w:val="20"/>
                <w:szCs w:val="20"/>
                <w14:textFill>
                  <w14:solidFill>
                    <w14:schemeClr w14:val="tx1"/>
                  </w14:solidFill>
                </w14:textFill>
              </w:rPr>
              <w:t>2.【</w:t>
            </w:r>
            <w:r>
              <w:rPr>
                <w:rStyle w:val="17"/>
                <w:rFonts w:hint="eastAsia" w:ascii="仿宋_GB2312" w:hAnsi="仿宋_GB2312" w:eastAsia="仿宋_GB2312" w:cs="仿宋_GB2312"/>
                <w:color w:val="000000" w:themeColor="text1"/>
                <w:sz w:val="20"/>
                <w:szCs w:val="20"/>
                <w:lang w:val="en-US" w:eastAsia="zh-CN"/>
                <w14:textFill>
                  <w14:solidFill>
                    <w14:schemeClr w14:val="tx1"/>
                  </w14:solidFill>
                </w14:textFill>
              </w:rPr>
              <w:t>法律</w:t>
            </w:r>
            <w:r>
              <w:rPr>
                <w:rStyle w:val="17"/>
                <w:rFonts w:hint="eastAsia" w:ascii="仿宋_GB2312" w:hAnsi="仿宋_GB2312" w:eastAsia="仿宋_GB2312" w:cs="仿宋_GB2312"/>
                <w:color w:val="000000" w:themeColor="text1"/>
                <w:sz w:val="20"/>
                <w:szCs w:val="20"/>
                <w14:textFill>
                  <w14:solidFill>
                    <w14:schemeClr w14:val="tx1"/>
                  </w14:solidFill>
                </w14:textFill>
              </w:rPr>
              <w:t>】《中华人民共和国土地管理法》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第八十四条　自然资源主管部门、农业农村主管部门的工作人员玩忽职守、滥用职权、徇私舞弊，构成犯罪的，依法追究刑事责任；尚不构成犯罪的，依法给予处分。</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b w:val="0"/>
                <w:bCs w:val="0"/>
                <w:color w:val="000000" w:themeColor="text1"/>
                <w:kern w:val="2"/>
                <w:sz w:val="20"/>
                <w:szCs w:val="20"/>
                <w:lang w:val="en-US" w:eastAsia="zh-CN" w:bidi="ar-SA"/>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00" w:firstLineChars="200"/>
              <w:jc w:val="left"/>
              <w:textAlignment w:val="auto"/>
              <w:rPr>
                <w:rFonts w:hint="eastAsia" w:ascii="仿宋_GB2312" w:hAnsi="仿宋_GB2312" w:eastAsia="仿宋_GB2312" w:cs="仿宋_GB2312"/>
                <w:i w:val="0"/>
                <w:iCs w:val="0"/>
                <w:caps w:val="0"/>
                <w:color w:val="000000" w:themeColor="text1"/>
                <w:spacing w:val="0"/>
                <w:sz w:val="20"/>
                <w:szCs w:val="20"/>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lang w:val="en-US" w:eastAsia="zh-CN" w:bidi="ar"/>
                <w14:textFill>
                  <w14:solidFill>
                    <w14:schemeClr w14:val="tx1"/>
                  </w14:solidFill>
                </w14:textFill>
              </w:rPr>
              <w:t>《农业综合行政执法管理办法》（2022年11月3日经农业农村部第11次常务会议审议通过，现予公布，自2023年1月1日起施行）。</w:t>
            </w:r>
          </w:p>
          <w:p>
            <w:pPr>
              <w:keepNext w:val="0"/>
              <w:keepLines w:val="0"/>
              <w:pageBreakBefore w:val="0"/>
              <w:kinsoku/>
              <w:wordWrap/>
              <w:overflowPunct/>
              <w:topLinePunct w:val="0"/>
              <w:autoSpaceDE/>
              <w:autoSpaceDN/>
              <w:bidi w:val="0"/>
              <w:spacing w:line="300" w:lineRule="exact"/>
              <w:jc w:val="center"/>
              <w:rPr>
                <w:rFonts w:hint="eastAsia" w:ascii="仿宋_GB2312" w:hAnsi="仿宋_GB2312" w:eastAsia="仿宋_GB2312" w:cs="仿宋_GB2312"/>
                <w:i w:val="0"/>
                <w:iCs w:val="0"/>
                <w:caps w:val="0"/>
                <w:color w:val="000000" w:themeColor="text1"/>
                <w:spacing w:val="0"/>
                <w:sz w:val="20"/>
                <w:szCs w:val="20"/>
                <w:highlight w:val="none"/>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0"/>
                <w:szCs w:val="20"/>
                <w:shd w:val="clear" w:fill="FFFFFF"/>
                <w:lang w:val="en-US" w:eastAsia="zh-CN"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1.【法律】《中华人民共和国土地管理法》</w:t>
            </w:r>
            <w:r>
              <w:rPr>
                <w:rStyle w:val="17"/>
                <w:rFonts w:hint="eastAsia" w:ascii="仿宋_GB2312" w:hAnsi="仿宋_GB2312" w:eastAsia="仿宋_GB2312" w:cs="仿宋_GB2312"/>
                <w:color w:val="000000" w:themeColor="text1"/>
                <w:sz w:val="20"/>
                <w:szCs w:val="2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20"/>
                <w:szCs w:val="20"/>
                <w:shd w:val="clear"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Fonts w:hint="eastAsia" w:ascii="仿宋_GB2312" w:hAnsi="仿宋_GB2312" w:eastAsia="仿宋_GB2312" w:cs="仿宋_GB2312"/>
                <w:i w:val="0"/>
                <w:iCs w:val="0"/>
                <w:caps w:val="0"/>
                <w:color w:val="000000" w:themeColor="text1"/>
                <w:spacing w:val="0"/>
                <w:sz w:val="20"/>
                <w:szCs w:val="20"/>
                <w:shd w:val="clear" w:fill="FFFFFF"/>
                <w:lang w:eastAsia="zh-CN"/>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eastAsia" w:ascii="仿宋_GB2312" w:hAnsi="仿宋_GB2312" w:eastAsia="仿宋_GB2312" w:cs="仿宋_GB2312"/>
                <w:color w:val="000000" w:themeColor="text1"/>
                <w:sz w:val="20"/>
                <w:szCs w:val="20"/>
                <w14:textFill>
                  <w14:solidFill>
                    <w14:schemeClr w14:val="tx1"/>
                  </w14:solidFill>
                </w14:textFill>
              </w:rPr>
              <w:t>建的房屋。</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超过省、自治区、直辖市规定的标准，多占的土地以非法占用土地论处。</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keepNext w:val="0"/>
              <w:keepLines w:val="0"/>
              <w:pageBreakBefore w:val="0"/>
              <w:kinsoku/>
              <w:wordWrap/>
              <w:overflowPunct/>
              <w:topLinePunct w:val="0"/>
              <w:autoSpaceDE/>
              <w:autoSpaceDN/>
              <w:bidi w:val="0"/>
              <w:adjustRightInd w:val="0"/>
              <w:snapToGrid w:val="0"/>
              <w:spacing w:line="300" w:lineRule="exact"/>
              <w:ind w:firstLine="400" w:firstLineChars="200"/>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2.决定责任：充分听取当事人提出的事实、理由和证据，进行记录和复核，无正当理由的，向本行政机关负责人报告，经批准作出代履行决定书并送达当事人。</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4.追缴代履行费用责任：核算代履行费用，并向被履行单位追缴费用。</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1.无法定依据或者超越法定权限实施行政强制的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2.违反法定程序实施行政强制的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3.不具备行政执法资格实施行政强制的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4.使用、丢失或损毁先行登记的财物，给行政相对人造成损失的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5.在实施行政强制过程中滥用职权、玩忽职守、徇私舞弊的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6.利用行政强制权为单位或者个人谋取利益的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3.同1.</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6.同1.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1.设定依据《森林法》更新调整。</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第十二条 对批准获得最低生活保障的家庭，县级人民政府民政部门按照共同生活的家庭成员人均收入低于当地最低生活保障标准的差额，按月发给最低生活保障金。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对获得最低生活保障后生活仍有困难的老年人、未成年人、重度残疾人和重病患者，县级以上地方人民政府应当采取必要措施给予生活保障。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1.审查责任：材料审核（主要包括申请人及申请享受低保的成员的户口本、身份证原件；困难证明材料；《广西申请社会救助家庭经济状况核对授权书》，并签字按手印等材料）。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4.给付责任：按照相关规定，按月发放最低生活保障金。</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3-2.同2-2。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4.同2-2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因不履行或不正确履行行政职责，有下列情形的行政机关及相关工作人员应承担相应的责任：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 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5.丢失、篡改接受社会救助款物、服务记录等数据的；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6.不按照规定发放社会救助资金、物资或者提供相关服务的；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7.在履行社会救助职责过程中有其他滥用职权、玩忽职守、徇私舞弊行为的；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8. 截留、挤占、挪用、私分社会救助资金、物资的；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9.除以上追责情形外，其他违反法律法规规章的行为依法追究相应责任。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center"/>
              <w:rPr>
                <w:rFonts w:hint="eastAsia" w:ascii="仿宋_GB2312" w:hAnsi="仿宋_GB2312" w:eastAsia="仿宋_GB2312" w:cs="仿宋_GB2312"/>
                <w:snapToGrid w:val="0"/>
                <w:color w:val="auto"/>
                <w:kern w:val="2"/>
                <w:sz w:val="20"/>
                <w:szCs w:val="20"/>
                <w:lang w:val="en-US" w:eastAsia="zh-CN" w:bidi="ar-SA"/>
              </w:rPr>
            </w:pP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【行政法规】《社会救助暂行办法》（国务院令649号）</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（一）对符合申请条件的救助申请不予受理的；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（二）对符合救助条件的救助申请不予批准的；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（三）对不符合救助条件的救助申请予以批准的；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（四）泄露在工作中知悉的公民个人信息，造成后果的；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（五）丢失、篡改接受社会救助款物、服务记录等数据的；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（六）不按照规定发放社会救助资金、物资或者提供相关服务的；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（七）在履行社会救助职责过程中有其他滥用职权、玩忽职守、徇私舞弊行为的。</w:t>
            </w:r>
          </w:p>
          <w:p>
            <w:pPr>
              <w:keepNext w:val="0"/>
              <w:keepLines w:val="0"/>
              <w:pageBreakBefore w:val="0"/>
              <w:widowControl/>
              <w:tabs>
                <w:tab w:val="left" w:pos="985"/>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eastAsia="zh-CN"/>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330"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临时救助</w:t>
            </w:r>
            <w:r>
              <w:rPr>
                <w:rFonts w:hint="eastAsia" w:ascii="仿宋_GB2312" w:hAnsi="仿宋_GB2312" w:eastAsia="仿宋_GB2312" w:cs="仿宋_GB2312"/>
                <w:color w:val="000000"/>
                <w:kern w:val="0"/>
                <w:sz w:val="20"/>
                <w:szCs w:val="20"/>
                <w:highlight w:val="none"/>
              </w:rPr>
              <w:t>（给付金额在当地城市低保年标准的0.5倍以内（含）的管理权限在乡镇一级</w:t>
            </w:r>
            <w:r>
              <w:rPr>
                <w:rFonts w:hint="eastAsia" w:ascii="仿宋_GB2312" w:hAnsi="仿宋_GB2312" w:eastAsia="仿宋_GB2312" w:cs="仿宋_GB2312"/>
                <w:color w:val="000000"/>
                <w:kern w:val="0"/>
                <w:sz w:val="20"/>
                <w:szCs w:val="20"/>
                <w:highlight w:val="none"/>
                <w:lang w:eastAsia="zh-CN"/>
              </w:rPr>
              <w:t>）</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1.审查责任：审查是否符合临时救助的情形。</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2.公示责任：对符合条件的人员名单进行公示。</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3.审批责任：及时审批，按时办结。</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4.给付责任：发放临时救助金。</w:t>
            </w:r>
          </w:p>
          <w:p>
            <w:pPr>
              <w:keepNext w:val="0"/>
              <w:keepLines w:val="0"/>
              <w:pageBreakBefore w:val="0"/>
              <w:widowControl/>
              <w:kinsoku/>
              <w:wordWrap/>
              <w:overflowPunct/>
              <w:topLinePunct w:val="0"/>
              <w:autoSpaceDE/>
              <w:autoSpaceDN/>
              <w:bidi w:val="0"/>
              <w:adjustRightInd w:val="0"/>
              <w:snapToGrid w:val="0"/>
              <w:spacing w:line="300" w:lineRule="exact"/>
              <w:ind w:left="388" w:leftChars="18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3-2.同1-2。</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4.同1-2。</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07"/>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【行政法规】《社会救助暂行办法》（国务院令649号）</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第六十六条 违反本办法规定，有下列情形之一的，由上级行政机关或者监察机关责令改正；对直接负责的主管人员和其他直接责任人员依法给予处分：</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（一）对符合申请条件的救助申请不予受理的；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（二）对符合救助条件的救助申请不予批准的；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（三）对不符合救助条件的救助申请予以批准的；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（四）泄露在工作中知悉的公民个人信息，造成后果的；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（五）丢失、篡改接受社会救助款物、服务记录等数据的；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（六）不按照规定发放社会救助资金、物资或者提供相关服务的；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（七）在履行社会救助职责过程中有其他滥用职权、玩忽职守、徇私舞弊行为的。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2.发放资金由县级民政部门给付。</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kern w:val="2"/>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特困人员供养的内容包括：（一）提供基本生活条件；（二）对生活不能自理的给予照料；（三）提供疾病治疗；（四）办理丧葬事宜。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1.审查责任：材料审核（申请特困的书面证明材料等）。</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2.审批责任：进行审批，按时办结（予以批准，发放证书，进行公布；不予批准，书面说明理由）。</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3.监管责任：建立监督管理机制，定期核查，针对不同情况采取管理措施。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4.给付责任：给予城乡特困人员供养。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1.【法律】《中华人民共和国行政许可法》第三十四条 行政机关应当对申请人提交的申请材料进行审查。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申请人提交的申请材料齐全、符合法定形式，行政机关能够当场作出决定的，应当当场作出书面的行政许可决定。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2-1.【法律】《中华人民共和国行政许可法》第三十七条 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第三十八条 申请人的申请符合法定条件、标准的，行政机关应当依法作出准予行政许可的书面决定。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行政机关依法作出不予行政许可的书面决定的，应当说明理由，并告知申请人享有依法申请行政复议或者提起行政诉讼的权利。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第四十条 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3-1.【法律】《中华人民共和国行政许可法》第六十一条 行政机关应当建立健全监督制度，通过核查反映被许可人从事行政许可事项活动情况的有关材料，履行监督责任。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第十五条  特困人员供养的内容包括：</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（一）提供基本生活条件；</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（二）对生活不能自理的给予照料；</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（三）提供疾病治疗；</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（四）办理丧葬事宜。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特困人员供养标准，由省、自治区、直辖市或者设区的市级人民政府确定、公布。</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ab/>
            </w:r>
            <w:r>
              <w:rPr>
                <w:rFonts w:hint="eastAsia" w:ascii="仿宋_GB2312" w:hAnsi="仿宋_GB2312" w:eastAsia="仿宋_GB2312" w:cs="仿宋_GB2312"/>
                <w:color w:val="000000"/>
                <w:kern w:val="0"/>
                <w:sz w:val="20"/>
                <w:szCs w:val="20"/>
                <w:highlight w:val="none"/>
                <w:lang w:eastAsia="zh-CN"/>
              </w:rPr>
              <w:t xml:space="preserve">因不履行或不正确履行行政职责，有下列情形的行政机关及相关工作人员应承担相应的责任： </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1. 对符合申请条件的救助申请不予受理的；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2.对符合救助条件的救助申请不予批准的；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3.对不符合救助条件的救助申请予以批准的；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4.泄露在工作中知悉的公民个人信息，造成后果的；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5.丢失、篡改接受社会救助款物、服务记录等数据的；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6.不按照规定发放社会救助资金、物资或者提供相关服务的；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7.在履行社会救助职责过程中有其他滥用职权、玩忽职守、徇私舞弊行为的；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lang w:eastAsia="zh-CN"/>
              </w:rPr>
            </w:pPr>
            <w:r>
              <w:rPr>
                <w:rFonts w:hint="eastAsia" w:ascii="仿宋_GB2312" w:hAnsi="仿宋_GB2312" w:eastAsia="仿宋_GB2312" w:cs="仿宋_GB2312"/>
                <w:color w:val="000000"/>
                <w:kern w:val="0"/>
                <w:sz w:val="20"/>
                <w:szCs w:val="20"/>
                <w:highlight w:val="none"/>
                <w:lang w:eastAsia="zh-CN"/>
              </w:rPr>
              <w:t>8. 截留、挤占、挪用、私分社会救助资金、物资的；</w:t>
            </w:r>
          </w:p>
          <w:p>
            <w:pPr>
              <w:keepNext w:val="0"/>
              <w:keepLines w:val="0"/>
              <w:pageBreakBefore w:val="0"/>
              <w:widowControl/>
              <w:tabs>
                <w:tab w:val="left" w:pos="863"/>
              </w:tabs>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lang w:eastAsia="zh-CN"/>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kinsoku/>
              <w:wordWrap/>
              <w:overflowPunct/>
              <w:topLinePunct w:val="0"/>
              <w:autoSpaceDE/>
              <w:autoSpaceDN/>
              <w:bidi w:val="0"/>
              <w:spacing w:line="300" w:lineRule="exact"/>
              <w:rPr>
                <w:rFonts w:hint="eastAsia" w:ascii="仿宋_GB2312" w:hAnsi="仿宋_GB2312" w:eastAsia="仿宋_GB2312" w:cs="仿宋_GB2312"/>
                <w:sz w:val="20"/>
                <w:szCs w:val="20"/>
                <w:highlight w:val="none"/>
                <w:lang w:val="en-US" w:eastAsia="zh-CN"/>
              </w:rPr>
            </w:pP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ab/>
            </w:r>
            <w:r>
              <w:rPr>
                <w:rFonts w:hint="eastAsia" w:ascii="仿宋_GB2312" w:hAnsi="仿宋_GB2312" w:eastAsia="仿宋_GB2312" w:cs="仿宋_GB2312"/>
                <w:sz w:val="20"/>
                <w:szCs w:val="20"/>
                <w:highlight w:val="none"/>
                <w:lang w:val="en-US" w:eastAsia="zh-CN"/>
              </w:rPr>
              <w:t>【行政法规】《社会救助暂行办法》（国务院令649号）</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第六十六条 违反本办法规定，有下列情形之一的，由上级行政机关或者监察机关责令改正；对直接负责的主管人员和其他直接责任人员依法给予处分：</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（一）对符合申请条件的救助申请不予受理的；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（二）对符合救助条件的救助申请不予批准的；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（三）对不符合救助条件的救助申请予以批准的；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（四）泄露在工作中知悉的公民个人信息，造成后果的；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（五）丢失、篡改接受社会救助款物、服务记录等数据的；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（六）不按照规定发放社会救助资金、物资或者提供相关服务的；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sz w:val="20"/>
                <w:szCs w:val="20"/>
                <w:highlight w:val="none"/>
                <w:lang w:val="en-US" w:eastAsia="zh-CN"/>
              </w:rPr>
            </w:pPr>
            <w:r>
              <w:rPr>
                <w:rFonts w:hint="eastAsia" w:ascii="仿宋_GB2312" w:hAnsi="仿宋_GB2312" w:eastAsia="仿宋_GB2312" w:cs="仿宋_GB2312"/>
                <w:sz w:val="20"/>
                <w:szCs w:val="20"/>
                <w:highlight w:val="none"/>
                <w:lang w:val="en-US" w:eastAsia="zh-CN"/>
              </w:rPr>
              <w:t>（七）在履行社会救助职责过程中有其他滥用职权、玩忽职守、徇私舞弊行为的。</w:t>
            </w:r>
          </w:p>
          <w:p>
            <w:pPr>
              <w:keepNext w:val="0"/>
              <w:keepLines w:val="0"/>
              <w:pageBreakBefore w:val="0"/>
              <w:tabs>
                <w:tab w:val="left" w:pos="1010"/>
              </w:tabs>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z w:val="20"/>
                <w:szCs w:val="20"/>
                <w:highlight w:val="none"/>
                <w:lang w:val="en-US" w:eastAsia="zh-CN"/>
              </w:rPr>
              <w:t>第六十七条 违反本办法规定，截留、挤占、挪用、私分社会救助资金、物资的，由有关部门责令追回；有违法所得的，没收违法所得；对直接负责的主管人员和其他直接责任人员依法给予处分。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z w:val="20"/>
                <w:szCs w:val="20"/>
                <w:highlight w:val="none"/>
              </w:rPr>
            </w:pPr>
          </w:p>
          <w:p>
            <w:pPr>
              <w:keepNext w:val="0"/>
              <w:keepLines w:val="0"/>
              <w:pageBreakBefore w:val="0"/>
              <w:kinsoku/>
              <w:wordWrap/>
              <w:overflowPunct/>
              <w:topLinePunct w:val="0"/>
              <w:autoSpaceDE/>
              <w:autoSpaceDN/>
              <w:bidi w:val="0"/>
              <w:spacing w:line="300" w:lineRule="exact"/>
              <w:ind w:firstLine="30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kern w:val="2"/>
                <w:sz w:val="20"/>
                <w:szCs w:val="20"/>
                <w:highlight w:val="none"/>
                <w:lang w:val="en-US" w:eastAsia="zh-CN" w:bidi="ar-SA"/>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15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auto"/>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rPr>
            </w:pPr>
            <w:r>
              <w:rPr>
                <w:rFonts w:hint="eastAsia" w:ascii="仿宋_GB2312" w:hAnsi="仿宋_GB2312" w:eastAsia="仿宋_GB2312" w:cs="仿宋_GB2312"/>
                <w:color w:val="auto"/>
                <w:kern w:val="0"/>
                <w:sz w:val="20"/>
                <w:szCs w:val="20"/>
                <w:lang w:val="en-US" w:eastAsia="zh-CN"/>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县级以上地方人民政府对享受最低生活保障待遇后生活仍有特别困难的残疾人家庭，应当采取其他措施保障其基本生活。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3.评定责任：困难残疾人生活补贴对象为户籍在广西壮族自治区的最低生活保障家庭中的残疾人。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4-1.【法律】《中华人民共和国残疾人保障法》第四十八条 各级人民政府对生活确有困难的残疾人，通过多种渠道给予生活、教育、住房和其他社会救助。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snapToGrid w:val="0"/>
                <w:color w:val="auto"/>
                <w:kern w:val="2"/>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514" w:firstLineChars="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FF0000"/>
                <w:kern w:val="0"/>
                <w:sz w:val="20"/>
                <w:szCs w:val="20"/>
                <w:lang w:val="en-US" w:eastAsia="zh-CN" w:bidi="ar-SA"/>
              </w:rPr>
            </w:pP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auto"/>
                <w:kern w:val="0"/>
                <w:sz w:val="20"/>
                <w:szCs w:val="20"/>
                <w:lang w:eastAsia="zh-CN"/>
              </w:rPr>
              <w:t>困难</w:t>
            </w:r>
            <w:r>
              <w:rPr>
                <w:rFonts w:hint="eastAsia" w:ascii="仿宋_GB2312" w:hAnsi="仿宋_GB2312" w:eastAsia="仿宋_GB2312" w:cs="仿宋_GB2312"/>
                <w:color w:val="auto"/>
                <w:kern w:val="0"/>
                <w:sz w:val="20"/>
                <w:szCs w:val="20"/>
              </w:rPr>
              <w:t>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社会事务办公室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1.审核责任：审核申请人是否符合获得补贴的资格，并发放残疾人补贴。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2.监督管理责任：监督管理各地方的补贴发放情况。</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3.评定责任：重度残疾人护理补贴对象为户籍在广西壮族自治区的残疾等级被评定为一级、二级且需要长期照护的重度残疾人及三级、四级精神残疾的残疾人。</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4.给付责任：对符合条件的残疾人，地方各级人民政府根据情况给予相应补贴。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2.同1。</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highlight w:val="none"/>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highlight w:val="none"/>
              </w:rPr>
              <w:t>，通过多种渠道给予生活、教育、住房和其他社会救助。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各级人民政府对贫困残疾人的基本医疗、康复服务、必要的辅助器具的配置和更换，应当按照规定给予救助。</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对生活不能自理的残疾人，地方各级人民政府应当根据情况给予护理补贴。</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4-2.同3。</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1.侵害残疾人的合法权益的；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2.未依法履行职责，对侵害残疾人权益的行为未及时制止或者未给予受害残疾人必要帮助的；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【法律】《中华人民共和国残疾人保障法》（1990年12月28日中华人民共和国主席令第三十六号公布，2008年4月24日中华人民共和国主席令第三号修订）</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第五十九条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残疾人组织对残疾人通过诉讼维护其合法权益需要帮助的，应当给予支持。</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残疾人组织对侵害特定残疾人群体利益的行为，有权要求有关部门依法查处。</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000000"/>
                <w:kern w:val="0"/>
                <w:sz w:val="20"/>
                <w:szCs w:val="20"/>
                <w:highlight w:val="none"/>
              </w:rPr>
            </w:pPr>
            <w:r>
              <w:rPr>
                <w:rFonts w:hint="eastAsia" w:ascii="仿宋_GB2312" w:hAnsi="仿宋_GB2312" w:eastAsia="仿宋_GB2312" w:cs="仿宋_GB2312"/>
                <w:color w:val="000000"/>
                <w:kern w:val="0"/>
                <w:sz w:val="20"/>
                <w:szCs w:val="20"/>
                <w:highlight w:val="none"/>
              </w:rPr>
              <w:t xml:space="preserve">第六十七条　违反本法规定，侵害残疾人的合法权益，其他法律、法规规定行政处罚的，从其规定；造成财产损失或者其他损害的，依法承担民事责任；构成犯罪的，依法追究刑事责任。 </w:t>
            </w:r>
          </w:p>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highlight w:val="none"/>
                <w:lang w:val="en-US" w:eastAsia="zh-CN"/>
              </w:rPr>
              <w:t>法律法规规章规定的免责情形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31" w:leftChars="-15" w:right="-31" w:rightChars="-15"/>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highlight w:val="none"/>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lang w:val="en-US" w:eastAsia="zh-CN" w:bidi="ar-SA"/>
              </w:rPr>
              <w:t>16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【法律】《中华人民共和国草原法》第八</w:t>
            </w:r>
            <w:r>
              <w:rPr>
                <w:rFonts w:hint="eastAsia" w:ascii="仿宋_GB2312" w:hAnsi="仿宋_GB2312" w:eastAsia="仿宋_GB2312" w:cs="仿宋_GB2312"/>
                <w:kern w:val="0"/>
                <w:sz w:val="20"/>
                <w:szCs w:val="20"/>
                <w:lang w:eastAsia="zh-CN"/>
              </w:rPr>
              <w:t>条：</w:t>
            </w:r>
            <w:r>
              <w:rPr>
                <w:rFonts w:hint="eastAsia" w:ascii="仿宋_GB2312" w:hAnsi="仿宋_GB2312" w:eastAsia="仿宋_GB2312" w:cs="仿宋_GB2312"/>
                <w:kern w:val="0"/>
                <w:sz w:val="20"/>
                <w:szCs w:val="20"/>
              </w:rPr>
              <w:t>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因不履行或不正确履行行政职责，有下列情形的，行政机关及相关工作人员应承担相应责任：</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1.不履行或不正确履行职责，对检查工作没有认真执行的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2.在监督检查中玩忽职守、徇私舞弊的 ；</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3.在监督检查中滥用职权，谋取不正当利益和发生腐败行为的 ；</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keepNext w:val="0"/>
              <w:keepLines w:val="0"/>
              <w:pageBreakBefore w:val="0"/>
              <w:widowControl/>
              <w:kinsoku/>
              <w:wordWrap/>
              <w:overflowPunct/>
              <w:topLinePunct w:val="0"/>
              <w:autoSpaceDE/>
              <w:autoSpaceDN/>
              <w:bidi w:val="0"/>
              <w:spacing w:line="30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 xml:space="preserve">    2.同1.</w:t>
            </w:r>
          </w:p>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lef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 xml:space="preserve"> 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经济发展办公室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第四十一条：生产经营单位应当建立安全风险分级管控制度，按照安全风险分级采取相应的管控措施。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20</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2.【法律】《中华人民共和国矿山安全法》第三十三条：县级以上各级人民政府劳动行政主管部门对矿山安全工作行使下列监督职责：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（一）检查矿山企业和管理矿山企业的主管部门贯彻执行矿山安全法律、法规的情况；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（二）参加矿山建设工程安全设施的设计审查和竣工验收；</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（三）检查矿山劳动条件和安全状况；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（四）检查矿山企业职工安全教育、培训工作；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（五）监督矿山企业提取和使用安全技术措施专项费用的情况；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（六）参加并监督矿山事故的调查和处理；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21</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未经安全条件审查，新建、改建、扩建储存、装卸危险化学品的港口建设项目的，由港口行政管理部门依照前款规定予以处罚。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第七条：负有危险化学品安全监督管理职责的部门依法进行监督检查，可以采取下列措施：</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（一）进入危险化学品作业场所实施现场检查，向有关单位和人员了解情况，查阅、复制有关文件、资料；</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（二）发现危险化学品事故隐患，责令立即消除或者限期消除；</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（三）对不符合法律、行政法规、规章规定或者国家标准、行业标准要求的设施、设备、装置、器材、运输工具，责令立即停止使用；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经本部门主要负责人批准，查封违法生产、储存、使用、经营危险化学品的场所，扣押违法生产、储存、使用、经营、运输的危险化学品以及用于违法生产、使用、运输危险化学品的原材料、设备、运输工具；</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（五）发现影响危险化学品安全的违法行为，当场予以纠正或者责令限期改正。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负有危险化学品安全监督管理职责的部门依法进行监督检查，监督检查人员不得少于2人，并应当出示执法证件；有关单位和个人对依法进行的监督检查应当予以配合，不得拒绝、阻碍。</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23</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24</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FF0000"/>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首次对重大危险源的监督检查应当包括下列主要内容：</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（一）重大危险源的运行情况、安全管理规章制度及安全操作规程制定和落实情况；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（二）重大危险源的辨识、分级、安全评估、登记建档、备案情况；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（三）重大危险源的监测监控情况；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（四）重大危险源安全设施和安全监测监控系统的检测、检验以及维护保养情况；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（五）重大危险源事故应急预案的编制、评审、备案、修订和演练情况；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（六）有关从业人员的安全培训教育情况；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（七）安全标志设置情况；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（八）应急救援器材、设备、物资配备情况；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（九）预防和控制事故措施的落实情况。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1.告知责任：制定检查计划、方案，确定检查目标、对象、内容，公告或通知被检查单位（暗访不通知）。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2.检查责任：检查时，执法人员不得少于2人，并出示相关证件进行检查；检查不得影响被检查单位正常的生产经营活动。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3.处理责任：制作检查记录，对检查发现的问题提出整改和处理意见。</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4.监管责任：按照检查计划、方案，对生产经营单位提取、使用和管理安全费用情况进行监督检查。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当事人或者有关人员应当如实回答询问，并协助调查或者检查，不得拒绝或者阻挠。询问或者检查应当制作笔录。</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第四十三条：执法人员与案件有直接利害关系或者有其他关系可能影响公正执法的，应当回避。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当事人认为执法人员与案件有直接利害关系或者有其他关系可能影响公正执法的，有权申请回避。</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当事人提出回避申请的，行政机关应当依法审查，由行政机关负责人决定。决定作出之前，不停止调查。</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监督检查不得影响被检查单位的正常生产经营活动。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kinsoku/>
              <w:wordWrap/>
              <w:overflowPunct/>
              <w:topLinePunct w:val="0"/>
              <w:autoSpaceDE/>
              <w:autoSpaceDN/>
              <w:bidi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25</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26</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jc w:val="both"/>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300" w:lineRule="exact"/>
              <w:ind w:firstLine="400" w:firstLineChars="200"/>
              <w:jc w:val="both"/>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27</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28</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auto"/>
                <w:kern w:val="0"/>
                <w:sz w:val="20"/>
                <w:szCs w:val="20"/>
                <w:lang w:val="en-US" w:eastAsia="zh-CN"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法律法规规章规定的免责情形以及</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委、</w:t>
            </w:r>
            <w:r>
              <w:rPr>
                <w:rFonts w:hint="eastAsia" w:ascii="仿宋_GB2312" w:hAnsi="仿宋_GB2312" w:eastAsia="仿宋_GB2312" w:cs="仿宋_GB2312"/>
                <w:color w:val="000000"/>
                <w:kern w:val="0"/>
                <w:sz w:val="20"/>
                <w:szCs w:val="20"/>
                <w:lang w:val="en-US" w:eastAsia="zh-CN"/>
              </w:rPr>
              <w:t>县</w:t>
            </w:r>
            <w:r>
              <w:rPr>
                <w:rFonts w:hint="eastAsia" w:ascii="仿宋_GB2312" w:hAnsi="仿宋_GB2312" w:eastAsia="仿宋_GB2312" w:cs="仿宋_GB2312"/>
                <w:color w:val="000000"/>
                <w:kern w:val="0"/>
                <w:sz w:val="20"/>
                <w:szCs w:val="20"/>
              </w:rPr>
              <w:t>人民政府有关文件中明确的免责情形。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bidi="ar-SA"/>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snapToGrid w:val="0"/>
                <w:color w:val="auto"/>
                <w:sz w:val="20"/>
                <w:szCs w:val="20"/>
                <w:lang w:val="en-US" w:eastAsia="zh-CN"/>
              </w:rPr>
              <w:t>公共安全和应急管理办公室</w:t>
            </w:r>
          </w:p>
        </w:tc>
        <w:tc>
          <w:tcPr>
            <w:tcW w:w="2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.【规范性文件】《消防安全责任制实施办法》（国办发〔2017〕87号）第九条：乡镇人民政府消防工作职责：（六）部署消防安全整治，组织开展消防安全检查，督促整改火灾隐患。</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val="0"/>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条：</w:t>
            </w:r>
            <w:r>
              <w:rPr>
                <w:rFonts w:hint="eastAsia" w:ascii="仿宋_GB2312" w:hAnsi="仿宋_GB2312" w:eastAsia="仿宋_GB2312" w:cs="仿宋_GB2312"/>
                <w:color w:val="000000" w:themeColor="text1"/>
                <w:kern w:val="0"/>
                <w:sz w:val="20"/>
                <w:szCs w:val="20"/>
                <w14:textFill>
                  <w14:solidFill>
                    <w14:schemeClr w14:val="tx1"/>
                  </w14:solidFill>
                </w14:textFill>
              </w:rPr>
              <w:t>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因不履行或不正确履行行政职责，有下列情形之一的，行政机关及相关工作人员应承担相应责任: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1.在监督检查中滥用职权、玩忽职守、徇私舞弊行为的；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2.违法实施监督检查，给当事人的合法权益造成损害的；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3.不按规定制作、送达法律文书，不按照本规定履行消防监督检查职责，拒不改正的；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4.无故拖延消防安全检查，不在法定期限内履行职责的；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5.未按照本规定组织开展消防监督抽查的；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6.发现火灾隐患不及时通知有关单位或者个人整改的;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7.利用消防监督检查职权为用户指定消防产品的品牌、销售单位或者指定消防技术服务机构、消防设施施工、维修保养单位的: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8.接受被检查单位、个人财物或者其他不正当利益的;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kern w:val="0"/>
                <w:sz w:val="20"/>
                <w:szCs w:val="20"/>
                <w:highlight w:val="none"/>
              </w:rPr>
              <w:t>3-8同1、2。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highlight w:val="none"/>
                <w:lang w:val="en-US" w:eastAsia="zh-CN" w:bidi="ar-SA"/>
              </w:rPr>
            </w:pPr>
            <w:r>
              <w:rPr>
                <w:rFonts w:hint="eastAsia" w:ascii="仿宋_GB2312" w:hAnsi="仿宋_GB2312" w:eastAsia="仿宋_GB2312" w:cs="仿宋_GB2312"/>
                <w:color w:val="auto"/>
                <w:kern w:val="0"/>
                <w:sz w:val="20"/>
                <w:szCs w:val="20"/>
              </w:rPr>
              <w:t>法律法规规定的免责情形及</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委、</w:t>
            </w:r>
            <w:r>
              <w:rPr>
                <w:rFonts w:hint="eastAsia" w:ascii="仿宋_GB2312" w:hAnsi="仿宋_GB2312" w:eastAsia="仿宋_GB2312" w:cs="仿宋_GB2312"/>
                <w:color w:val="auto"/>
                <w:kern w:val="0"/>
                <w:sz w:val="20"/>
                <w:szCs w:val="20"/>
                <w:lang w:val="en-US" w:eastAsia="zh-CN"/>
              </w:rPr>
              <w:t>县</w:t>
            </w:r>
            <w:r>
              <w:rPr>
                <w:rFonts w:hint="eastAsia" w:ascii="仿宋_GB2312" w:hAnsi="仿宋_GB2312" w:eastAsia="仿宋_GB2312" w:cs="仿宋_GB2312"/>
                <w:color w:val="auto"/>
                <w:kern w:val="0"/>
                <w:sz w:val="20"/>
                <w:szCs w:val="20"/>
              </w:rPr>
              <w:t>人民政府</w:t>
            </w:r>
            <w:r>
              <w:rPr>
                <w:rFonts w:hint="eastAsia" w:ascii="仿宋_GB2312" w:hAnsi="仿宋_GB2312" w:eastAsia="仿宋_GB2312" w:cs="仿宋_GB2312"/>
                <w:color w:val="auto"/>
                <w:kern w:val="0"/>
                <w:sz w:val="20"/>
                <w:szCs w:val="20"/>
                <w:lang w:val="en-US" w:eastAsia="zh-CN"/>
              </w:rPr>
              <w:t>以及县级以上党委人民政府</w:t>
            </w:r>
            <w:r>
              <w:rPr>
                <w:rFonts w:hint="eastAsia" w:ascii="仿宋_GB2312" w:hAnsi="仿宋_GB2312" w:eastAsia="仿宋_GB2312" w:cs="仿宋_GB2312"/>
                <w:color w:val="auto"/>
                <w:kern w:val="0"/>
                <w:sz w:val="20"/>
                <w:szCs w:val="20"/>
              </w:rPr>
              <w:t>有关文件中明确的免责情形。</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FF0000"/>
                <w:kern w:val="0"/>
                <w:sz w:val="20"/>
                <w:szCs w:val="2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lang w:val="en-US" w:eastAsia="zh-CN"/>
              </w:rPr>
            </w:pPr>
            <w:bookmarkStart w:id="1" w:name="_GoBack" w:colFirst="6" w:colLast="6"/>
            <w:r>
              <w:rPr>
                <w:rFonts w:hint="eastAsia" w:ascii="仿宋_GB2312" w:hAnsi="仿宋_GB2312" w:eastAsia="仿宋_GB2312" w:cs="仿宋_GB2312"/>
                <w:color w:val="000000"/>
                <w:kern w:val="0"/>
                <w:sz w:val="20"/>
                <w:szCs w:val="20"/>
                <w:lang w:val="en-US" w:eastAsia="zh-CN"/>
              </w:rPr>
              <w:t>30</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社会事务发展办公室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第二十二</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行政执法机关应将办理各种申请的条件、程序、期限和范围及其他相关情况向社会公开，并应建立受理申请登记制度。</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2.【地方政府规章】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第二十五</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行政执法机关决定受理相对人的申请后，应对相对人的申请事由以及申请材料的真实性、合法性、有效性进行审查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3.【地方政府规章】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第三十三</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调查终结，办案人员应向所在行政执法机关提出调查报告和处理意见，并送本机关法制工作机构或本机关指定的其他机构进行审核；审核机构应在七日内审核完毕，连同审核意见一并报送本机关负责人进行审查</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4.【地方政府规章】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第五十七</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w:t>
            </w:r>
            <w:r>
              <w:rPr>
                <w:rFonts w:hint="eastAsia" w:ascii="仿宋_GB2312" w:hAnsi="仿宋_GB2312" w:eastAsia="仿宋_GB2312" w:cs="仿宋_GB2312"/>
                <w:color w:val="000000"/>
                <w:kern w:val="0"/>
                <w:sz w:val="20"/>
                <w:szCs w:val="20"/>
                <w:lang w:eastAsia="zh-CN"/>
              </w:rPr>
              <w:t>《广西壮族自治区行政执法程序规定》（1997年广西壮族自治区人民政府令第13号）</w:t>
            </w:r>
            <w:r>
              <w:rPr>
                <w:rFonts w:hint="eastAsia" w:ascii="仿宋_GB2312" w:hAnsi="仿宋_GB2312" w:eastAsia="仿宋_GB2312" w:cs="仿宋_GB2312"/>
                <w:color w:val="000000"/>
                <w:kern w:val="0"/>
                <w:sz w:val="20"/>
                <w:szCs w:val="20"/>
              </w:rPr>
              <w:t>第六十八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行政执法机关应根据法律、法规和规章的规定，建立健全相应的执法工作规则，保证具体执法行为合法、高效、有序。</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000000"/>
                <w:kern w:val="0"/>
                <w:sz w:val="20"/>
                <w:szCs w:val="20"/>
                <w:lang w:val="en-US" w:eastAsia="zh-CN"/>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31</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行政确认</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生育登记</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社会事务发展办公室</w:t>
            </w: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【地方性法规】《广西壮族自治区人口和计划生育条例》（</w:t>
            </w:r>
            <w:r>
              <w:rPr>
                <w:rFonts w:hint="eastAsia" w:ascii="仿宋_GB2312" w:hAnsi="仿宋_GB2312" w:eastAsia="仿宋_GB2312" w:cs="仿宋_GB2312"/>
                <w:color w:val="auto"/>
                <w:kern w:val="0"/>
                <w:sz w:val="20"/>
                <w:szCs w:val="20"/>
                <w:lang w:val="en-US" w:eastAsia="zh-CN"/>
              </w:rPr>
              <w:t>2022年3月24日修订通过，颁布施行</w:t>
            </w:r>
            <w:r>
              <w:rPr>
                <w:rFonts w:hint="eastAsia" w:ascii="仿宋_GB2312" w:hAnsi="仿宋_GB2312" w:eastAsia="仿宋_GB2312" w:cs="仿宋_GB2312"/>
                <w:color w:val="auto"/>
                <w:kern w:val="0"/>
                <w:sz w:val="20"/>
                <w:szCs w:val="20"/>
              </w:rPr>
              <w:t>）第十六条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实行生育登记制度。生育子女的夫妻可以通过生育登记平台进行网上登记，也可以到一方户籍所在地或者现居住地乡镇人民政府、街道办事处及其委托的村民委员会、居民委员会进行登记。</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1.受理阶段责任：公示依法应当提交的材料和受理条件；一次性告知补正材料；依法受理或不予受理（不予受理应当告知理由）。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2.审查阶段责任：审核材料真实性和合法性；现场审核；论证申请人是否符合相关法律法规标准的要求。</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3.决定阶段责任：作出行政许可或不予行政许可的决定（不予许可的应书面说明理由，并告知当事人享有依法申请行政复议或提起行政诉讼的权利）。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4.送达阶段责任：对许可的制发送达并信息公开，对不予许可的制发送达《不予许可决定书》；按时办结；法定告知。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5.事后监管责任：定期或不定期检查已发单位是否有违反《放射诊疗管理规定》的行为，对违法行为依法查处，并给予有关责任人相关处分。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6.其他法律法规规章文件规定应履行的责任。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w:t>
            </w:r>
            <w:r>
              <w:rPr>
                <w:rFonts w:hint="eastAsia" w:ascii="仿宋_GB2312" w:hAnsi="仿宋_GB2312" w:eastAsia="仿宋_GB2312" w:cs="仿宋_GB2312"/>
                <w:color w:val="auto"/>
                <w:kern w:val="0"/>
                <w:sz w:val="20"/>
                <w:szCs w:val="20"/>
                <w:lang w:eastAsia="zh-CN"/>
              </w:rPr>
              <w:t>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【法律】《中华人民共和国行政许可法》第三十二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w:t>
            </w:r>
            <w:r>
              <w:rPr>
                <w:rFonts w:hint="eastAsia" w:ascii="仿宋_GB2312" w:hAnsi="仿宋_GB2312" w:eastAsia="仿宋_GB2312" w:cs="仿宋_GB2312"/>
                <w:color w:val="auto"/>
                <w:kern w:val="0"/>
                <w:sz w:val="20"/>
                <w:szCs w:val="20"/>
                <w:lang w:eastAsia="zh-CN"/>
              </w:rPr>
              <w:t>用印章和注明日期的书面凭证。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2.</w:t>
            </w:r>
            <w:r>
              <w:rPr>
                <w:rFonts w:hint="eastAsia" w:ascii="仿宋_GB2312" w:hAnsi="仿宋_GB2312" w:eastAsia="仿宋_GB2312" w:cs="仿宋_GB2312"/>
                <w:color w:val="auto"/>
                <w:kern w:val="0"/>
                <w:sz w:val="20"/>
                <w:szCs w:val="20"/>
              </w:rPr>
              <w:t>【法律】《中华人民共和国行政许可法》第三十四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第三十七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行政机关对行政许可申请进行审查后，除当场作出行政许可决定的外，应当在法定期限内按照规定程序作出行政许可决定。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lang w:eastAsia="zh-CN"/>
              </w:rPr>
              <w:t>同</w:t>
            </w:r>
            <w:r>
              <w:rPr>
                <w:rFonts w:hint="eastAsia" w:ascii="仿宋_GB2312" w:hAnsi="仿宋_GB2312" w:eastAsia="仿宋_GB2312" w:cs="仿宋_GB2312"/>
                <w:color w:val="auto"/>
                <w:kern w:val="0"/>
                <w:sz w:val="20"/>
                <w:szCs w:val="20"/>
                <w:lang w:val="en-US" w:eastAsia="zh-CN"/>
              </w:rPr>
              <w:t>2</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—1.</w:t>
            </w:r>
            <w:r>
              <w:rPr>
                <w:rFonts w:hint="eastAsia" w:ascii="仿宋_GB2312" w:hAnsi="仿宋_GB2312" w:eastAsia="仿宋_GB2312" w:cs="仿宋_GB2312"/>
                <w:color w:val="auto"/>
                <w:kern w:val="0"/>
                <w:sz w:val="20"/>
                <w:szCs w:val="20"/>
              </w:rPr>
              <w:t>【法律】《中华人民共和国行政许可法》第四十四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lang w:eastAsia="zh-CN"/>
              </w:rPr>
              <w:t>—2.</w:t>
            </w:r>
            <w:r>
              <w:rPr>
                <w:rFonts w:hint="eastAsia" w:ascii="仿宋_GB2312" w:hAnsi="仿宋_GB2312" w:eastAsia="仿宋_GB2312" w:cs="仿宋_GB2312"/>
                <w:color w:val="auto"/>
                <w:kern w:val="0"/>
                <w:sz w:val="20"/>
                <w:szCs w:val="20"/>
              </w:rPr>
              <w:t>【法律】《中华人民共和国行政许可法》第四十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行政机关作出的准予行政许可决定，应当予以公开，公众有权查阅。</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依法应当先经下级行政机关审查后报上级行政机关决定的行政许可，下级行政机关应当自其受理行政许可申请之日起二十日内审查完毕。但是，法律、法规另有规定的，依照其规定。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5.【法律】《中华人民共和国行政许可法》第六十一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第六十三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行政机关实施监督检查，不得妨碍被许可人正常的生产经营活动，不得索取或者收受被许可人的财物，不得谋取其他利益。</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000000"/>
                <w:sz w:val="20"/>
                <w:szCs w:val="20"/>
              </w:rPr>
              <w:t>法律法规规章规定的免责情形</w:t>
            </w:r>
            <w:r>
              <w:rPr>
                <w:rFonts w:hint="eastAsia" w:ascii="仿宋_GB2312" w:hAnsi="仿宋_GB2312" w:eastAsia="仿宋_GB2312" w:cs="仿宋_GB2312"/>
                <w:color w:val="000000"/>
                <w:sz w:val="20"/>
                <w:szCs w:val="20"/>
                <w:lang w:eastAsia="zh-CN"/>
              </w:rPr>
              <w:t>。</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32</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33</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34</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因不履行或不正确履行经济普查职责，有下列情形的，行政机关及相关工作人员应承担相应责任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1.对普查中发现的问题，不及时处理，造成不良后果的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2.瞒报、伪造、篡改调查资料或者编造虚假调查数据的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3.泄露调查数据造成不良后果的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4.在调查中玩忽职守、滥用职权的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5.在调查中发生腐败行为的</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6.其他违反法律法规规章文件规定的行为</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highlight w:val="none"/>
              </w:rPr>
              <w:t>《全国经济普查条例》第三十五条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 xml:space="preserve"> 地方部门、单位的领导人自行修改经济普查资料、编造虚假数据或者强令、授意经济普查机构、经济普查人员篡改经济普查资料或者编造虚假数据的，依法给予处分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并由县级以上人民政府统计机构予以通报。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snapToGrid w:val="0"/>
                <w:color w:val="000000"/>
                <w:sz w:val="20"/>
                <w:szCs w:val="20"/>
                <w:highlight w:val="none"/>
              </w:rPr>
              <w:t>经济普查人员参与篡改经济普查资料、编造虚假数据的，由县级以上人民政府统计机构责令改正</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或者建议有关部门、单位依法给予处分。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3</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《中华人民共和国统计法》第三十九条 县级以上人民政府统计机构或者有关部门有下列行为之一的对直接负责的主管人员和其他直接责任人员由任免机关或者监察机关依法给予处分</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违法公布统计资料的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泄露统计调查对象的商业秘密、个人信息或者提供、泄露在统计调查中获得的能够识别或者推断单个统计调查对象身份的资料的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违反国家有关规定</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造成统计资料毁损灭失的。统计人员有前款所列行为之一的</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lang w:val="en-US" w:eastAsia="zh-CN"/>
              </w:rPr>
              <w:t>4</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color w:val="000000"/>
                <w:kern w:val="0"/>
                <w:sz w:val="20"/>
                <w:szCs w:val="20"/>
                <w:lang w:eastAsia="zh-CN"/>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《中华人民共和国行政处罚法》第七十九条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第二款执法人员利用职务上的便利，索取或者收受他人财物、将收缴罚款据为已有，构成犯罪的，依法追究刑事责任</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情节轻微不构成犯罪的，依法给予处分。</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5</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35</w:t>
            </w:r>
          </w:p>
        </w:tc>
        <w:tc>
          <w:tcPr>
            <w:tcW w:w="45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大浪镇人民政府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经济发展办公室</w:t>
            </w:r>
          </w:p>
        </w:tc>
        <w:tc>
          <w:tcPr>
            <w:tcW w:w="2939"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因不履行或不正确履行统计资料的补正职责，有下列情形的，行政机关及相关工作人员应承担相应责任</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lang w:eastAsia="zh-CN"/>
              </w:rPr>
            </w:pPr>
            <w:r>
              <w:rPr>
                <w:rFonts w:hint="eastAsia" w:ascii="仿宋_GB2312" w:hAnsi="仿宋_GB2312" w:eastAsia="仿宋_GB2312" w:cs="仿宋_GB2312"/>
                <w:snapToGrid w:val="0"/>
                <w:color w:val="000000"/>
                <w:sz w:val="20"/>
                <w:szCs w:val="20"/>
                <w:highlight w:val="none"/>
              </w:rPr>
              <w:t>1.未对统计调查对象提供的统计资料进行审核</w:t>
            </w:r>
            <w:r>
              <w:rPr>
                <w:rFonts w:hint="eastAsia" w:ascii="仿宋_GB2312" w:hAnsi="仿宋_GB2312" w:eastAsia="仿宋_GB2312" w:cs="仿宋_GB2312"/>
                <w:snapToGrid w:val="0"/>
                <w:color w:val="000000"/>
                <w:sz w:val="20"/>
                <w:szCs w:val="20"/>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rPr>
              <w:t>2.不督促指导统计调查对象依法予以补充或者改正</w:t>
            </w:r>
            <w:r>
              <w:rPr>
                <w:rFonts w:hint="eastAsia" w:ascii="仿宋_GB2312" w:hAnsi="仿宋_GB2312" w:eastAsia="仿宋_GB2312" w:cs="仿宋_GB2312"/>
                <w:snapToGrid w:val="0"/>
                <w:color w:val="000000"/>
                <w:sz w:val="20"/>
                <w:szCs w:val="20"/>
                <w:highlight w:val="none"/>
                <w:lang w:eastAsia="zh-CN"/>
              </w:rPr>
              <w:t>。</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sz w:val="20"/>
                <w:szCs w:val="20"/>
                <w:highlight w:val="none"/>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highlight w:val="none"/>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highlight w:val="none"/>
              </w:rPr>
              <w:t>《中华人民共和国统计法》第三十七条</w:t>
            </w:r>
            <w:r>
              <w:rPr>
                <w:rFonts w:hint="eastAsia" w:ascii="仿宋_GB2312" w:hAnsi="仿宋_GB2312" w:eastAsia="仿宋_GB2312" w:cs="仿宋_GB2312"/>
                <w:snapToGrid w:val="0"/>
                <w:color w:val="000000"/>
                <w:sz w:val="20"/>
                <w:szCs w:val="20"/>
                <w:highlight w:val="none"/>
                <w:lang w:eastAsia="zh-CN"/>
              </w:rPr>
              <w:t>：</w:t>
            </w:r>
            <w:r>
              <w:rPr>
                <w:rFonts w:hint="eastAsia" w:ascii="仿宋_GB2312" w:hAnsi="仿宋_GB2312" w:eastAsia="仿宋_GB2312" w:cs="仿宋_GB2312"/>
                <w:snapToGrid w:val="0"/>
                <w:color w:val="000000"/>
                <w:sz w:val="20"/>
                <w:szCs w:val="20"/>
                <w:highlight w:val="none"/>
              </w:rPr>
              <w:t>地方人民政府、政府统计机构或者有关部门、单位的负责人有下列行为之一的，由任免机关或者监察机关依法给予处分并由县级以上人民政府统计机构予以通报</w:t>
            </w:r>
            <w:r>
              <w:rPr>
                <w:rFonts w:hint="eastAsia" w:ascii="仿宋_GB2312" w:hAnsi="仿宋_GB2312" w:eastAsia="仿宋_GB2312" w:cs="仿宋_GB2312"/>
                <w:snapToGrid w:val="0"/>
                <w:color w:val="000000"/>
                <w:sz w:val="20"/>
                <w:szCs w:val="20"/>
                <w:highlight w:val="none"/>
                <w:lang w:eastAsia="zh-CN"/>
              </w:rPr>
              <w:t>：（一）</w:t>
            </w:r>
            <w:r>
              <w:rPr>
                <w:rFonts w:hint="eastAsia" w:ascii="仿宋_GB2312" w:hAnsi="仿宋_GB2312" w:eastAsia="仿宋_GB2312" w:cs="仿宋_GB2312"/>
                <w:snapToGrid w:val="0"/>
                <w:color w:val="000000"/>
                <w:sz w:val="20"/>
                <w:szCs w:val="20"/>
                <w:highlight w:val="none"/>
              </w:rPr>
              <w:t>自行修改统计资料、编造虚假统计数据的</w:t>
            </w:r>
            <w:r>
              <w:rPr>
                <w:rFonts w:hint="eastAsia" w:ascii="仿宋_GB2312" w:hAnsi="仿宋_GB2312" w:eastAsia="仿宋_GB2312" w:cs="仿宋_GB2312"/>
                <w:snapToGrid w:val="0"/>
                <w:color w:val="000000"/>
                <w:sz w:val="20"/>
                <w:szCs w:val="20"/>
                <w:highlight w:val="none"/>
                <w:lang w:eastAsia="zh-CN"/>
              </w:rPr>
              <w:t>；（二）</w:t>
            </w:r>
            <w:r>
              <w:rPr>
                <w:rFonts w:hint="eastAsia" w:ascii="仿宋_GB2312" w:hAnsi="仿宋_GB2312" w:eastAsia="仿宋_GB2312" w:cs="仿宋_GB2312"/>
                <w:snapToGrid w:val="0"/>
                <w:color w:val="000000"/>
                <w:sz w:val="20"/>
                <w:szCs w:val="20"/>
                <w:highlight w:val="none"/>
              </w:rPr>
              <w:t>要求统计机构、统计人员或者其他机构、人员伪造、篡改统计资料的</w:t>
            </w:r>
            <w:r>
              <w:rPr>
                <w:rFonts w:hint="eastAsia" w:ascii="仿宋_GB2312" w:hAnsi="仿宋_GB2312" w:eastAsia="仿宋_GB2312" w:cs="仿宋_GB2312"/>
                <w:snapToGrid w:val="0"/>
                <w:color w:val="000000"/>
                <w:sz w:val="20"/>
                <w:szCs w:val="20"/>
                <w:highlight w:val="none"/>
                <w:lang w:eastAsia="zh-CN"/>
              </w:rPr>
              <w:t>；（三）</w:t>
            </w:r>
            <w:r>
              <w:rPr>
                <w:rFonts w:hint="eastAsia" w:ascii="仿宋_GB2312" w:hAnsi="仿宋_GB2312" w:eastAsia="仿宋_GB2312" w:cs="仿宋_GB2312"/>
                <w:snapToGrid w:val="0"/>
                <w:color w:val="000000"/>
                <w:sz w:val="20"/>
                <w:szCs w:val="20"/>
                <w:highlight w:val="none"/>
              </w:rPr>
              <w:t>对依法履行职责或者拒绝、抵制统计违法行为的统计人员打击报复的</w:t>
            </w:r>
            <w:r>
              <w:rPr>
                <w:rFonts w:hint="eastAsia" w:ascii="仿宋_GB2312" w:hAnsi="仿宋_GB2312" w:eastAsia="仿宋_GB2312" w:cs="仿宋_GB2312"/>
                <w:snapToGrid w:val="0"/>
                <w:color w:val="000000"/>
                <w:sz w:val="20"/>
                <w:szCs w:val="20"/>
                <w:highlight w:val="none"/>
                <w:lang w:eastAsia="zh-CN"/>
              </w:rPr>
              <w:t>；（四）</w:t>
            </w:r>
            <w:r>
              <w:rPr>
                <w:rFonts w:hint="eastAsia" w:ascii="仿宋_GB2312" w:hAnsi="仿宋_GB2312" w:eastAsia="仿宋_GB2312" w:cs="仿宋_GB2312"/>
                <w:snapToGrid w:val="0"/>
                <w:color w:val="000000"/>
                <w:sz w:val="20"/>
                <w:szCs w:val="20"/>
                <w:highlight w:val="none"/>
              </w:rPr>
              <w:t xml:space="preserve"> 对本地方、本部门、本单位发生的严重统计违法行为失察的。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snapToGrid w:val="0"/>
                <w:color w:val="000000"/>
                <w:sz w:val="20"/>
                <w:szCs w:val="20"/>
                <w:highlight w:val="none"/>
                <w:lang w:val="en-US" w:eastAsia="zh-CN"/>
              </w:rPr>
              <w:t>2.</w:t>
            </w:r>
            <w:r>
              <w:rPr>
                <w:rFonts w:hint="eastAsia" w:ascii="仿宋_GB2312" w:hAnsi="仿宋_GB2312" w:eastAsia="仿宋_GB2312" w:cs="仿宋_GB2312"/>
                <w:snapToGrid w:val="0"/>
                <w:color w:val="000000"/>
                <w:sz w:val="20"/>
                <w:szCs w:val="20"/>
                <w:highlight w:val="none"/>
              </w:rPr>
              <w:t>同上</w:t>
            </w:r>
          </w:p>
        </w:tc>
        <w:tc>
          <w:tcPr>
            <w:tcW w:w="1170"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法律法规规定的免责情</w:t>
            </w:r>
          </w:p>
          <w:p>
            <w:pPr>
              <w:keepNext w:val="0"/>
              <w:keepLines w:val="0"/>
              <w:pageBreakBefore w:val="0"/>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val="en-US" w:eastAsia="zh-CN"/>
              </w:rPr>
              <w:t>形及市委、</w:t>
            </w:r>
          </w:p>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snapToGrid w:val="0"/>
                <w:color w:val="000000"/>
                <w:kern w:val="2"/>
                <w:sz w:val="20"/>
                <w:szCs w:val="20"/>
                <w:highlight w:val="none"/>
                <w:lang w:val="en-US" w:eastAsia="zh-CN" w:bidi="ar-SA"/>
              </w:rPr>
            </w:pPr>
            <w:r>
              <w:rPr>
                <w:rFonts w:hint="eastAsia" w:ascii="仿宋_GB2312" w:hAnsi="仿宋_GB2312" w:eastAsia="仿宋_GB2312" w:cs="仿宋_GB2312"/>
                <w:color w:val="000000"/>
                <w:kern w:val="0"/>
                <w:sz w:val="20"/>
                <w:szCs w:val="20"/>
                <w:lang w:val="en-US" w:eastAsia="zh-CN"/>
              </w:rPr>
              <w:t>市人民政府有关文件中明确的免责情形</w:t>
            </w:r>
          </w:p>
        </w:tc>
        <w:tc>
          <w:tcPr>
            <w:tcW w:w="737" w:type="dxa"/>
            <w:noWrap w:val="0"/>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300" w:lineRule="exact"/>
              <w:rPr>
                <w:rFonts w:hint="eastAsia"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36</w:t>
            </w:r>
          </w:p>
        </w:tc>
        <w:tc>
          <w:tcPr>
            <w:tcW w:w="45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p>
        </w:tc>
        <w:tc>
          <w:tcPr>
            <w:tcW w:w="443"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lang w:val="en-US" w:eastAsia="zh-CN"/>
              </w:rPr>
              <w:t>XX乡（镇）人民政府</w:t>
            </w:r>
          </w:p>
        </w:tc>
        <w:tc>
          <w:tcPr>
            <w:tcW w:w="782"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eastAsia="zh-CN"/>
              </w:rPr>
            </w:pPr>
          </w:p>
        </w:tc>
        <w:tc>
          <w:tcPr>
            <w:tcW w:w="293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【地方性法规】《广西壮族自治区禁止非医学需要鉴定胎儿性别和选择性别人工终止妊娠的规定》（2011年广西壮族自治区第十一届人民代表大会常务委员会第二十二次会议通过）第九</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符合法定生育条件且妊娠十四周以上的妇女不得人工终止妊娠，但有下列情形之一的除外：</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（一）胎儿有严重缺陷或者患有严重遗传性疾病的；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（二）妊娠妇女患有严重疾病，继续妊娠将危及生命安全或者严重危害健康的；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（三）经自治区人民政府卫生行政部门指定的医疗保健机构诊断认为需要终止妊娠的；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（四）离婚、丧偶等要求终止妊娠的。</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医疗保健机构或者计划生育技术服务机构施行人工终止妊娠手术前，应当遵守下列规定：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1.受理环节责任：公示依法应当提交的材料和受理条件；一次性告知补齐补正材料；依法受理或不予受理（不予受理应当告知理由）。</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2.审查环节责任：审核材料真实性和合法性，并提出审查意见。</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3.决定环节责任：作出行政许可或不予行政许可的决定（不予许可的应书面说明理由，并告知当事人享有依法申请行政复议或提起行政诉讼的权利）。</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4.送达环节责任：准予许可的，制发许可证书或批件。</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5.</w:t>
            </w:r>
            <w:r>
              <w:rPr>
                <w:rFonts w:hint="eastAsia" w:ascii="仿宋_GB2312" w:hAnsi="仿宋_GB2312" w:eastAsia="仿宋_GB2312" w:cs="仿宋_GB2312"/>
                <w:color w:val="auto"/>
                <w:kern w:val="0"/>
                <w:sz w:val="20"/>
                <w:szCs w:val="20"/>
              </w:rPr>
              <w:t>其他法律法规规章文件规定应履行的责任。</w:t>
            </w:r>
          </w:p>
        </w:tc>
        <w:tc>
          <w:tcPr>
            <w:tcW w:w="381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第三十八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4.【法律】</w:t>
            </w:r>
            <w:r>
              <w:rPr>
                <w:rFonts w:hint="eastAsia" w:ascii="仿宋_GB2312" w:hAnsi="仿宋_GB2312" w:eastAsia="仿宋_GB2312" w:cs="仿宋_GB2312"/>
                <w:color w:val="auto"/>
                <w:kern w:val="0"/>
                <w:sz w:val="20"/>
                <w:szCs w:val="20"/>
                <w:lang w:eastAsia="zh-CN"/>
              </w:rPr>
              <w:t>《中华人民共和国行政许可法》</w:t>
            </w:r>
            <w:r>
              <w:rPr>
                <w:rFonts w:hint="eastAsia" w:ascii="仿宋_GB2312" w:hAnsi="仿宋_GB2312" w:eastAsia="仿宋_GB2312" w:cs="仿宋_GB2312"/>
                <w:color w:val="auto"/>
                <w:kern w:val="0"/>
                <w:sz w:val="20"/>
                <w:szCs w:val="20"/>
              </w:rPr>
              <w:t>第四十四</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行政机关作出准予行政许可的决定，应当自作出决定之日起十日内向申请人颁发、送达行政许可证件，或者加贴标签、加盖检验、检测、检疫印章。</w:t>
            </w:r>
          </w:p>
        </w:tc>
        <w:tc>
          <w:tcPr>
            <w:tcW w:w="2969"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因不履行或不正确履行行政</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职责，有下列情形</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的，行政机关及相关工作人员应承担相应责任：</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1.未按规定组织开展医师定期</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考核或委托考核机构进行考核的。     2.未履行监督责任的。3.其他违反法律法规的情形。</w:t>
            </w:r>
          </w:p>
        </w:tc>
        <w:tc>
          <w:tcPr>
            <w:tcW w:w="4161"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70"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olor w:val="000000"/>
                <w:kern w:val="0"/>
                <w:sz w:val="20"/>
                <w:szCs w:val="20"/>
                <w:u w:val="none"/>
                <w:lang w:val="en-US" w:eastAsia="zh-CN" w:bidi="ar"/>
              </w:rPr>
              <w:t>法律法规规章规定的免责情。</w:t>
            </w:r>
          </w:p>
        </w:tc>
        <w:tc>
          <w:tcPr>
            <w:tcW w:w="737" w:type="dxa"/>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rPr>
                <w:rFonts w:hint="eastAsia" w:ascii="仿宋_GB2312" w:hAnsi="仿宋_GB2312" w:eastAsia="仿宋_GB2312" w:cs="仿宋_GB2312"/>
                <w:color w:val="auto"/>
                <w:kern w:val="0"/>
                <w:sz w:val="20"/>
                <w:szCs w:val="20"/>
                <w:lang w:val="en-US" w:eastAsia="zh-CN"/>
              </w:rPr>
            </w:pPr>
          </w:p>
        </w:tc>
      </w:tr>
    </w:tbl>
    <w:p>
      <w:pPr>
        <w:rPr>
          <w:rFonts w:hint="eastAsia"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ZWZkODE0YTVmZmNkNDRhZjM3MWZjYzIxZGJlNDcifQ=="/>
  </w:docVars>
  <w:rsids>
    <w:rsidRoot w:val="5DCA0F26"/>
    <w:rsid w:val="011675EA"/>
    <w:rsid w:val="015F5DD0"/>
    <w:rsid w:val="01C052F5"/>
    <w:rsid w:val="01E21AEB"/>
    <w:rsid w:val="031569F5"/>
    <w:rsid w:val="03B42240"/>
    <w:rsid w:val="04F63615"/>
    <w:rsid w:val="04FE56D2"/>
    <w:rsid w:val="05460069"/>
    <w:rsid w:val="057C552B"/>
    <w:rsid w:val="05A17AD6"/>
    <w:rsid w:val="067A6867"/>
    <w:rsid w:val="06820D66"/>
    <w:rsid w:val="068E2344"/>
    <w:rsid w:val="06B70E4A"/>
    <w:rsid w:val="077F14C3"/>
    <w:rsid w:val="07F72B3F"/>
    <w:rsid w:val="08124A29"/>
    <w:rsid w:val="0850231C"/>
    <w:rsid w:val="08DE3DA3"/>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736B69"/>
    <w:rsid w:val="138446FB"/>
    <w:rsid w:val="138C5AD4"/>
    <w:rsid w:val="13AD0114"/>
    <w:rsid w:val="13F13B5D"/>
    <w:rsid w:val="144775E6"/>
    <w:rsid w:val="14F7361D"/>
    <w:rsid w:val="159E414D"/>
    <w:rsid w:val="15F32621"/>
    <w:rsid w:val="169D22EB"/>
    <w:rsid w:val="17421926"/>
    <w:rsid w:val="175E564A"/>
    <w:rsid w:val="17845CA2"/>
    <w:rsid w:val="178C1FD1"/>
    <w:rsid w:val="179D3B41"/>
    <w:rsid w:val="17D275F9"/>
    <w:rsid w:val="1830753E"/>
    <w:rsid w:val="184E796B"/>
    <w:rsid w:val="18A86B4D"/>
    <w:rsid w:val="195F2281"/>
    <w:rsid w:val="19DB6FDF"/>
    <w:rsid w:val="1AC14290"/>
    <w:rsid w:val="1ADD1666"/>
    <w:rsid w:val="1BBB2653"/>
    <w:rsid w:val="1BEC659B"/>
    <w:rsid w:val="1CB42226"/>
    <w:rsid w:val="1CDF6673"/>
    <w:rsid w:val="1D507EB3"/>
    <w:rsid w:val="1E782E07"/>
    <w:rsid w:val="1E9B2DB3"/>
    <w:rsid w:val="1F0B3750"/>
    <w:rsid w:val="1F754ACB"/>
    <w:rsid w:val="1F87779B"/>
    <w:rsid w:val="204460F6"/>
    <w:rsid w:val="20515ADA"/>
    <w:rsid w:val="20753B32"/>
    <w:rsid w:val="2142218E"/>
    <w:rsid w:val="21602BD4"/>
    <w:rsid w:val="217E4362"/>
    <w:rsid w:val="21BF4218"/>
    <w:rsid w:val="21E14FE4"/>
    <w:rsid w:val="221B240C"/>
    <w:rsid w:val="22517F9B"/>
    <w:rsid w:val="240F619A"/>
    <w:rsid w:val="2416386D"/>
    <w:rsid w:val="25B65CEB"/>
    <w:rsid w:val="26535612"/>
    <w:rsid w:val="2722104F"/>
    <w:rsid w:val="27532294"/>
    <w:rsid w:val="277F2F2D"/>
    <w:rsid w:val="27E32305"/>
    <w:rsid w:val="280E2503"/>
    <w:rsid w:val="28294644"/>
    <w:rsid w:val="28E079FB"/>
    <w:rsid w:val="2A4139A0"/>
    <w:rsid w:val="2ABF7F77"/>
    <w:rsid w:val="2B9D0161"/>
    <w:rsid w:val="2C4415B0"/>
    <w:rsid w:val="2C7449D4"/>
    <w:rsid w:val="2CA7618E"/>
    <w:rsid w:val="2CC336B2"/>
    <w:rsid w:val="2CDD25E2"/>
    <w:rsid w:val="2D1F1043"/>
    <w:rsid w:val="2DEB48D6"/>
    <w:rsid w:val="2E323F3D"/>
    <w:rsid w:val="2E73317C"/>
    <w:rsid w:val="2E7D1F5B"/>
    <w:rsid w:val="2F3A4283"/>
    <w:rsid w:val="30B40786"/>
    <w:rsid w:val="3148081D"/>
    <w:rsid w:val="31C92054"/>
    <w:rsid w:val="31D62E1D"/>
    <w:rsid w:val="325027EE"/>
    <w:rsid w:val="32694107"/>
    <w:rsid w:val="32AC4EE2"/>
    <w:rsid w:val="32BC063A"/>
    <w:rsid w:val="32FE65F6"/>
    <w:rsid w:val="330A4270"/>
    <w:rsid w:val="331D35FA"/>
    <w:rsid w:val="334E5EA9"/>
    <w:rsid w:val="338323E4"/>
    <w:rsid w:val="33C344F4"/>
    <w:rsid w:val="340706E9"/>
    <w:rsid w:val="34336FF2"/>
    <w:rsid w:val="359B0B00"/>
    <w:rsid w:val="360965D7"/>
    <w:rsid w:val="362E5CDC"/>
    <w:rsid w:val="366E215D"/>
    <w:rsid w:val="36C41867"/>
    <w:rsid w:val="36CA4935"/>
    <w:rsid w:val="37983B97"/>
    <w:rsid w:val="38384BD2"/>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A1064"/>
    <w:rsid w:val="476F48BD"/>
    <w:rsid w:val="47F52506"/>
    <w:rsid w:val="48616501"/>
    <w:rsid w:val="48E14678"/>
    <w:rsid w:val="491875B7"/>
    <w:rsid w:val="498F1A9B"/>
    <w:rsid w:val="4A1D4FA7"/>
    <w:rsid w:val="4A46080E"/>
    <w:rsid w:val="4B357D3A"/>
    <w:rsid w:val="4C026487"/>
    <w:rsid w:val="4C0902B0"/>
    <w:rsid w:val="4C4A3D1B"/>
    <w:rsid w:val="4C6C3DB1"/>
    <w:rsid w:val="4CC7150F"/>
    <w:rsid w:val="4D1A1CDF"/>
    <w:rsid w:val="4D2134DD"/>
    <w:rsid w:val="4D3032B0"/>
    <w:rsid w:val="4F1B2C8C"/>
    <w:rsid w:val="4FD82365"/>
    <w:rsid w:val="50103C1A"/>
    <w:rsid w:val="516D7A79"/>
    <w:rsid w:val="52050320"/>
    <w:rsid w:val="5283444E"/>
    <w:rsid w:val="53D85C9D"/>
    <w:rsid w:val="54372D17"/>
    <w:rsid w:val="544B5FDC"/>
    <w:rsid w:val="54813591"/>
    <w:rsid w:val="54B54496"/>
    <w:rsid w:val="54DA05AA"/>
    <w:rsid w:val="54ED6EBD"/>
    <w:rsid w:val="54FB29CE"/>
    <w:rsid w:val="552117E0"/>
    <w:rsid w:val="552A088E"/>
    <w:rsid w:val="55C3647B"/>
    <w:rsid w:val="56064D2B"/>
    <w:rsid w:val="56067C81"/>
    <w:rsid w:val="56091C83"/>
    <w:rsid w:val="5667559D"/>
    <w:rsid w:val="576C2C57"/>
    <w:rsid w:val="58785589"/>
    <w:rsid w:val="5A05197F"/>
    <w:rsid w:val="5A221B66"/>
    <w:rsid w:val="5AD00162"/>
    <w:rsid w:val="5AD2718F"/>
    <w:rsid w:val="5AF347F1"/>
    <w:rsid w:val="5B2F06F8"/>
    <w:rsid w:val="5BC540A8"/>
    <w:rsid w:val="5BFD58CF"/>
    <w:rsid w:val="5C7D7084"/>
    <w:rsid w:val="5D0403B6"/>
    <w:rsid w:val="5D3D6DEF"/>
    <w:rsid w:val="5DCA0F26"/>
    <w:rsid w:val="5E263F67"/>
    <w:rsid w:val="5E540135"/>
    <w:rsid w:val="5F993740"/>
    <w:rsid w:val="606232AE"/>
    <w:rsid w:val="606E4E45"/>
    <w:rsid w:val="607E4798"/>
    <w:rsid w:val="60AE592B"/>
    <w:rsid w:val="6106379C"/>
    <w:rsid w:val="618D7A19"/>
    <w:rsid w:val="632471DC"/>
    <w:rsid w:val="649E38F9"/>
    <w:rsid w:val="64AD3AA5"/>
    <w:rsid w:val="64B42626"/>
    <w:rsid w:val="64BA2133"/>
    <w:rsid w:val="6648015B"/>
    <w:rsid w:val="666A6A65"/>
    <w:rsid w:val="670A7A34"/>
    <w:rsid w:val="68B021EF"/>
    <w:rsid w:val="69AA263B"/>
    <w:rsid w:val="6A687132"/>
    <w:rsid w:val="6B685C60"/>
    <w:rsid w:val="6B7439F8"/>
    <w:rsid w:val="6B8A0454"/>
    <w:rsid w:val="6C1A3DE9"/>
    <w:rsid w:val="6D375CEF"/>
    <w:rsid w:val="6D387555"/>
    <w:rsid w:val="6DB23336"/>
    <w:rsid w:val="6DCC3F57"/>
    <w:rsid w:val="6E1E2DBD"/>
    <w:rsid w:val="6EE25D58"/>
    <w:rsid w:val="6F10581E"/>
    <w:rsid w:val="700A405F"/>
    <w:rsid w:val="70C70C40"/>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8FB5B60"/>
    <w:rsid w:val="792228BA"/>
    <w:rsid w:val="79407273"/>
    <w:rsid w:val="798C21A4"/>
    <w:rsid w:val="79DA6121"/>
    <w:rsid w:val="7A7C72A1"/>
    <w:rsid w:val="7ACE0058"/>
    <w:rsid w:val="7AE07DDC"/>
    <w:rsid w:val="7AEE7234"/>
    <w:rsid w:val="7AF62418"/>
    <w:rsid w:val="7B7F7B3F"/>
    <w:rsid w:val="7B917650"/>
    <w:rsid w:val="7B9A5BD4"/>
    <w:rsid w:val="7CF32906"/>
    <w:rsid w:val="7D816EE4"/>
    <w:rsid w:val="7E344715"/>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sz w:val="21"/>
    </w:r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qFormat/>
    <w:uiPriority w:val="0"/>
    <w:pPr>
      <w:snapToGrid w:val="0"/>
      <w:jc w:val="left"/>
    </w:pPr>
    <w:rPr>
      <w:rFonts w:ascii="Times New Roman" w:hAnsi="Times New Roman"/>
      <w:kern w:val="0"/>
      <w:sz w:val="18"/>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 w:type="paragraph" w:customStyle="1" w:styleId="21">
    <w:name w:val="title_m"/>
    <w:basedOn w:val="1"/>
    <w:qFormat/>
    <w:uiPriority w:val="0"/>
    <w:pPr>
      <w:jc w:val="center"/>
    </w:pPr>
    <w:rPr>
      <w:rFonts w:ascii="宋体" w:hAnsi="宋体" w:eastAsia="宋体" w:cs="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117942</Words>
  <Characters>120850</Characters>
  <Lines>0</Lines>
  <Paragraphs>0</Paragraphs>
  <TotalTime>0</TotalTime>
  <ScaleCrop>false</ScaleCrop>
  <LinksUpToDate>false</LinksUpToDate>
  <CharactersWithSpaces>121877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暖暖</dc:creator>
  <cp:lastModifiedBy>Administrator</cp:lastModifiedBy>
  <dcterms:modified xsi:type="dcterms:W3CDTF">2023-08-31T07:54:24Z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41DD5F87C1E944F999892DCEF89CE293_13</vt:lpwstr>
  </property>
</Properties>
</file>