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安太</w:t>
      </w:r>
      <w:r>
        <w:rPr>
          <w:rFonts w:hint="eastAsia" w:eastAsia="方正小标宋简体" w:cs="方正小标宋简体"/>
          <w:snapToGrid w:val="0"/>
          <w:color w:val="auto"/>
          <w:sz w:val="44"/>
          <w:szCs w:val="44"/>
          <w:lang w:eastAsia="zh-CN"/>
        </w:rPr>
        <w:t>乡人民政府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安安太乡人民政府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X安太乡人民政府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安太乡人民政府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安太乡人民政府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安太乡人民政府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安太乡人民政府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安太乡人民政府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pStyle w:val="2"/>
              <w:numPr>
                <w:ilvl w:val="0"/>
                <w:numId w:val="0"/>
              </w:numPr>
              <w:rPr>
                <w:rFonts w:hint="default"/>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lang w:val="en-US" w:eastAsia="zh-CN"/>
              </w:rPr>
              <w:t>县级辖区内，国有林场和自然保护区内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由县林业局行使；乡镇集体林区内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由乡镇人民政府行使。</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color w:val="auto"/>
                <w:kern w:val="2"/>
                <w:sz w:val="20"/>
                <w:szCs w:val="20"/>
                <w:u w:val="none"/>
                <w:lang w:val="en-US" w:eastAsia="zh-CN" w:bidi="ar"/>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kern w:val="2"/>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lang w:val="en-US" w:eastAsia="zh-CN"/>
              </w:rPr>
            </w:pPr>
          </w:p>
          <w:p>
            <w:pPr>
              <w:bidi w:val="0"/>
              <w:jc w:val="left"/>
              <w:rPr>
                <w:rFonts w:hint="eastAsia" w:ascii="仿宋_GB2312" w:hAnsi="仿宋_GB2312" w:eastAsia="仿宋_GB2312" w:cs="仿宋_GB2312"/>
                <w:snapToGrid w:val="0"/>
                <w:color w:val="auto"/>
                <w:kern w:val="2"/>
                <w:sz w:val="20"/>
                <w:szCs w:val="20"/>
                <w:lang w:val="en-US" w:eastAsia="zh-CN" w:bidi="ar-SA"/>
              </w:rPr>
            </w:pPr>
            <w:r>
              <w:rPr>
                <w:rFonts w:hint="eastAsia" w:ascii="Times New Roman" w:hAnsi="Times New Roman" w:eastAsia="宋体" w:cs="Times New Roman"/>
                <w:kern w:val="2"/>
                <w:sz w:val="21"/>
                <w:szCs w:val="24"/>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color w:val="auto"/>
                <w:kern w:val="0"/>
                <w:sz w:val="20"/>
                <w:szCs w:val="20"/>
                <w:lang w:val="en-US"/>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bookmarkStart w:id="1" w:name="_GoBack" w:colFirst="6" w:colLast="6"/>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安太乡人民政府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XX乡（镇）人民政府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ZWZkODE0YTVmZmNkNDRhZjM3MWZjYzIxZGJlNDcifQ=="/>
  </w:docVars>
  <w:rsids>
    <w:rsidRoot w:val="5DCA0F26"/>
    <w:rsid w:val="011675EA"/>
    <w:rsid w:val="015F5DD0"/>
    <w:rsid w:val="016B07EB"/>
    <w:rsid w:val="01C052F5"/>
    <w:rsid w:val="01DF3748"/>
    <w:rsid w:val="01E21AEB"/>
    <w:rsid w:val="022574C7"/>
    <w:rsid w:val="031569F5"/>
    <w:rsid w:val="04F63615"/>
    <w:rsid w:val="04FE56D2"/>
    <w:rsid w:val="05460069"/>
    <w:rsid w:val="057C552B"/>
    <w:rsid w:val="05A17AD6"/>
    <w:rsid w:val="05F066E3"/>
    <w:rsid w:val="067A6867"/>
    <w:rsid w:val="06820D66"/>
    <w:rsid w:val="068E2344"/>
    <w:rsid w:val="06B70E4A"/>
    <w:rsid w:val="077F14C3"/>
    <w:rsid w:val="07F72B3F"/>
    <w:rsid w:val="08124A29"/>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2CB4ED4"/>
    <w:rsid w:val="13234B6C"/>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C14290"/>
    <w:rsid w:val="1ADD1666"/>
    <w:rsid w:val="1BBB2653"/>
    <w:rsid w:val="1CB42226"/>
    <w:rsid w:val="1CDF6673"/>
    <w:rsid w:val="1D507EB3"/>
    <w:rsid w:val="1DBB21E7"/>
    <w:rsid w:val="1E782E07"/>
    <w:rsid w:val="1E9B2DB3"/>
    <w:rsid w:val="1F0B3750"/>
    <w:rsid w:val="1F754ACB"/>
    <w:rsid w:val="1F87779B"/>
    <w:rsid w:val="204460F6"/>
    <w:rsid w:val="20515ADA"/>
    <w:rsid w:val="20753B32"/>
    <w:rsid w:val="2142218E"/>
    <w:rsid w:val="21602BD4"/>
    <w:rsid w:val="216161BD"/>
    <w:rsid w:val="217E4362"/>
    <w:rsid w:val="21BF4218"/>
    <w:rsid w:val="21E14FE4"/>
    <w:rsid w:val="221B240C"/>
    <w:rsid w:val="22517F9B"/>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EB48D6"/>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983B97"/>
    <w:rsid w:val="385D2697"/>
    <w:rsid w:val="3A3F1455"/>
    <w:rsid w:val="3A4B6C12"/>
    <w:rsid w:val="3A572BBA"/>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A1064"/>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561577"/>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E7A5F98"/>
    <w:rsid w:val="5F993740"/>
    <w:rsid w:val="606232AE"/>
    <w:rsid w:val="606E4E45"/>
    <w:rsid w:val="607E4798"/>
    <w:rsid w:val="60AE592B"/>
    <w:rsid w:val="6106379C"/>
    <w:rsid w:val="618D7A19"/>
    <w:rsid w:val="632471DC"/>
    <w:rsid w:val="649E38F9"/>
    <w:rsid w:val="64AD3AA5"/>
    <w:rsid w:val="64B42626"/>
    <w:rsid w:val="64BA2133"/>
    <w:rsid w:val="6648015B"/>
    <w:rsid w:val="666A6A65"/>
    <w:rsid w:val="670A7A34"/>
    <w:rsid w:val="68B021EF"/>
    <w:rsid w:val="69AA263B"/>
    <w:rsid w:val="6A687132"/>
    <w:rsid w:val="6B685C60"/>
    <w:rsid w:val="6B7439F8"/>
    <w:rsid w:val="6B8A0454"/>
    <w:rsid w:val="6C1A3DE9"/>
    <w:rsid w:val="6CB8762D"/>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0C03DF"/>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917650"/>
    <w:rsid w:val="7CF32906"/>
    <w:rsid w:val="7D816EE4"/>
    <w:rsid w:val="7E344715"/>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customStyle="1" w:styleId="21">
    <w:name w:val="title_m"/>
    <w:basedOn w:val="1"/>
    <w:qFormat/>
    <w:uiPriority w:val="0"/>
    <w:pPr>
      <w:jc w:val="center"/>
    </w:pPr>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117942</Words>
  <Characters>120850</Characters>
  <Lines>0</Lines>
  <Paragraphs>0</Paragraphs>
  <TotalTime>0</TotalTime>
  <ScaleCrop>false</ScaleCrop>
  <LinksUpToDate>false</LinksUpToDate>
  <CharactersWithSpaces>121877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2023-08-31T08:02:08Z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