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融水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苗族自治县民政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局行政执法救济渠道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救济渠道：</w:t>
      </w:r>
    </w:p>
    <w:p>
      <w:p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1.当事人对本局实施的行政执法行为，依法享有陈述权和申辩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权；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2.在本局作出具体行政行为之前，依法符合听证条件的，当事人有权要求听证；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3.当事人对本局具体行政行为不服的，可以自收到该具体行政行为之日起60日内向柳州市城管执法局或融水县人民政府申请行政复议，或者自收到该具体行政行为之日起6个月内直接向融水县人民法院提起行政诉讼，法律另有规定的除外。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4.因本局违法事实行政行为受到损害的，当事人有权提出赔偿要求。</w:t>
      </w:r>
    </w:p>
    <w:p>
      <w:pPr>
        <w:tabs>
          <w:tab w:val="left" w:pos="726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503965"/>
    <w:rsid w:val="22DF02C5"/>
    <w:rsid w:val="4D3D5548"/>
    <w:rsid w:val="610E7483"/>
    <w:rsid w:val="7AC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2021-09-18T08:56:51Z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20BD45EDFBB547A29066E20D34FB8335</vt:lpwstr>
  </property>
</Properties>
</file>