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B7" w:rsidRPr="004A610C" w:rsidRDefault="00171AB7" w:rsidP="00171AB7">
      <w:pPr>
        <w:widowControl w:val="0"/>
        <w:spacing w:after="0" w:line="500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</w:t>
      </w:r>
    </w:p>
    <w:p w:rsidR="00171AB7" w:rsidRPr="004A610C" w:rsidRDefault="00171AB7" w:rsidP="00171AB7">
      <w:pPr>
        <w:widowControl w:val="0"/>
        <w:spacing w:after="0" w:line="50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 w:rsidRPr="004A610C"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融水苗族自治县</w:t>
      </w:r>
      <w:r w:rsidRPr="004A610C">
        <w:rPr>
          <w:rFonts w:ascii="Times New Roman" w:eastAsia="方正小标宋简体" w:hAnsi="Times New Roman" w:cs="Times New Roman"/>
          <w:kern w:val="2"/>
          <w:sz w:val="44"/>
          <w:szCs w:val="44"/>
        </w:rPr>
        <w:t>县城融江饮用水水源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br/>
      </w:r>
      <w:r w:rsidRPr="004A610C">
        <w:rPr>
          <w:rFonts w:ascii="Times New Roman" w:eastAsia="方正小标宋简体" w:hAnsi="Times New Roman" w:cs="Times New Roman"/>
          <w:kern w:val="2"/>
          <w:sz w:val="44"/>
          <w:szCs w:val="44"/>
        </w:rPr>
        <w:t>保护区划定方案</w:t>
      </w:r>
    </w:p>
    <w:p w:rsidR="00171AB7" w:rsidRPr="004A610C" w:rsidRDefault="00171AB7" w:rsidP="00171AB7">
      <w:pPr>
        <w:widowControl w:val="0"/>
        <w:adjustRightInd/>
        <w:snapToGrid/>
        <w:spacing w:after="0"/>
        <w:ind w:firstLine="560"/>
        <w:jc w:val="both"/>
        <w:rPr>
          <w:rFonts w:ascii="Times New Roman" w:eastAsia="宋体" w:hAnsi="Times New Roman" w:cs="Times New Roman"/>
          <w:kern w:val="2"/>
          <w:sz w:val="28"/>
          <w:szCs w:val="28"/>
        </w:rPr>
      </w:pP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为保护和改善饮用水水源水质，防治水污染，保障人民群众饮水安全，按照国家有关法律、技术规范，结合融水苗族自治县实际情况，制定本方案。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一、划定依据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）《中华人民共和国水污染防治法》（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2018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年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日修订）；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）《地表水环境质量标准》（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GB3838-2002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）；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）《生活饮用水卫生标准》（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GB 5749-2006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）；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4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）《广西壮族自治区饮用水水源保护条例》（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2017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年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5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日起施行）；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5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）《饮用水水源地保护区划分技术规范》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(HJ/T 338-2018)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；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6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）《融水县县城融江饮用水水源保护区调整技术报告》。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二、饮用水水源保护区的划分范围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融水苗族自治县辖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7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个镇、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13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个乡，融水镇为县政府所在地，融水县县城融江水源地保护区已于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2012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年通过自治区人民政府审批，划分总面积为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65.10km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  <w:vertAlign w:val="superscript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。本次划定工作为融水县县城集中式饮用水源，该水源基本情况如下表。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171AB7" w:rsidRPr="004A610C" w:rsidRDefault="00171AB7" w:rsidP="00171AB7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kern w:val="2"/>
          <w:sz w:val="28"/>
          <w:szCs w:val="28"/>
        </w:rPr>
      </w:pPr>
      <w:r w:rsidRPr="004A610C">
        <w:rPr>
          <w:rFonts w:ascii="Times New Roman" w:eastAsia="宋体" w:hAnsi="Times New Roman" w:cs="Times New Roman"/>
          <w:b/>
          <w:kern w:val="2"/>
          <w:sz w:val="28"/>
          <w:szCs w:val="28"/>
        </w:rPr>
        <w:t>表</w:t>
      </w:r>
      <w:r w:rsidRPr="004A610C">
        <w:rPr>
          <w:rFonts w:ascii="Times New Roman" w:eastAsia="宋体" w:hAnsi="Times New Roman" w:cs="Times New Roman"/>
          <w:b/>
          <w:kern w:val="2"/>
          <w:sz w:val="28"/>
          <w:szCs w:val="28"/>
        </w:rPr>
        <w:t xml:space="preserve">1    </w:t>
      </w:r>
      <w:r w:rsidRPr="004A610C">
        <w:rPr>
          <w:rFonts w:ascii="Times New Roman" w:eastAsia="宋体" w:hAnsi="Times New Roman" w:cs="Times New Roman"/>
          <w:b/>
          <w:kern w:val="2"/>
          <w:sz w:val="28"/>
          <w:szCs w:val="28"/>
        </w:rPr>
        <w:t>融水县县城融江水源地基本情况一览表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842"/>
        <w:gridCol w:w="1562"/>
        <w:gridCol w:w="1081"/>
        <w:gridCol w:w="929"/>
        <w:gridCol w:w="1198"/>
        <w:gridCol w:w="864"/>
      </w:tblGrid>
      <w:tr w:rsidR="00171AB7" w:rsidRPr="004A610C" w:rsidTr="00A16627">
        <w:trPr>
          <w:trHeight w:val="397"/>
        </w:trPr>
        <w:tc>
          <w:tcPr>
            <w:tcW w:w="974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县市名称</w:t>
            </w:r>
          </w:p>
        </w:tc>
        <w:tc>
          <w:tcPr>
            <w:tcW w:w="992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水源地名称</w:t>
            </w:r>
          </w:p>
        </w:tc>
        <w:tc>
          <w:tcPr>
            <w:tcW w:w="841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水源地代码</w:t>
            </w:r>
          </w:p>
        </w:tc>
        <w:tc>
          <w:tcPr>
            <w:tcW w:w="582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水源地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 xml:space="preserve"> 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类型</w:t>
            </w:r>
          </w:p>
        </w:tc>
        <w:tc>
          <w:tcPr>
            <w:tcW w:w="500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使用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 xml:space="preserve"> 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状态</w:t>
            </w:r>
          </w:p>
        </w:tc>
        <w:tc>
          <w:tcPr>
            <w:tcW w:w="645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服务范围</w:t>
            </w:r>
          </w:p>
        </w:tc>
        <w:tc>
          <w:tcPr>
            <w:tcW w:w="465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是否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 xml:space="preserve"> 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通航</w:t>
            </w:r>
          </w:p>
        </w:tc>
      </w:tr>
      <w:tr w:rsidR="00171AB7" w:rsidRPr="004A610C" w:rsidTr="00A16627">
        <w:trPr>
          <w:trHeight w:val="397"/>
        </w:trPr>
        <w:tc>
          <w:tcPr>
            <w:tcW w:w="974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融水苗族自治县</w:t>
            </w:r>
          </w:p>
        </w:tc>
        <w:tc>
          <w:tcPr>
            <w:tcW w:w="992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融水县县城融江水源地</w:t>
            </w:r>
          </w:p>
        </w:tc>
        <w:tc>
          <w:tcPr>
            <w:tcW w:w="841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HA0600450225000S01</w:t>
            </w:r>
          </w:p>
        </w:tc>
        <w:tc>
          <w:tcPr>
            <w:tcW w:w="582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河流型</w:t>
            </w:r>
          </w:p>
        </w:tc>
        <w:tc>
          <w:tcPr>
            <w:tcW w:w="500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现用</w:t>
            </w:r>
          </w:p>
        </w:tc>
        <w:tc>
          <w:tcPr>
            <w:tcW w:w="645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融水县城</w:t>
            </w:r>
          </w:p>
        </w:tc>
        <w:tc>
          <w:tcPr>
            <w:tcW w:w="465" w:type="pc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是</w:t>
            </w:r>
          </w:p>
        </w:tc>
      </w:tr>
    </w:tbl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根据《融水县自来水厂融江饮用水水源保护区调整技术报告》，融水县县城融江水源地调整后划分范围如下。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）一级保护区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水域范围：一级保护区水域长度为取水口上游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1000 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，下游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100 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；取水口断面枯水期水面宽度小于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500 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，故其水域宽度为多年平均水位对应的高程线下的水域，除航道外的整个河道范围；水域面积约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0.39 km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  <w:vertAlign w:val="superscript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陆域范围：一级保护区陆域长度与水域长度一致，宽度为河岸往内陆纵深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50 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；一级保护区陆域面积约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0.11 km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  <w:vertAlign w:val="superscript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）二级保护区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水域范围：二级保护区水域长度为一级保护区下边界向下游延伸至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200 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处，一级保护区的上边界向上游延伸至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2000 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处；宽度为多年平均水位对应的高程线下的水域，即除航道外的整个河道范围；贝江支流上溯长度至二级陆域范围边界，即盘马屯附近；面积约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1.04 km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  <w:vertAlign w:val="superscript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；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陆域范围：长度与二级保护区水域长度一致；宽度为一级保护区陆域和沿岸向外至第二重山脊或分水岭的区域；面积约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10.43km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  <w:vertAlign w:val="superscript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）准保护区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水域范围：准保护区水域长度为二级保护区上边界向上游延伸至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2300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米处，即浮石水电站坝址处；宽度为多年平均水位对应的高程线下的水域，即除航道外的整个河道范围；面积约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0.84 km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  <w:vertAlign w:val="superscript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陆域范围：长度与准保护区水域长度一致；宽度为沿岸向外至第二重山脊或分水岭的区域；面积约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8.57 km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  <w:vertAlign w:val="superscript"/>
        </w:rPr>
        <w:t>2</w:t>
      </w: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。</w:t>
      </w:r>
    </w:p>
    <w:p w:rsidR="00171AB7" w:rsidRPr="004A610C" w:rsidRDefault="00171AB7" w:rsidP="00171AB7">
      <w:pPr>
        <w:widowControl w:val="0"/>
        <w:adjustRightInd/>
        <w:snapToGrid/>
        <w:spacing w:after="0" w:line="54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610C">
        <w:rPr>
          <w:rFonts w:ascii="Times New Roman" w:eastAsia="仿宋_GB2312" w:hAnsi="Times New Roman" w:cs="Times New Roman"/>
          <w:kern w:val="2"/>
          <w:sz w:val="32"/>
          <w:szCs w:val="32"/>
        </w:rPr>
        <w:t>融水县县城融江水源地调整前后对比如下表。</w:t>
      </w:r>
    </w:p>
    <w:p w:rsidR="00171AB7" w:rsidRPr="004A610C" w:rsidRDefault="00171AB7" w:rsidP="00171AB7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kern w:val="2"/>
          <w:sz w:val="28"/>
          <w:szCs w:val="28"/>
        </w:rPr>
      </w:pPr>
    </w:p>
    <w:p w:rsidR="00171AB7" w:rsidRPr="004A610C" w:rsidRDefault="00171AB7" w:rsidP="00171AB7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kern w:val="2"/>
          <w:sz w:val="28"/>
          <w:szCs w:val="28"/>
        </w:rPr>
      </w:pPr>
      <w:r w:rsidRPr="004A610C">
        <w:rPr>
          <w:rFonts w:ascii="Times New Roman" w:eastAsia="宋体" w:hAnsi="Times New Roman" w:cs="Times New Roman"/>
          <w:b/>
          <w:kern w:val="2"/>
          <w:sz w:val="28"/>
          <w:szCs w:val="28"/>
        </w:rPr>
        <w:t>表</w:t>
      </w:r>
      <w:r w:rsidRPr="004A610C">
        <w:rPr>
          <w:rFonts w:ascii="Times New Roman" w:eastAsia="宋体" w:hAnsi="Times New Roman" w:cs="Times New Roman"/>
          <w:b/>
          <w:kern w:val="2"/>
          <w:sz w:val="28"/>
          <w:szCs w:val="28"/>
        </w:rPr>
        <w:t xml:space="preserve">2      </w:t>
      </w:r>
      <w:r w:rsidRPr="004A610C">
        <w:rPr>
          <w:rFonts w:ascii="Times New Roman" w:eastAsia="宋体" w:hAnsi="Times New Roman" w:cs="Times New Roman"/>
          <w:b/>
          <w:kern w:val="2"/>
          <w:sz w:val="28"/>
          <w:szCs w:val="28"/>
        </w:rPr>
        <w:t>融江饮用水源保护区调整前后的划分方案对比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"/>
        <w:gridCol w:w="485"/>
        <w:gridCol w:w="3338"/>
        <w:gridCol w:w="2823"/>
        <w:gridCol w:w="704"/>
        <w:gridCol w:w="696"/>
        <w:gridCol w:w="735"/>
      </w:tblGrid>
      <w:tr w:rsidR="00171AB7" w:rsidRPr="004A610C" w:rsidTr="00A16627">
        <w:trPr>
          <w:trHeight w:val="397"/>
        </w:trPr>
        <w:tc>
          <w:tcPr>
            <w:tcW w:w="0" w:type="auto"/>
            <w:gridSpan w:val="2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级别</w:t>
            </w:r>
          </w:p>
        </w:tc>
        <w:tc>
          <w:tcPr>
            <w:tcW w:w="0" w:type="auto"/>
            <w:gridSpan w:val="2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划定范围</w:t>
            </w:r>
          </w:p>
        </w:tc>
        <w:tc>
          <w:tcPr>
            <w:tcW w:w="0" w:type="auto"/>
            <w:gridSpan w:val="3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总面积（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km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  <w:vertAlign w:val="superscript"/>
              </w:rPr>
              <w:t>2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）</w:t>
            </w:r>
          </w:p>
        </w:tc>
      </w:tr>
      <w:tr w:rsidR="00171AB7" w:rsidRPr="004A610C" w:rsidTr="00A16627">
        <w:trPr>
          <w:trHeight w:val="397"/>
        </w:trPr>
        <w:tc>
          <w:tcPr>
            <w:tcW w:w="0" w:type="auto"/>
            <w:gridSpan w:val="2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调整前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调整后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调整前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调整后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变化情况</w:t>
            </w:r>
          </w:p>
        </w:tc>
      </w:tr>
      <w:tr w:rsidR="00171AB7" w:rsidRPr="004A610C" w:rsidTr="00A16627">
        <w:trPr>
          <w:trHeight w:val="397"/>
        </w:trPr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一级保护区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水域范围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干流下边界为取水口下游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100m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处，上边界为取水口上游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3000m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处（贝江河林场子弟学校附近），水域宽度为以河道中泓线为界，取水口侧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5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年一遇洪水所能淹没区域，平均宽度约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200m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；支流上溯至枝柳铁路桥处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长度为取水口上游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1000m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，下游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100 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；宽度为多年平均水位对应的高程线下的水域，除航道外的整个河道范围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0.77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0.50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-0.27</w:t>
            </w:r>
          </w:p>
        </w:tc>
      </w:tr>
      <w:tr w:rsidR="00171AB7" w:rsidRPr="004A610C" w:rsidTr="00A16627">
        <w:trPr>
          <w:trHeight w:val="397"/>
        </w:trPr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陆域范围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干流下边界为取水口下游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100m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处，上边界为取水口上游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3000m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处（贝江河林场子弟学校附近），支流上边界至枝柳铁路桥处。陆域宽度为河岸往内陆纵深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50m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的区域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一级保护区陆域长度与水域长度一致，宽度为河岸往内陆纵深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50m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的区域</w:t>
            </w: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171AB7" w:rsidRPr="004A610C" w:rsidTr="00A16627">
        <w:trPr>
          <w:trHeight w:val="397"/>
        </w:trPr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二级保护区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水域范围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下边界为一级保护区下边界向下游延伸至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200m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处，上边界为一级保护区上边界向上游延伸至浮石水电站坝处，即一级保护区上边界向上游延伸至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5600m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处，宽度为一级保护区水域向外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10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年一遇洪水所能淹没的区域，平均宽度为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400m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。支流上溯长度与干流相同，但最长不超过其相应流域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长度为一级保护区下边界向下游延伸至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200m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处，上边界为一级保护区的上边界向上游延伸至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2000m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处；宽度为多年平均水位对应的高程线下的水域，即除航道外的整个河道范围；贝江支流上溯长度至二级陆域范围边界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64.33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11.47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-52.96</w:t>
            </w:r>
          </w:p>
        </w:tc>
      </w:tr>
      <w:tr w:rsidR="00171AB7" w:rsidRPr="004A610C" w:rsidTr="00A16627">
        <w:trPr>
          <w:trHeight w:val="397"/>
        </w:trPr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陆域范围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二级保护区陆域长度与二级保护区水域长度一致，支流二级保护区陆域长度与支流二级保护区水域长度一致，陆域宽度为河岸往内陆纵深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1000m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且不超过分水岭区域（不含一级保护区陆域）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长度与二级保护区水域长度一致；宽度为一级保护区陆域沿岸向外至第二重山脊或分水岭的区域</w:t>
            </w: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171AB7" w:rsidRPr="004A610C" w:rsidTr="00A16627">
        <w:trPr>
          <w:trHeight w:val="397"/>
        </w:trPr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准保护区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水域范围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/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长度为二级保护区上边界向上游延伸至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2300m</w:t>
            </w: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处，即浮石水电站坝址处；宽度为多年平均水位对应的高程线下的</w:t>
            </w:r>
            <w:bookmarkStart w:id="0" w:name="_GoBack"/>
            <w:bookmarkEnd w:id="0"/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水域，即除航道外的整个河道范围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/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9.41</w:t>
            </w:r>
          </w:p>
        </w:tc>
        <w:tc>
          <w:tcPr>
            <w:tcW w:w="0" w:type="auto"/>
            <w:vMerge w:val="restart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+9.41</w:t>
            </w:r>
          </w:p>
        </w:tc>
      </w:tr>
      <w:tr w:rsidR="00171AB7" w:rsidRPr="004A610C" w:rsidTr="00A16627">
        <w:trPr>
          <w:trHeight w:val="397"/>
        </w:trPr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陆域范围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/</w:t>
            </w:r>
          </w:p>
        </w:tc>
        <w:tc>
          <w:tcPr>
            <w:tcW w:w="0" w:type="auto"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4A610C"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  <w:t>长度与准保护区水域长度一致，宽度为沿岸向外至第二重山脊或分水岭的区域</w:t>
            </w: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71AB7" w:rsidRPr="004A610C" w:rsidRDefault="00171AB7" w:rsidP="00A166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</w:tbl>
    <w:p w:rsidR="00171AB7" w:rsidRDefault="00171AB7" w:rsidP="00171AB7">
      <w:pPr>
        <w:adjustRightInd/>
        <w:snapToGrid/>
        <w:spacing w:line="220" w:lineRule="atLeast"/>
        <w:rPr>
          <w:rFonts w:ascii="Times New Roman" w:hAnsi="Times New Roman" w:cs="Times New Roman"/>
        </w:rPr>
        <w:sectPr w:rsidR="00171AB7" w:rsidSect="002A5299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171AB7" w:rsidRPr="00EB3590" w:rsidRDefault="00171AB7" w:rsidP="00171AB7">
      <w:pPr>
        <w:adjustRightInd/>
        <w:snapToGrid/>
        <w:spacing w:line="220" w:lineRule="atLeast"/>
        <w:rPr>
          <w:rFonts w:ascii="Times New Roman" w:hAnsi="Times New Roman" w:cs="Times New Roman"/>
        </w:rPr>
      </w:pPr>
    </w:p>
    <w:p w:rsidR="004358AB" w:rsidRPr="00171AB7" w:rsidRDefault="004358AB" w:rsidP="00171AB7"/>
    <w:sectPr w:rsidR="004358AB" w:rsidRPr="00171AB7" w:rsidSect="004A610C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987" w:rsidRDefault="00910987" w:rsidP="002A5299">
      <w:pPr>
        <w:spacing w:after="0"/>
      </w:pPr>
      <w:r>
        <w:separator/>
      </w:r>
    </w:p>
  </w:endnote>
  <w:endnote w:type="continuationSeparator" w:id="0">
    <w:p w:rsidR="00910987" w:rsidRDefault="00910987" w:rsidP="002A52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987" w:rsidRDefault="00910987" w:rsidP="002A5299">
      <w:pPr>
        <w:spacing w:after="0"/>
      </w:pPr>
      <w:r>
        <w:separator/>
      </w:r>
    </w:p>
  </w:footnote>
  <w:footnote w:type="continuationSeparator" w:id="0">
    <w:p w:rsidR="00910987" w:rsidRDefault="00910987" w:rsidP="002A52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6972"/>
    <w:rsid w:val="00171AB7"/>
    <w:rsid w:val="002A5299"/>
    <w:rsid w:val="00323B43"/>
    <w:rsid w:val="003D37D8"/>
    <w:rsid w:val="00426133"/>
    <w:rsid w:val="004358AB"/>
    <w:rsid w:val="004858AD"/>
    <w:rsid w:val="004A610C"/>
    <w:rsid w:val="004C01A8"/>
    <w:rsid w:val="005310C6"/>
    <w:rsid w:val="007B621F"/>
    <w:rsid w:val="00830EBE"/>
    <w:rsid w:val="008B7726"/>
    <w:rsid w:val="00910987"/>
    <w:rsid w:val="009828D1"/>
    <w:rsid w:val="009A45FD"/>
    <w:rsid w:val="00B33211"/>
    <w:rsid w:val="00B51FFD"/>
    <w:rsid w:val="00C07C86"/>
    <w:rsid w:val="00D31D50"/>
    <w:rsid w:val="00E85A6B"/>
    <w:rsid w:val="00EB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2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2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2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299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9828D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A610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610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2019-04-01T06:25:00Z</dcterms:created>
  <dcterms:modified xsi:type="dcterms:W3CDTF">2023-08-02T01:33:00Z</dcterms:modified>
</cp:coreProperties>
</file>