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9CC81A">
      <w:pPr>
        <w:adjustRightInd w:val="0"/>
        <w:snapToGrid w:val="0"/>
        <w:jc w:val="center"/>
        <w:rPr>
          <w:rFonts w:ascii="方正小标宋_GBK" w:eastAsia="方正小标宋_GBK"/>
          <w:bCs/>
          <w:color w:val="auto"/>
          <w:sz w:val="60"/>
          <w:szCs w:val="60"/>
        </w:rPr>
      </w:pPr>
      <w:bookmarkStart w:id="0" w:name="_Toc4629"/>
    </w:p>
    <w:p w14:paraId="44B54A36">
      <w:pPr>
        <w:adjustRightInd w:val="0"/>
        <w:snapToGrid w:val="0"/>
        <w:jc w:val="center"/>
        <w:rPr>
          <w:rFonts w:ascii="方正小标宋_GBK" w:eastAsia="方正小标宋_GBK"/>
          <w:bCs/>
          <w:color w:val="auto"/>
          <w:sz w:val="60"/>
          <w:szCs w:val="60"/>
        </w:rPr>
      </w:pPr>
    </w:p>
    <w:p w14:paraId="79ECDF5E">
      <w:pPr>
        <w:adjustRightInd w:val="0"/>
        <w:snapToGrid w:val="0"/>
        <w:jc w:val="center"/>
        <w:rPr>
          <w:rFonts w:ascii="方正小标宋_GBK" w:eastAsia="方正小标宋_GBK"/>
          <w:bCs/>
          <w:color w:val="auto"/>
          <w:sz w:val="60"/>
          <w:szCs w:val="60"/>
        </w:rPr>
      </w:pPr>
    </w:p>
    <w:p w14:paraId="0F420C9E">
      <w:pPr>
        <w:adjustRightInd w:val="0"/>
        <w:snapToGrid w:val="0"/>
        <w:jc w:val="center"/>
        <w:rPr>
          <w:rFonts w:ascii="方正小标宋_GBK" w:eastAsia="方正小标宋_GBK"/>
          <w:bCs/>
          <w:color w:val="auto"/>
          <w:sz w:val="60"/>
          <w:szCs w:val="60"/>
        </w:rPr>
      </w:pPr>
      <w:r>
        <w:rPr>
          <w:rFonts w:hint="eastAsia" w:ascii="方正小标宋_GBK" w:eastAsia="方正小标宋_GBK"/>
          <w:bCs/>
          <w:color w:val="auto"/>
          <w:sz w:val="60"/>
          <w:szCs w:val="60"/>
        </w:rPr>
        <w:t>建设项目生态环境影响报告表</w:t>
      </w:r>
      <w:bookmarkEnd w:id="0"/>
    </w:p>
    <w:p w14:paraId="73EAB96D">
      <w:pPr>
        <w:rPr>
          <w:color w:val="auto"/>
        </w:rPr>
      </w:pPr>
    </w:p>
    <w:p w14:paraId="0ED87500">
      <w:pPr>
        <w:adjustRightInd w:val="0"/>
        <w:snapToGrid w:val="0"/>
        <w:spacing w:before="192" w:beforeLines="80"/>
        <w:jc w:val="center"/>
        <w:rPr>
          <w:rFonts w:ascii="楷体_GB2312" w:eastAsia="楷体_GB2312"/>
          <w:bCs/>
          <w:color w:val="auto"/>
          <w:sz w:val="48"/>
          <w:szCs w:val="48"/>
        </w:rPr>
      </w:pPr>
      <w:r>
        <w:rPr>
          <w:rFonts w:hint="eastAsia" w:ascii="楷体_GB2312" w:eastAsia="楷体_GB2312"/>
          <w:bCs/>
          <w:color w:val="auto"/>
          <w:sz w:val="48"/>
          <w:szCs w:val="48"/>
        </w:rPr>
        <w:t>（生态影响类）</w:t>
      </w:r>
    </w:p>
    <w:p w14:paraId="210D31C8">
      <w:pPr>
        <w:rPr>
          <w:color w:val="auto"/>
        </w:rPr>
      </w:pPr>
      <w:bookmarkStart w:id="1" w:name="_Hlk57883728"/>
    </w:p>
    <w:p w14:paraId="123B82A7">
      <w:pPr>
        <w:adjustRightInd w:val="0"/>
        <w:snapToGrid w:val="0"/>
        <w:spacing w:before="192" w:beforeLines="80"/>
        <w:jc w:val="center"/>
        <w:rPr>
          <w:rFonts w:hint="eastAsia" w:ascii="楷体_GB2312" w:eastAsia="楷体_GB2312"/>
          <w:bCs/>
          <w:color w:val="auto"/>
          <w:sz w:val="48"/>
          <w:szCs w:val="48"/>
          <w:lang w:eastAsia="zh-CN"/>
        </w:rPr>
      </w:pPr>
      <w:r>
        <w:rPr>
          <w:rFonts w:hint="eastAsia" w:ascii="楷体_GB2312" w:eastAsia="楷体_GB2312"/>
          <w:bCs/>
          <w:color w:val="auto"/>
          <w:sz w:val="48"/>
          <w:szCs w:val="48"/>
          <w:lang w:val="en-US" w:eastAsia="zh-CN"/>
        </w:rPr>
        <w:t>公示稿</w:t>
      </w:r>
    </w:p>
    <w:p w14:paraId="100FEE9A">
      <w:pPr>
        <w:ind w:firstLine="1040"/>
        <w:rPr>
          <w:rFonts w:eastAsia="仿宋"/>
          <w:color w:val="auto"/>
          <w:sz w:val="44"/>
          <w:szCs w:val="44"/>
        </w:rPr>
      </w:pPr>
    </w:p>
    <w:p w14:paraId="4E414AAF">
      <w:pPr>
        <w:ind w:firstLine="1040"/>
        <w:rPr>
          <w:rFonts w:eastAsia="仿宋"/>
          <w:color w:val="auto"/>
          <w:sz w:val="44"/>
          <w:szCs w:val="44"/>
        </w:rPr>
      </w:pPr>
    </w:p>
    <w:p w14:paraId="39DAF304">
      <w:pPr>
        <w:ind w:firstLine="1040"/>
        <w:rPr>
          <w:rFonts w:eastAsia="仿宋"/>
          <w:color w:val="auto"/>
          <w:sz w:val="44"/>
          <w:szCs w:val="44"/>
        </w:rPr>
      </w:pPr>
    </w:p>
    <w:p w14:paraId="1FA9B952">
      <w:pPr>
        <w:ind w:firstLine="1040"/>
        <w:rPr>
          <w:rFonts w:eastAsia="仿宋"/>
          <w:color w:val="auto"/>
          <w:sz w:val="44"/>
          <w:szCs w:val="44"/>
        </w:rPr>
      </w:pPr>
    </w:p>
    <w:bookmarkEnd w:id="1"/>
    <w:p w14:paraId="4D374299">
      <w:pPr>
        <w:adjustRightInd w:val="0"/>
        <w:snapToGrid w:val="0"/>
        <w:spacing w:line="288" w:lineRule="auto"/>
        <w:ind w:firstLine="1040"/>
        <w:rPr>
          <w:rFonts w:ascii="仿宋_GB2312" w:eastAsia="仿宋_GB2312"/>
          <w:color w:val="auto"/>
          <w:sz w:val="36"/>
          <w:szCs w:val="36"/>
          <w:u w:val="single"/>
        </w:rPr>
      </w:pPr>
      <w:r>
        <w:rPr>
          <w:rFonts w:hint="eastAsia" w:ascii="仿宋_GB2312" w:eastAsia="仿宋_GB2312"/>
          <w:color w:val="auto"/>
          <w:sz w:val="36"/>
          <w:szCs w:val="36"/>
        </w:rPr>
        <w:t xml:space="preserve">项目名称： </w:t>
      </w:r>
      <w:r>
        <w:rPr>
          <w:rFonts w:hint="eastAsia" w:ascii="仿宋_GB2312" w:eastAsia="仿宋_GB2312"/>
          <w:color w:val="auto"/>
          <w:sz w:val="36"/>
          <w:szCs w:val="36"/>
          <w:u w:val="single"/>
        </w:rPr>
        <w:t xml:space="preserve"> 桂融页4平台页岩气勘探开发项目  </w:t>
      </w:r>
    </w:p>
    <w:p w14:paraId="5C02D02E">
      <w:pPr>
        <w:adjustRightInd w:val="0"/>
        <w:snapToGrid w:val="0"/>
        <w:spacing w:line="288" w:lineRule="auto"/>
        <w:ind w:firstLine="1040"/>
        <w:rPr>
          <w:rFonts w:ascii="仿宋_GB2312" w:eastAsia="仿宋_GB2312"/>
          <w:color w:val="auto"/>
          <w:sz w:val="36"/>
          <w:szCs w:val="36"/>
          <w:u w:val="single"/>
        </w:rPr>
      </w:pPr>
      <w:r>
        <w:rPr>
          <w:rFonts w:hint="eastAsia" w:ascii="仿宋_GB2312" w:eastAsia="仿宋_GB2312"/>
          <w:color w:val="auto"/>
          <w:sz w:val="36"/>
          <w:szCs w:val="36"/>
        </w:rPr>
        <w:t>建设单位（盖章）：</w:t>
      </w:r>
      <w:r>
        <w:rPr>
          <w:rFonts w:hint="eastAsia" w:ascii="仿宋_GB2312" w:eastAsia="仿宋_GB2312"/>
          <w:color w:val="auto"/>
          <w:sz w:val="36"/>
          <w:szCs w:val="36"/>
          <w:u w:val="single"/>
        </w:rPr>
        <w:t xml:space="preserve">广西页岩气勘探开发有限公司 </w:t>
      </w:r>
    </w:p>
    <w:p w14:paraId="72F9646D">
      <w:pPr>
        <w:adjustRightInd w:val="0"/>
        <w:snapToGrid w:val="0"/>
        <w:spacing w:line="288" w:lineRule="auto"/>
        <w:ind w:firstLine="1040"/>
        <w:rPr>
          <w:rFonts w:ascii="仿宋_GB2312" w:eastAsia="仿宋_GB2312"/>
          <w:color w:val="auto"/>
          <w:sz w:val="36"/>
          <w:szCs w:val="36"/>
          <w:u w:val="single"/>
        </w:rPr>
      </w:pPr>
      <w:r>
        <w:rPr>
          <w:rFonts w:hint="eastAsia" w:ascii="仿宋_GB2312" w:eastAsia="仿宋_GB2312"/>
          <w:color w:val="auto"/>
          <w:sz w:val="36"/>
          <w:szCs w:val="36"/>
        </w:rPr>
        <w:t>编制日期：</w:t>
      </w:r>
      <w:r>
        <w:rPr>
          <w:rFonts w:hint="eastAsia" w:ascii="仿宋_GB2312" w:eastAsia="仿宋_GB2312"/>
          <w:color w:val="auto"/>
          <w:sz w:val="36"/>
          <w:szCs w:val="36"/>
          <w:u w:val="single"/>
        </w:rPr>
        <w:t xml:space="preserve"> </w:t>
      </w:r>
      <w:r>
        <w:rPr>
          <w:rFonts w:ascii="仿宋_GB2312" w:eastAsia="仿宋_GB2312"/>
          <w:color w:val="auto"/>
          <w:sz w:val="36"/>
          <w:szCs w:val="36"/>
          <w:u w:val="single"/>
        </w:rPr>
        <w:t xml:space="preserve">           </w:t>
      </w:r>
      <w:r>
        <w:rPr>
          <w:rFonts w:hint="eastAsia" w:ascii="仿宋_GB2312" w:eastAsia="仿宋_GB2312"/>
          <w:color w:val="auto"/>
          <w:sz w:val="36"/>
          <w:szCs w:val="36"/>
          <w:u w:val="single"/>
        </w:rPr>
        <w:t>2026年</w:t>
      </w:r>
      <w:r>
        <w:rPr>
          <w:rFonts w:ascii="仿宋_GB2312" w:eastAsia="仿宋_GB2312"/>
          <w:color w:val="auto"/>
          <w:sz w:val="36"/>
          <w:szCs w:val="36"/>
          <w:u w:val="single"/>
        </w:rPr>
        <w:t>9</w:t>
      </w:r>
      <w:r>
        <w:rPr>
          <w:rFonts w:hint="eastAsia" w:ascii="仿宋_GB2312" w:eastAsia="仿宋_GB2312"/>
          <w:color w:val="auto"/>
          <w:sz w:val="36"/>
          <w:szCs w:val="36"/>
          <w:u w:val="single"/>
        </w:rPr>
        <w:t>月</w:t>
      </w:r>
      <w:r>
        <w:rPr>
          <w:rFonts w:ascii="仿宋_GB2312" w:eastAsia="仿宋_GB2312"/>
          <w:color w:val="auto"/>
          <w:sz w:val="36"/>
          <w:szCs w:val="36"/>
          <w:u w:val="single"/>
        </w:rPr>
        <w:t xml:space="preserve">           </w:t>
      </w:r>
    </w:p>
    <w:p w14:paraId="648EA321">
      <w:pPr>
        <w:adjustRightInd w:val="0"/>
        <w:snapToGrid w:val="0"/>
        <w:spacing w:line="288" w:lineRule="auto"/>
        <w:ind w:firstLine="1040"/>
        <w:rPr>
          <w:rFonts w:ascii="仿宋_GB2312" w:eastAsia="仿宋_GB2312"/>
          <w:color w:val="auto"/>
          <w:sz w:val="36"/>
          <w:szCs w:val="36"/>
          <w:u w:val="single"/>
        </w:rPr>
      </w:pPr>
    </w:p>
    <w:p w14:paraId="4F151ACE">
      <w:pPr>
        <w:adjustRightInd w:val="0"/>
        <w:snapToGrid w:val="0"/>
        <w:spacing w:line="288" w:lineRule="auto"/>
        <w:ind w:firstLine="1040"/>
        <w:rPr>
          <w:rFonts w:ascii="仿宋_GB2312" w:eastAsia="仿宋_GB2312"/>
          <w:color w:val="auto"/>
          <w:sz w:val="36"/>
          <w:szCs w:val="36"/>
        </w:rPr>
      </w:pPr>
    </w:p>
    <w:p w14:paraId="77B2274D">
      <w:pPr>
        <w:adjustRightInd w:val="0"/>
        <w:snapToGrid w:val="0"/>
        <w:spacing w:line="288" w:lineRule="auto"/>
        <w:ind w:firstLine="1040"/>
        <w:rPr>
          <w:rFonts w:ascii="仿宋_GB2312" w:eastAsia="仿宋_GB2312"/>
          <w:color w:val="auto"/>
          <w:sz w:val="36"/>
          <w:szCs w:val="36"/>
        </w:rPr>
      </w:pPr>
    </w:p>
    <w:p w14:paraId="089AA658">
      <w:pPr>
        <w:adjustRightInd w:val="0"/>
        <w:snapToGrid w:val="0"/>
        <w:spacing w:line="288" w:lineRule="auto"/>
        <w:ind w:firstLine="1040"/>
        <w:rPr>
          <w:rFonts w:ascii="仿宋_GB2312" w:eastAsia="仿宋_GB2312"/>
          <w:color w:val="auto"/>
          <w:sz w:val="36"/>
          <w:szCs w:val="36"/>
        </w:rPr>
      </w:pPr>
    </w:p>
    <w:p w14:paraId="2FEC2AB4">
      <w:pPr>
        <w:adjustRightInd w:val="0"/>
        <w:snapToGrid w:val="0"/>
        <w:spacing w:line="288" w:lineRule="auto"/>
        <w:ind w:firstLine="1040"/>
        <w:rPr>
          <w:rFonts w:ascii="仿宋_GB2312" w:eastAsia="仿宋_GB2312"/>
          <w:color w:val="auto"/>
          <w:sz w:val="36"/>
          <w:szCs w:val="36"/>
        </w:rPr>
      </w:pPr>
    </w:p>
    <w:p w14:paraId="122EFFBA">
      <w:pPr>
        <w:adjustRightInd w:val="0"/>
        <w:snapToGrid w:val="0"/>
        <w:spacing w:line="288" w:lineRule="auto"/>
        <w:jc w:val="center"/>
        <w:rPr>
          <w:rFonts w:ascii="楷体_GB2312" w:eastAsia="楷体_GB2312"/>
          <w:color w:val="auto"/>
          <w:sz w:val="36"/>
          <w:szCs w:val="36"/>
        </w:rPr>
      </w:pPr>
      <w:r>
        <w:rPr>
          <w:rFonts w:hint="eastAsia" w:ascii="楷体_GB2312" w:eastAsia="楷体_GB2312"/>
          <w:color w:val="auto"/>
          <w:sz w:val="36"/>
          <w:szCs w:val="36"/>
        </w:rPr>
        <w:t>中华人民共和国生态环境部制</w:t>
      </w:r>
    </w:p>
    <w:p w14:paraId="30154F39">
      <w:pPr>
        <w:adjustRightInd w:val="0"/>
        <w:snapToGrid w:val="0"/>
        <w:spacing w:line="288" w:lineRule="auto"/>
        <w:ind w:firstLine="1040"/>
        <w:rPr>
          <w:rFonts w:ascii="仿宋_GB2312" w:eastAsia="仿宋_GB2312"/>
          <w:color w:val="auto"/>
          <w:sz w:val="36"/>
          <w:szCs w:val="36"/>
        </w:rPr>
        <w:sectPr>
          <w:footerReference r:id="rId3" w:type="default"/>
          <w:footerReference r:id="rId4" w:type="even"/>
          <w:pgSz w:w="11906" w:h="16838"/>
          <w:pgMar w:top="1701" w:right="1531" w:bottom="1701" w:left="1531" w:header="851" w:footer="1077" w:gutter="0"/>
          <w:pgNumType w:start="1"/>
          <w:cols w:space="720" w:num="1"/>
          <w:docGrid w:linePitch="312" w:charSpace="0"/>
        </w:sectPr>
      </w:pPr>
    </w:p>
    <w:sdt>
      <w:sdtPr>
        <w:rPr>
          <w:rFonts w:ascii="宋体" w:hAnsi="宋体"/>
          <w:color w:val="auto"/>
          <w:sz w:val="36"/>
          <w:szCs w:val="36"/>
        </w:rPr>
        <w:id w:val="147467240"/>
        <w15:color w:val="DBDBDB"/>
        <w:docPartObj>
          <w:docPartGallery w:val="Table of Contents"/>
          <w:docPartUnique/>
        </w:docPartObj>
      </w:sdtPr>
      <w:sdtEndPr>
        <w:rPr>
          <w:rFonts w:hint="eastAsia" w:ascii="Times New Roman" w:hAnsi="Times New Roman"/>
          <w:color w:val="auto"/>
          <w:sz w:val="24"/>
          <w:szCs w:val="24"/>
        </w:rPr>
      </w:sdtEndPr>
      <w:sdtContent>
        <w:p w14:paraId="3C8D10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36"/>
              <w:szCs w:val="36"/>
            </w:rPr>
          </w:pPr>
          <w:r>
            <w:rPr>
              <w:rFonts w:ascii="宋体" w:hAnsi="宋体"/>
              <w:color w:val="auto"/>
              <w:sz w:val="36"/>
              <w:szCs w:val="36"/>
            </w:rPr>
            <w:t>目录</w:t>
          </w:r>
        </w:p>
        <w:p w14:paraId="2A9673F1">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TOC \o "1-1" \h \u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_Toc32580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一、建设项目基本情况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_Toc32580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02C2B54B">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_Toc19997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二、建设内容</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_Toc19997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0B10492C">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_Toc6087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三、生态环境现状、保护目标及评价标准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_Toc6087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49</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14250B07">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_Toc10005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四、生态环境影响分析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_Toc10005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63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2750F3A4">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_Toc18297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五、主要生态环境保护措施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_Toc18297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87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02D2F151">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_Toc464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六、生态环境保护措施监督检查清单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_Toc464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4B00A18C">
          <w:pPr>
            <w:pStyle w:val="12"/>
            <w:keepNext w:val="0"/>
            <w:keepLines w:val="0"/>
            <w:pageBreakBefore w:val="0"/>
            <w:widowControl w:val="0"/>
            <w:tabs>
              <w:tab w:val="right" w:leader="dot" w:pos="9072"/>
            </w:tabs>
            <w:kinsoku/>
            <w:wordWrap/>
            <w:overflowPunct/>
            <w:topLinePunct w:val="0"/>
            <w:autoSpaceDE/>
            <w:autoSpaceDN/>
            <w:bidi w:val="0"/>
            <w:adjustRightIn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_Toc11506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七、结论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_Toc11506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106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14:paraId="5628ABD2">
          <w:pPr>
            <w:keepNext w:val="0"/>
            <w:keepLines w:val="0"/>
            <w:pageBreakBefore w:val="0"/>
            <w:widowControl w:val="0"/>
            <w:kinsoku/>
            <w:wordWrap/>
            <w:overflowPunct/>
            <w:topLinePunct w:val="0"/>
            <w:autoSpaceDE/>
            <w:autoSpaceDN/>
            <w:bidi w:val="0"/>
            <w:adjustRightInd/>
            <w:snapToGrid w:val="0"/>
            <w:spacing w:line="360" w:lineRule="auto"/>
            <w:textAlignment w:val="auto"/>
            <w:rPr>
              <w:color w:val="auto"/>
            </w:rPr>
          </w:pPr>
          <w:r>
            <w:rPr>
              <w:rFonts w:hint="default" w:ascii="Times New Roman" w:hAnsi="Times New Roman" w:eastAsia="宋体" w:cs="Times New Roman"/>
              <w:color w:val="auto"/>
              <w:sz w:val="24"/>
              <w:szCs w:val="24"/>
            </w:rPr>
            <w:fldChar w:fldCharType="end"/>
          </w:r>
        </w:p>
      </w:sdtContent>
    </w:sdt>
    <w:p w14:paraId="715481AF">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auto"/>
        </w:rPr>
      </w:pPr>
      <w:r>
        <w:rPr>
          <w:b/>
          <w:bCs/>
          <w:color w:val="auto"/>
        </w:rPr>
        <w:t>附件</w:t>
      </w:r>
    </w:p>
    <w:p w14:paraId="5200141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附件1 委托书</w:t>
      </w:r>
    </w:p>
    <w:p w14:paraId="680F26B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附件2 项目备案证明</w:t>
      </w:r>
    </w:p>
    <w:p w14:paraId="284C55E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t>附件3 矿权委托协议</w:t>
      </w:r>
    </w:p>
    <w:p w14:paraId="13894815">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t>附件4 矿产资源勘查许可证</w:t>
      </w:r>
    </w:p>
    <w:p w14:paraId="149EFF1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t>附件5 土地租赁合同</w:t>
      </w:r>
    </w:p>
    <w:p w14:paraId="32AC9DF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t>附件6 广西“生态云”平台智能研判报告</w:t>
      </w:r>
    </w:p>
    <w:p w14:paraId="23352F0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color w:val="auto"/>
        </w:rPr>
        <w:t>附件7 项目</w:t>
      </w:r>
      <w:bookmarkStart w:id="32" w:name="_GoBack"/>
      <w:r>
        <w:rPr>
          <w:color w:val="auto"/>
        </w:rPr>
        <w:t>用地</w:t>
      </w:r>
      <w:bookmarkEnd w:id="32"/>
      <w:r>
        <w:rPr>
          <w:color w:val="auto"/>
        </w:rPr>
        <w:t>土地类型说明函</w:t>
      </w:r>
    </w:p>
    <w:p w14:paraId="4A59E3A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附件8 桂融4平台用地批复</w:t>
      </w:r>
    </w:p>
    <w:p w14:paraId="757F5BC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附件9 环境质量监测报告（引用资料）</w:t>
      </w:r>
    </w:p>
    <w:p w14:paraId="31F0C08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附件10 项目土地复垦方案批复</w:t>
      </w:r>
    </w:p>
    <w:p w14:paraId="7C16CFC9">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附件11 关于广西柳城北区块伏虎西页岩气资源评价与选区研究（桂融地4井勘探项目）环境影响报告表的批复</w:t>
      </w:r>
    </w:p>
    <w:p w14:paraId="7F6C2BA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附件12 桂融页2-1HF井压裂返排液水样测试</w:t>
      </w:r>
    </w:p>
    <w:p w14:paraId="34591F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附件13 国有土地使用证</w:t>
      </w:r>
    </w:p>
    <w:p w14:paraId="73BE3321">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r>
        <w:rPr>
          <w:rFonts w:hint="eastAsia"/>
          <w:lang w:val="en-US" w:eastAsia="zh-CN"/>
        </w:rPr>
        <w:t>附件14 土地复垦费用监管协议（三方）</w:t>
      </w:r>
    </w:p>
    <w:p w14:paraId="3854D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附件1</w:t>
      </w:r>
      <w:r>
        <w:rPr>
          <w:rFonts w:hint="eastAsia"/>
          <w:lang w:val="en-US" w:eastAsia="zh-CN"/>
        </w:rPr>
        <w:t>5</w:t>
      </w:r>
      <w:r>
        <w:rPr>
          <w:rFonts w:hint="eastAsia"/>
        </w:rPr>
        <w:t xml:space="preserve"> 法人身份证</w:t>
      </w:r>
    </w:p>
    <w:p w14:paraId="6237161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rPr>
      </w:pPr>
      <w:r>
        <w:rPr>
          <w:rFonts w:hint="eastAsia"/>
        </w:rPr>
        <w:t>附件1</w:t>
      </w:r>
      <w:r>
        <w:rPr>
          <w:rFonts w:hint="eastAsia"/>
          <w:lang w:val="en-US" w:eastAsia="zh-CN"/>
        </w:rPr>
        <w:t>6</w:t>
      </w:r>
      <w:r>
        <w:rPr>
          <w:rFonts w:hint="eastAsia"/>
        </w:rPr>
        <w:t xml:space="preserve"> 营业执照</w:t>
      </w:r>
    </w:p>
    <w:p w14:paraId="46F665F8">
      <w:pPr>
        <w:keepNext w:val="0"/>
        <w:keepLines w:val="0"/>
        <w:pageBreakBefore w:val="0"/>
        <w:widowControl w:val="0"/>
        <w:kinsoku/>
        <w:wordWrap/>
        <w:overflowPunct/>
        <w:topLinePunct w:val="0"/>
        <w:autoSpaceDE/>
        <w:autoSpaceDN/>
        <w:bidi w:val="0"/>
        <w:adjustRightInd/>
        <w:snapToGrid/>
        <w:spacing w:line="360" w:lineRule="auto"/>
        <w:textAlignment w:val="auto"/>
        <w:rPr>
          <w:b/>
          <w:bCs/>
          <w:color w:val="auto"/>
        </w:rPr>
      </w:pPr>
      <w:r>
        <w:rPr>
          <w:rFonts w:hint="eastAsia"/>
          <w:b/>
          <w:bCs/>
          <w:color w:val="auto"/>
        </w:rPr>
        <w:t>附图</w:t>
      </w:r>
    </w:p>
    <w:p w14:paraId="75B2A7E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附图1 项目地理位置图</w:t>
      </w:r>
    </w:p>
    <w:p w14:paraId="61DFDCF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附图2 项目平面布置图</w:t>
      </w:r>
    </w:p>
    <w:p w14:paraId="642E168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附图3 项目井身结构示意图</w:t>
      </w:r>
    </w:p>
    <w:p w14:paraId="5723F8FC">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附图4 项目现状和周边环境概况图</w:t>
      </w:r>
    </w:p>
    <w:p w14:paraId="1A13CC9E">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附图5 项目环境保护目标分布图</w:t>
      </w:r>
    </w:p>
    <w:p w14:paraId="049D808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附图6 项目监测布点图（引用资料）</w:t>
      </w:r>
    </w:p>
    <w:p w14:paraId="295948B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附图7 项目与柳州市生态功能区划位置关系图</w:t>
      </w:r>
    </w:p>
    <w:p w14:paraId="61473D6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附图8 项目与广西壮族自治区主体功能区划位置关系图</w:t>
      </w:r>
    </w:p>
    <w:p w14:paraId="050B05E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附图9 项目与广西壮族自治区生态功能区划位置关系图</w:t>
      </w:r>
    </w:p>
    <w:p w14:paraId="12EE9AA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附图10 土地利用现状图</w:t>
      </w:r>
    </w:p>
    <w:p w14:paraId="66AFDEC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rPr>
      </w:pPr>
      <w:r>
        <w:rPr>
          <w:rFonts w:hint="eastAsia"/>
          <w:color w:val="auto"/>
        </w:rPr>
        <w:t>附图11 项目与矿产资源勘查许可证位置关系图</w:t>
      </w:r>
    </w:p>
    <w:p w14:paraId="58B7F3F2">
      <w:pPr>
        <w:pStyle w:val="26"/>
        <w:spacing w:line="288" w:lineRule="auto"/>
        <w:ind w:firstLine="0" w:firstLineChars="0"/>
        <w:rPr>
          <w:color w:val="auto"/>
        </w:rPr>
      </w:pPr>
    </w:p>
    <w:p w14:paraId="761656E6">
      <w:pPr>
        <w:pStyle w:val="26"/>
        <w:spacing w:line="288" w:lineRule="auto"/>
        <w:ind w:firstLine="0" w:firstLineChars="0"/>
        <w:rPr>
          <w:color w:val="auto"/>
        </w:rPr>
      </w:pPr>
    </w:p>
    <w:p w14:paraId="0EE6446B">
      <w:pPr>
        <w:pStyle w:val="26"/>
        <w:spacing w:line="288" w:lineRule="auto"/>
        <w:ind w:firstLine="0" w:firstLineChars="0"/>
        <w:rPr>
          <w:color w:val="auto"/>
        </w:rPr>
      </w:pPr>
    </w:p>
    <w:p w14:paraId="4F48CB88">
      <w:pPr>
        <w:pStyle w:val="26"/>
        <w:spacing w:line="288" w:lineRule="auto"/>
        <w:ind w:firstLine="0" w:firstLineChars="0"/>
        <w:rPr>
          <w:color w:val="auto"/>
        </w:rPr>
      </w:pPr>
    </w:p>
    <w:p w14:paraId="520CF81A">
      <w:pPr>
        <w:pStyle w:val="26"/>
        <w:spacing w:line="288" w:lineRule="auto"/>
        <w:ind w:firstLine="0" w:firstLineChars="0"/>
        <w:rPr>
          <w:color w:val="auto"/>
        </w:rPr>
      </w:pPr>
    </w:p>
    <w:p w14:paraId="040301B1">
      <w:pPr>
        <w:pStyle w:val="26"/>
        <w:spacing w:line="288" w:lineRule="auto"/>
        <w:ind w:firstLine="0" w:firstLineChars="0"/>
        <w:rPr>
          <w:color w:val="auto"/>
        </w:rPr>
      </w:pPr>
    </w:p>
    <w:p w14:paraId="0264A504">
      <w:pPr>
        <w:pStyle w:val="17"/>
        <w:ind w:firstLine="240"/>
        <w:rPr>
          <w:color w:val="auto"/>
        </w:rPr>
        <w:sectPr>
          <w:footerReference r:id="rId5" w:type="default"/>
          <w:pgSz w:w="11906" w:h="16838"/>
          <w:pgMar w:top="1417" w:right="1417" w:bottom="1417" w:left="1417" w:header="851" w:footer="992" w:gutter="0"/>
          <w:pgNumType w:start="1"/>
          <w:cols w:space="425" w:num="1"/>
          <w:docGrid w:type="lines" w:linePitch="312" w:charSpace="0"/>
        </w:sectPr>
      </w:pPr>
    </w:p>
    <w:p w14:paraId="6A1B4964">
      <w:pPr>
        <w:pStyle w:val="2"/>
        <w:rPr>
          <w:color w:val="auto"/>
        </w:rPr>
      </w:pPr>
      <w:bookmarkStart w:id="2" w:name="_Toc32580"/>
      <w:r>
        <w:rPr>
          <w:rFonts w:hint="eastAsia"/>
          <w:color w:val="auto"/>
        </w:rPr>
        <w:t>一、建设项目基本情况</w:t>
      </w:r>
      <w:bookmarkEnd w:id="2"/>
    </w:p>
    <w:tbl>
      <w:tblPr>
        <w:tblStyle w:val="19"/>
        <w:tblW w:w="9039" w:type="dxa"/>
        <w:tblInd w:w="16"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226"/>
        <w:gridCol w:w="2043"/>
        <w:gridCol w:w="2218"/>
        <w:gridCol w:w="10"/>
        <w:gridCol w:w="2542"/>
      </w:tblGrid>
      <w:tr w14:paraId="604FC8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tcMar>
              <w:top w:w="16" w:type="dxa"/>
              <w:left w:w="16" w:type="dxa"/>
              <w:right w:w="16" w:type="dxa"/>
            </w:tcMar>
            <w:vAlign w:val="center"/>
          </w:tcPr>
          <w:p w14:paraId="33DB7159">
            <w:pPr>
              <w:adjustRightInd w:val="0"/>
              <w:snapToGrid w:val="0"/>
              <w:jc w:val="center"/>
              <w:rPr>
                <w:color w:val="auto"/>
                <w:szCs w:val="21"/>
              </w:rPr>
            </w:pPr>
            <w:r>
              <w:rPr>
                <w:color w:val="auto"/>
                <w:szCs w:val="21"/>
              </w:rPr>
              <w:t>建设项目名称</w:t>
            </w:r>
          </w:p>
        </w:tc>
        <w:tc>
          <w:tcPr>
            <w:tcW w:w="6813" w:type="dxa"/>
            <w:gridSpan w:val="4"/>
            <w:vAlign w:val="center"/>
          </w:tcPr>
          <w:p w14:paraId="04984305">
            <w:pPr>
              <w:adjustRightInd w:val="0"/>
              <w:snapToGrid w:val="0"/>
              <w:jc w:val="center"/>
              <w:rPr>
                <w:color w:val="auto"/>
                <w:szCs w:val="21"/>
              </w:rPr>
            </w:pPr>
            <w:r>
              <w:rPr>
                <w:color w:val="auto"/>
                <w:szCs w:val="21"/>
              </w:rPr>
              <w:t>桂融页4平台页岩气勘探开发项目</w:t>
            </w:r>
          </w:p>
        </w:tc>
      </w:tr>
      <w:tr w14:paraId="01BC9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tcMar>
              <w:top w:w="16" w:type="dxa"/>
              <w:left w:w="16" w:type="dxa"/>
              <w:right w:w="16" w:type="dxa"/>
            </w:tcMar>
            <w:vAlign w:val="center"/>
          </w:tcPr>
          <w:p w14:paraId="6FCE53E4">
            <w:pPr>
              <w:adjustRightInd w:val="0"/>
              <w:snapToGrid w:val="0"/>
              <w:jc w:val="center"/>
              <w:rPr>
                <w:color w:val="auto"/>
                <w:szCs w:val="21"/>
              </w:rPr>
            </w:pPr>
            <w:r>
              <w:rPr>
                <w:color w:val="auto"/>
                <w:szCs w:val="21"/>
              </w:rPr>
              <w:t>项目代码</w:t>
            </w:r>
          </w:p>
        </w:tc>
        <w:tc>
          <w:tcPr>
            <w:tcW w:w="6813" w:type="dxa"/>
            <w:gridSpan w:val="4"/>
            <w:vAlign w:val="center"/>
          </w:tcPr>
          <w:p w14:paraId="59753D46">
            <w:pPr>
              <w:adjustRightInd w:val="0"/>
              <w:snapToGrid w:val="0"/>
              <w:jc w:val="center"/>
              <w:rPr>
                <w:color w:val="auto"/>
                <w:szCs w:val="21"/>
              </w:rPr>
            </w:pPr>
            <w:r>
              <w:rPr>
                <w:color w:val="auto"/>
                <w:szCs w:val="21"/>
              </w:rPr>
              <w:t>2606-450225-04-01-600042</w:t>
            </w:r>
          </w:p>
        </w:tc>
      </w:tr>
      <w:tr w14:paraId="5AE022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tcMar>
              <w:top w:w="16" w:type="dxa"/>
              <w:left w:w="16" w:type="dxa"/>
              <w:right w:w="16" w:type="dxa"/>
            </w:tcMar>
            <w:vAlign w:val="center"/>
          </w:tcPr>
          <w:p w14:paraId="3A4F092F">
            <w:pPr>
              <w:adjustRightInd w:val="0"/>
              <w:snapToGrid w:val="0"/>
              <w:jc w:val="center"/>
              <w:rPr>
                <w:color w:val="auto"/>
                <w:szCs w:val="21"/>
              </w:rPr>
            </w:pPr>
            <w:r>
              <w:rPr>
                <w:color w:val="auto"/>
                <w:szCs w:val="21"/>
              </w:rPr>
              <w:t>建设单位联系人</w:t>
            </w:r>
          </w:p>
        </w:tc>
        <w:tc>
          <w:tcPr>
            <w:tcW w:w="2043" w:type="dxa"/>
            <w:vAlign w:val="center"/>
          </w:tcPr>
          <w:p w14:paraId="05202161">
            <w:pPr>
              <w:adjustRightInd w:val="0"/>
              <w:snapToGrid w:val="0"/>
              <w:jc w:val="center"/>
              <w:rPr>
                <w:color w:val="auto"/>
                <w:szCs w:val="21"/>
              </w:rPr>
            </w:pPr>
            <w:r>
              <w:rPr>
                <w:color w:val="auto"/>
                <w:szCs w:val="21"/>
              </w:rPr>
              <w:t>吴国铭</w:t>
            </w:r>
          </w:p>
        </w:tc>
        <w:tc>
          <w:tcPr>
            <w:tcW w:w="2228" w:type="dxa"/>
            <w:gridSpan w:val="2"/>
            <w:vAlign w:val="center"/>
          </w:tcPr>
          <w:p w14:paraId="3CAD2D6D">
            <w:pPr>
              <w:adjustRightInd w:val="0"/>
              <w:snapToGrid w:val="0"/>
              <w:jc w:val="center"/>
              <w:rPr>
                <w:color w:val="auto"/>
                <w:szCs w:val="21"/>
              </w:rPr>
            </w:pPr>
            <w:r>
              <w:rPr>
                <w:color w:val="auto"/>
                <w:szCs w:val="21"/>
              </w:rPr>
              <w:t>联系方式</w:t>
            </w:r>
          </w:p>
        </w:tc>
        <w:tc>
          <w:tcPr>
            <w:tcW w:w="2542" w:type="dxa"/>
            <w:vAlign w:val="center"/>
          </w:tcPr>
          <w:p w14:paraId="5AB4885C">
            <w:pPr>
              <w:adjustRightInd w:val="0"/>
              <w:snapToGrid w:val="0"/>
              <w:jc w:val="center"/>
              <w:rPr>
                <w:rFonts w:hint="default" w:eastAsia="宋体"/>
                <w:color w:val="auto"/>
                <w:szCs w:val="21"/>
                <w:lang w:val="en-US" w:eastAsia="zh-CN"/>
              </w:rPr>
            </w:pPr>
            <w:r>
              <w:rPr>
                <w:rFonts w:hint="eastAsia"/>
                <w:color w:val="auto"/>
                <w:szCs w:val="21"/>
                <w:lang w:val="en-US" w:eastAsia="zh-CN"/>
              </w:rPr>
              <w:t>**********</w:t>
            </w:r>
          </w:p>
        </w:tc>
      </w:tr>
      <w:tr w14:paraId="4E6A41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2226" w:type="dxa"/>
            <w:tcMar>
              <w:top w:w="16" w:type="dxa"/>
              <w:left w:w="16" w:type="dxa"/>
              <w:right w:w="16" w:type="dxa"/>
            </w:tcMar>
            <w:vAlign w:val="center"/>
          </w:tcPr>
          <w:p w14:paraId="6397F2EB">
            <w:pPr>
              <w:adjustRightInd w:val="0"/>
              <w:snapToGrid w:val="0"/>
              <w:jc w:val="center"/>
              <w:rPr>
                <w:color w:val="auto"/>
                <w:szCs w:val="21"/>
              </w:rPr>
            </w:pPr>
            <w:r>
              <w:rPr>
                <w:color w:val="auto"/>
                <w:szCs w:val="21"/>
              </w:rPr>
              <w:t>建设地点</w:t>
            </w:r>
          </w:p>
        </w:tc>
        <w:tc>
          <w:tcPr>
            <w:tcW w:w="6813" w:type="dxa"/>
            <w:gridSpan w:val="4"/>
            <w:vAlign w:val="center"/>
          </w:tcPr>
          <w:p w14:paraId="574F1595">
            <w:pPr>
              <w:adjustRightInd w:val="0"/>
              <w:snapToGrid w:val="0"/>
              <w:jc w:val="center"/>
              <w:rPr>
                <w:color w:val="auto"/>
                <w:szCs w:val="21"/>
                <w:u w:val="single"/>
              </w:rPr>
            </w:pPr>
            <w:r>
              <w:rPr>
                <w:color w:val="auto"/>
                <w:szCs w:val="21"/>
                <w:u w:val="single"/>
              </w:rPr>
              <w:t xml:space="preserve"> 广西 </w:t>
            </w:r>
            <w:r>
              <w:rPr>
                <w:color w:val="auto"/>
                <w:szCs w:val="21"/>
              </w:rPr>
              <w:t>省（自治区）</w:t>
            </w:r>
            <w:r>
              <w:rPr>
                <w:color w:val="auto"/>
                <w:szCs w:val="21"/>
                <w:u w:val="single"/>
              </w:rPr>
              <w:t xml:space="preserve"> 柳州 </w:t>
            </w:r>
            <w:r>
              <w:rPr>
                <w:color w:val="auto"/>
                <w:szCs w:val="21"/>
              </w:rPr>
              <w:t>市</w:t>
            </w:r>
            <w:r>
              <w:rPr>
                <w:color w:val="auto"/>
                <w:szCs w:val="21"/>
                <w:u w:val="single"/>
              </w:rPr>
              <w:t xml:space="preserve"> 融水 </w:t>
            </w:r>
            <w:r>
              <w:rPr>
                <w:color w:val="auto"/>
                <w:szCs w:val="21"/>
              </w:rPr>
              <w:t>县（区）</w:t>
            </w:r>
            <w:r>
              <w:rPr>
                <w:color w:val="auto"/>
                <w:szCs w:val="21"/>
                <w:u w:val="single"/>
              </w:rPr>
              <w:t xml:space="preserve"> 和睦镇伏虎华侨</w:t>
            </w:r>
          </w:p>
          <w:p w14:paraId="0FFBEAC5">
            <w:pPr>
              <w:adjustRightInd w:val="0"/>
              <w:snapToGrid w:val="0"/>
              <w:jc w:val="center"/>
              <w:rPr>
                <w:color w:val="auto"/>
                <w:szCs w:val="21"/>
              </w:rPr>
            </w:pPr>
            <w:r>
              <w:rPr>
                <w:color w:val="auto"/>
                <w:szCs w:val="21"/>
                <w:u w:val="single"/>
              </w:rPr>
              <w:t>农场</w:t>
            </w:r>
            <w:r>
              <w:rPr>
                <w:rFonts w:hint="eastAsia"/>
                <w:color w:val="auto"/>
                <w:szCs w:val="21"/>
                <w:u w:val="single"/>
                <w:lang w:val="en-US" w:eastAsia="zh-CN"/>
              </w:rPr>
              <w:t>二</w:t>
            </w:r>
            <w:r>
              <w:rPr>
                <w:color w:val="auto"/>
                <w:szCs w:val="21"/>
                <w:u w:val="single"/>
              </w:rPr>
              <w:t xml:space="preserve">队 </w:t>
            </w:r>
          </w:p>
        </w:tc>
      </w:tr>
      <w:tr w14:paraId="33462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tcMar>
              <w:top w:w="16" w:type="dxa"/>
              <w:left w:w="16" w:type="dxa"/>
              <w:right w:w="16" w:type="dxa"/>
            </w:tcMar>
            <w:vAlign w:val="center"/>
          </w:tcPr>
          <w:p w14:paraId="5D6A9B07">
            <w:pPr>
              <w:adjustRightInd w:val="0"/>
              <w:snapToGrid w:val="0"/>
              <w:jc w:val="center"/>
              <w:rPr>
                <w:color w:val="auto"/>
                <w:szCs w:val="21"/>
              </w:rPr>
            </w:pPr>
            <w:r>
              <w:rPr>
                <w:color w:val="auto"/>
                <w:szCs w:val="21"/>
              </w:rPr>
              <w:t>地理坐标</w:t>
            </w:r>
          </w:p>
        </w:tc>
        <w:tc>
          <w:tcPr>
            <w:tcW w:w="6813" w:type="dxa"/>
            <w:gridSpan w:val="4"/>
            <w:vAlign w:val="center"/>
          </w:tcPr>
          <w:p w14:paraId="5DCA41AB">
            <w:pPr>
              <w:adjustRightInd w:val="0"/>
              <w:snapToGrid w:val="0"/>
              <w:jc w:val="center"/>
              <w:rPr>
                <w:color w:val="auto"/>
                <w:szCs w:val="21"/>
              </w:rPr>
            </w:pPr>
            <w:r>
              <w:rPr>
                <w:color w:val="auto"/>
                <w:szCs w:val="21"/>
              </w:rPr>
              <w:t>（</w:t>
            </w:r>
            <w:r>
              <w:rPr>
                <w:color w:val="auto"/>
                <w:szCs w:val="21"/>
                <w:u w:val="single"/>
              </w:rPr>
              <w:t xml:space="preserve"> </w:t>
            </w:r>
            <w:r>
              <w:rPr>
                <w:rFonts w:hint="eastAsia"/>
                <w:color w:val="auto"/>
                <w:szCs w:val="21"/>
                <w:u w:val="single"/>
              </w:rPr>
              <w:t>109</w:t>
            </w:r>
            <w:r>
              <w:rPr>
                <w:color w:val="auto"/>
                <w:szCs w:val="21"/>
                <w:u w:val="single"/>
              </w:rPr>
              <w:t xml:space="preserve"> </w:t>
            </w:r>
            <w:r>
              <w:rPr>
                <w:color w:val="auto"/>
                <w:szCs w:val="21"/>
              </w:rPr>
              <w:t>度</w:t>
            </w:r>
            <w:r>
              <w:rPr>
                <w:color w:val="auto"/>
                <w:szCs w:val="21"/>
                <w:u w:val="single"/>
              </w:rPr>
              <w:t xml:space="preserve"> </w:t>
            </w:r>
            <w:r>
              <w:rPr>
                <w:rFonts w:hint="eastAsia"/>
                <w:color w:val="auto"/>
                <w:szCs w:val="21"/>
                <w:u w:val="single"/>
              </w:rPr>
              <w:t>12</w:t>
            </w:r>
            <w:r>
              <w:rPr>
                <w:color w:val="auto"/>
                <w:szCs w:val="21"/>
                <w:u w:val="single"/>
              </w:rPr>
              <w:t xml:space="preserve"> </w:t>
            </w:r>
            <w:r>
              <w:rPr>
                <w:color w:val="auto"/>
                <w:szCs w:val="21"/>
              </w:rPr>
              <w:t>分</w:t>
            </w:r>
            <w:r>
              <w:rPr>
                <w:color w:val="auto"/>
                <w:szCs w:val="21"/>
                <w:u w:val="single"/>
              </w:rPr>
              <w:t xml:space="preserve"> 45.47</w:t>
            </w:r>
            <w:r>
              <w:rPr>
                <w:rFonts w:hint="eastAsia"/>
                <w:color w:val="auto"/>
                <w:szCs w:val="21"/>
                <w:u w:val="single"/>
              </w:rPr>
              <w:t>0</w:t>
            </w:r>
            <w:r>
              <w:rPr>
                <w:color w:val="auto"/>
                <w:szCs w:val="21"/>
                <w:u w:val="single"/>
              </w:rPr>
              <w:t xml:space="preserve"> </w:t>
            </w:r>
            <w:r>
              <w:rPr>
                <w:color w:val="auto"/>
                <w:szCs w:val="21"/>
              </w:rPr>
              <w:t>秒，</w:t>
            </w:r>
            <w:r>
              <w:rPr>
                <w:color w:val="auto"/>
                <w:szCs w:val="21"/>
                <w:u w:val="single"/>
              </w:rPr>
              <w:t xml:space="preserve"> </w:t>
            </w:r>
            <w:r>
              <w:rPr>
                <w:rFonts w:hint="eastAsia"/>
                <w:color w:val="auto"/>
                <w:szCs w:val="21"/>
                <w:u w:val="single"/>
              </w:rPr>
              <w:t>24</w:t>
            </w:r>
            <w:r>
              <w:rPr>
                <w:color w:val="auto"/>
                <w:szCs w:val="21"/>
                <w:u w:val="single"/>
              </w:rPr>
              <w:t xml:space="preserve"> </w:t>
            </w:r>
            <w:r>
              <w:rPr>
                <w:color w:val="auto"/>
                <w:szCs w:val="21"/>
              </w:rPr>
              <w:t>度</w:t>
            </w:r>
            <w:r>
              <w:rPr>
                <w:color w:val="auto"/>
                <w:szCs w:val="21"/>
                <w:u w:val="single"/>
              </w:rPr>
              <w:t xml:space="preserve"> </w:t>
            </w:r>
            <w:r>
              <w:rPr>
                <w:rFonts w:hint="eastAsia"/>
                <w:color w:val="auto"/>
                <w:szCs w:val="21"/>
                <w:u w:val="single"/>
              </w:rPr>
              <w:t>49</w:t>
            </w:r>
            <w:r>
              <w:rPr>
                <w:color w:val="auto"/>
                <w:szCs w:val="21"/>
                <w:u w:val="single"/>
              </w:rPr>
              <w:t xml:space="preserve"> </w:t>
            </w:r>
            <w:r>
              <w:rPr>
                <w:color w:val="auto"/>
                <w:szCs w:val="21"/>
              </w:rPr>
              <w:t>分</w:t>
            </w:r>
            <w:r>
              <w:rPr>
                <w:color w:val="auto"/>
                <w:szCs w:val="21"/>
                <w:u w:val="single"/>
              </w:rPr>
              <w:t xml:space="preserve"> 55.9</w:t>
            </w:r>
            <w:r>
              <w:rPr>
                <w:rFonts w:hint="eastAsia"/>
                <w:color w:val="auto"/>
                <w:szCs w:val="21"/>
                <w:u w:val="single"/>
              </w:rPr>
              <w:t>80</w:t>
            </w:r>
            <w:r>
              <w:rPr>
                <w:color w:val="auto"/>
                <w:szCs w:val="21"/>
                <w:u w:val="single"/>
              </w:rPr>
              <w:t xml:space="preserve"> </w:t>
            </w:r>
            <w:r>
              <w:rPr>
                <w:color w:val="auto"/>
                <w:szCs w:val="21"/>
              </w:rPr>
              <w:t>秒）</w:t>
            </w:r>
          </w:p>
        </w:tc>
      </w:tr>
      <w:tr w14:paraId="0FD63D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2226" w:type="dxa"/>
            <w:tcMar>
              <w:top w:w="16" w:type="dxa"/>
              <w:left w:w="16" w:type="dxa"/>
              <w:right w:w="16" w:type="dxa"/>
            </w:tcMar>
            <w:vAlign w:val="center"/>
          </w:tcPr>
          <w:p w14:paraId="263BA6E4">
            <w:pPr>
              <w:adjustRightInd w:val="0"/>
              <w:snapToGrid w:val="0"/>
              <w:jc w:val="center"/>
              <w:rPr>
                <w:color w:val="auto"/>
                <w:szCs w:val="21"/>
              </w:rPr>
            </w:pPr>
            <w:r>
              <w:rPr>
                <w:color w:val="auto"/>
                <w:szCs w:val="21"/>
              </w:rPr>
              <w:t>建设项目</w:t>
            </w:r>
          </w:p>
          <w:p w14:paraId="597E37C4">
            <w:pPr>
              <w:adjustRightInd w:val="0"/>
              <w:snapToGrid w:val="0"/>
              <w:jc w:val="center"/>
              <w:rPr>
                <w:color w:val="auto"/>
                <w:szCs w:val="21"/>
              </w:rPr>
            </w:pPr>
            <w:r>
              <w:rPr>
                <w:color w:val="auto"/>
                <w:szCs w:val="21"/>
              </w:rPr>
              <w:t>行业类别</w:t>
            </w:r>
          </w:p>
        </w:tc>
        <w:tc>
          <w:tcPr>
            <w:tcW w:w="2043" w:type="dxa"/>
            <w:vAlign w:val="center"/>
          </w:tcPr>
          <w:p w14:paraId="5A2E4A38">
            <w:pPr>
              <w:adjustRightInd w:val="0"/>
              <w:snapToGrid w:val="0"/>
              <w:jc w:val="center"/>
              <w:rPr>
                <w:color w:val="auto"/>
                <w:szCs w:val="21"/>
              </w:rPr>
            </w:pPr>
            <w:r>
              <w:rPr>
                <w:color w:val="auto"/>
                <w:szCs w:val="21"/>
              </w:rPr>
              <w:t>四十六、专业技术</w:t>
            </w:r>
          </w:p>
          <w:p w14:paraId="3CE23563">
            <w:pPr>
              <w:adjustRightInd w:val="0"/>
              <w:snapToGrid w:val="0"/>
              <w:jc w:val="center"/>
              <w:rPr>
                <w:color w:val="auto"/>
                <w:szCs w:val="21"/>
              </w:rPr>
            </w:pPr>
            <w:r>
              <w:rPr>
                <w:color w:val="auto"/>
                <w:szCs w:val="21"/>
              </w:rPr>
              <w:t>服务业-99陆地矿产资源地质勘查（含油气资源勘探）；二氧化碳地质封存-全部</w:t>
            </w:r>
          </w:p>
        </w:tc>
        <w:tc>
          <w:tcPr>
            <w:tcW w:w="2218" w:type="dxa"/>
            <w:vAlign w:val="center"/>
          </w:tcPr>
          <w:p w14:paraId="4D26F825">
            <w:pPr>
              <w:adjustRightInd w:val="0"/>
              <w:snapToGrid w:val="0"/>
              <w:jc w:val="center"/>
              <w:rPr>
                <w:color w:val="auto"/>
                <w:szCs w:val="21"/>
              </w:rPr>
            </w:pPr>
            <w:r>
              <w:rPr>
                <w:color w:val="auto"/>
                <w:szCs w:val="21"/>
              </w:rPr>
              <w:t>用地（用海）面积（m</w:t>
            </w:r>
            <w:r>
              <w:rPr>
                <w:color w:val="auto"/>
                <w:szCs w:val="21"/>
                <w:vertAlign w:val="superscript"/>
              </w:rPr>
              <w:t>2</w:t>
            </w:r>
            <w:r>
              <w:rPr>
                <w:color w:val="auto"/>
                <w:szCs w:val="21"/>
              </w:rPr>
              <w:t>）/长度（km）</w:t>
            </w:r>
          </w:p>
        </w:tc>
        <w:tc>
          <w:tcPr>
            <w:tcW w:w="2552" w:type="dxa"/>
            <w:gridSpan w:val="2"/>
            <w:vAlign w:val="center"/>
          </w:tcPr>
          <w:p w14:paraId="6B0A93D5">
            <w:pPr>
              <w:adjustRightInd w:val="0"/>
              <w:snapToGrid w:val="0"/>
              <w:jc w:val="center"/>
              <w:rPr>
                <w:color w:val="auto"/>
                <w:szCs w:val="21"/>
              </w:rPr>
            </w:pPr>
            <w:r>
              <w:rPr>
                <w:rFonts w:hint="eastAsia"/>
                <w:color w:val="auto"/>
                <w:szCs w:val="21"/>
              </w:rPr>
              <w:t>无新增用地</w:t>
            </w:r>
          </w:p>
        </w:tc>
      </w:tr>
      <w:tr w14:paraId="36CCD9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2226" w:type="dxa"/>
            <w:tcMar>
              <w:top w:w="16" w:type="dxa"/>
              <w:left w:w="16" w:type="dxa"/>
              <w:right w:w="16" w:type="dxa"/>
            </w:tcMar>
            <w:vAlign w:val="center"/>
          </w:tcPr>
          <w:p w14:paraId="29119392">
            <w:pPr>
              <w:adjustRightInd w:val="0"/>
              <w:snapToGrid w:val="0"/>
              <w:jc w:val="center"/>
              <w:rPr>
                <w:color w:val="auto"/>
                <w:szCs w:val="21"/>
              </w:rPr>
            </w:pPr>
            <w:r>
              <w:rPr>
                <w:color w:val="auto"/>
                <w:szCs w:val="21"/>
              </w:rPr>
              <w:t>建设性质</w:t>
            </w:r>
          </w:p>
        </w:tc>
        <w:tc>
          <w:tcPr>
            <w:tcW w:w="2043" w:type="dxa"/>
            <w:vAlign w:val="center"/>
          </w:tcPr>
          <w:p w14:paraId="22571AE9">
            <w:pPr>
              <w:adjustRightInd w:val="0"/>
              <w:snapToGrid w:val="0"/>
              <w:jc w:val="left"/>
              <w:rPr>
                <w:color w:val="auto"/>
                <w:szCs w:val="21"/>
              </w:rPr>
            </w:pPr>
            <w:r>
              <w:rPr>
                <w:rFonts w:hint="eastAsia"/>
                <w:color w:val="auto"/>
                <w:szCs w:val="21"/>
              </w:rPr>
              <w:t>□</w:t>
            </w:r>
            <w:r>
              <w:rPr>
                <w:color w:val="auto"/>
                <w:szCs w:val="21"/>
              </w:rPr>
              <w:t>新建（迁建）</w:t>
            </w:r>
          </w:p>
          <w:p w14:paraId="02B03271">
            <w:pPr>
              <w:adjustRightInd w:val="0"/>
              <w:snapToGrid w:val="0"/>
              <w:jc w:val="left"/>
              <w:rPr>
                <w:color w:val="auto"/>
                <w:szCs w:val="21"/>
              </w:rPr>
            </w:pPr>
            <w:r>
              <w:rPr>
                <w:rFonts w:hint="eastAsia"/>
                <w:color w:val="auto"/>
                <w:szCs w:val="21"/>
              </w:rPr>
              <w:t>□</w:t>
            </w:r>
            <w:r>
              <w:rPr>
                <w:color w:val="auto"/>
                <w:szCs w:val="21"/>
              </w:rPr>
              <w:t>改建</w:t>
            </w:r>
          </w:p>
          <w:p w14:paraId="3C8BCBB4">
            <w:pPr>
              <w:adjustRightInd w:val="0"/>
              <w:snapToGrid w:val="0"/>
              <w:jc w:val="left"/>
              <w:rPr>
                <w:color w:val="auto"/>
                <w:szCs w:val="21"/>
              </w:rPr>
            </w:pPr>
            <w:r>
              <w:rPr>
                <w:rFonts w:hint="eastAsia"/>
                <w:color w:val="auto"/>
                <w:szCs w:val="21"/>
              </w:rPr>
              <w:t>☑</w:t>
            </w:r>
            <w:r>
              <w:rPr>
                <w:color w:val="auto"/>
                <w:szCs w:val="21"/>
              </w:rPr>
              <w:t>扩建</w:t>
            </w:r>
          </w:p>
          <w:p w14:paraId="5A128A23">
            <w:pPr>
              <w:adjustRightInd w:val="0"/>
              <w:snapToGrid w:val="0"/>
              <w:jc w:val="left"/>
              <w:rPr>
                <w:color w:val="auto"/>
                <w:szCs w:val="21"/>
              </w:rPr>
            </w:pPr>
            <w:r>
              <w:rPr>
                <w:rFonts w:hint="eastAsia"/>
                <w:color w:val="auto"/>
                <w:szCs w:val="21"/>
              </w:rPr>
              <w:t>□</w:t>
            </w:r>
            <w:r>
              <w:rPr>
                <w:color w:val="auto"/>
                <w:szCs w:val="21"/>
              </w:rPr>
              <w:t>技术改造</w:t>
            </w:r>
          </w:p>
        </w:tc>
        <w:tc>
          <w:tcPr>
            <w:tcW w:w="2218" w:type="dxa"/>
            <w:vAlign w:val="center"/>
          </w:tcPr>
          <w:p w14:paraId="144A5814">
            <w:pPr>
              <w:adjustRightInd w:val="0"/>
              <w:snapToGrid w:val="0"/>
              <w:jc w:val="center"/>
              <w:rPr>
                <w:color w:val="auto"/>
                <w:szCs w:val="21"/>
              </w:rPr>
            </w:pPr>
            <w:r>
              <w:rPr>
                <w:color w:val="auto"/>
                <w:szCs w:val="21"/>
              </w:rPr>
              <w:t>建设项目</w:t>
            </w:r>
          </w:p>
          <w:p w14:paraId="0321B84F">
            <w:pPr>
              <w:adjustRightInd w:val="0"/>
              <w:snapToGrid w:val="0"/>
              <w:jc w:val="center"/>
              <w:rPr>
                <w:color w:val="auto"/>
                <w:szCs w:val="21"/>
              </w:rPr>
            </w:pPr>
            <w:r>
              <w:rPr>
                <w:color w:val="auto"/>
                <w:szCs w:val="21"/>
              </w:rPr>
              <w:t>申报情形</w:t>
            </w:r>
          </w:p>
        </w:tc>
        <w:tc>
          <w:tcPr>
            <w:tcW w:w="2552" w:type="dxa"/>
            <w:gridSpan w:val="2"/>
            <w:vAlign w:val="center"/>
          </w:tcPr>
          <w:p w14:paraId="3FA8554A">
            <w:pPr>
              <w:adjustRightInd w:val="0"/>
              <w:snapToGrid w:val="0"/>
              <w:jc w:val="left"/>
              <w:rPr>
                <w:color w:val="auto"/>
                <w:szCs w:val="21"/>
              </w:rPr>
            </w:pPr>
            <w:r>
              <w:rPr>
                <w:rFonts w:hint="eastAsia"/>
                <w:color w:val="auto"/>
                <w:szCs w:val="21"/>
              </w:rPr>
              <w:t>☑</w:t>
            </w:r>
            <w:r>
              <w:rPr>
                <w:color w:val="auto"/>
                <w:szCs w:val="21"/>
              </w:rPr>
              <w:t>首次申报项目</w:t>
            </w:r>
          </w:p>
          <w:p w14:paraId="37DCC044">
            <w:pPr>
              <w:adjustRightInd w:val="0"/>
              <w:snapToGrid w:val="0"/>
              <w:jc w:val="left"/>
              <w:rPr>
                <w:color w:val="auto"/>
                <w:szCs w:val="21"/>
              </w:rPr>
            </w:pPr>
            <w:r>
              <w:rPr>
                <w:rFonts w:hint="eastAsia"/>
                <w:color w:val="auto"/>
                <w:szCs w:val="21"/>
              </w:rPr>
              <w:t>□</w:t>
            </w:r>
            <w:r>
              <w:rPr>
                <w:color w:val="auto"/>
                <w:szCs w:val="21"/>
              </w:rPr>
              <w:t>不予批准后再次申报项目</w:t>
            </w:r>
          </w:p>
          <w:p w14:paraId="2AC8CD04">
            <w:pPr>
              <w:adjustRightInd w:val="0"/>
              <w:snapToGrid w:val="0"/>
              <w:jc w:val="left"/>
              <w:rPr>
                <w:color w:val="auto"/>
                <w:szCs w:val="21"/>
              </w:rPr>
            </w:pPr>
            <w:r>
              <w:rPr>
                <w:rFonts w:hint="eastAsia"/>
                <w:color w:val="auto"/>
                <w:szCs w:val="21"/>
              </w:rPr>
              <w:t>□</w:t>
            </w:r>
            <w:r>
              <w:rPr>
                <w:color w:val="auto"/>
                <w:szCs w:val="21"/>
              </w:rPr>
              <w:t>超五年重新审核项目</w:t>
            </w:r>
          </w:p>
          <w:p w14:paraId="746DE3E6">
            <w:pPr>
              <w:adjustRightInd w:val="0"/>
              <w:snapToGrid w:val="0"/>
              <w:rPr>
                <w:color w:val="auto"/>
                <w:szCs w:val="21"/>
              </w:rPr>
            </w:pPr>
            <w:r>
              <w:rPr>
                <w:rFonts w:hint="eastAsia"/>
                <w:color w:val="auto"/>
                <w:szCs w:val="21"/>
              </w:rPr>
              <w:t>□</w:t>
            </w:r>
            <w:r>
              <w:rPr>
                <w:color w:val="auto"/>
                <w:szCs w:val="21"/>
              </w:rPr>
              <w:t>重大变动重新报批项目</w:t>
            </w:r>
          </w:p>
        </w:tc>
      </w:tr>
      <w:tr w14:paraId="7C654D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2226" w:type="dxa"/>
            <w:tcMar>
              <w:top w:w="16" w:type="dxa"/>
              <w:left w:w="16" w:type="dxa"/>
              <w:right w:w="16" w:type="dxa"/>
            </w:tcMar>
            <w:vAlign w:val="center"/>
          </w:tcPr>
          <w:p w14:paraId="6BBD1F27">
            <w:pPr>
              <w:adjustRightInd w:val="0"/>
              <w:snapToGrid w:val="0"/>
              <w:jc w:val="center"/>
              <w:rPr>
                <w:color w:val="auto"/>
                <w:szCs w:val="21"/>
              </w:rPr>
            </w:pPr>
            <w:r>
              <w:rPr>
                <w:color w:val="auto"/>
                <w:szCs w:val="21"/>
              </w:rPr>
              <w:t>项目审批（核准/</w:t>
            </w:r>
          </w:p>
          <w:p w14:paraId="51611A19">
            <w:pPr>
              <w:adjustRightInd w:val="0"/>
              <w:snapToGrid w:val="0"/>
              <w:jc w:val="center"/>
              <w:rPr>
                <w:color w:val="auto"/>
                <w:szCs w:val="21"/>
              </w:rPr>
            </w:pPr>
            <w:r>
              <w:rPr>
                <w:color w:val="auto"/>
                <w:szCs w:val="21"/>
              </w:rPr>
              <w:t>备案）部门（选填）</w:t>
            </w:r>
          </w:p>
        </w:tc>
        <w:tc>
          <w:tcPr>
            <w:tcW w:w="2043" w:type="dxa"/>
            <w:vAlign w:val="center"/>
          </w:tcPr>
          <w:p w14:paraId="1532FF89">
            <w:pPr>
              <w:adjustRightInd w:val="0"/>
              <w:snapToGrid w:val="0"/>
              <w:jc w:val="center"/>
              <w:rPr>
                <w:color w:val="auto"/>
                <w:szCs w:val="21"/>
              </w:rPr>
            </w:pPr>
            <w:r>
              <w:rPr>
                <w:color w:val="auto"/>
                <w:szCs w:val="21"/>
              </w:rPr>
              <w:t>融水苗族自治县发改局</w:t>
            </w:r>
          </w:p>
        </w:tc>
        <w:tc>
          <w:tcPr>
            <w:tcW w:w="2218" w:type="dxa"/>
            <w:vAlign w:val="center"/>
          </w:tcPr>
          <w:p w14:paraId="6081E510">
            <w:pPr>
              <w:adjustRightInd w:val="0"/>
              <w:snapToGrid w:val="0"/>
              <w:jc w:val="center"/>
              <w:rPr>
                <w:color w:val="auto"/>
                <w:szCs w:val="21"/>
              </w:rPr>
            </w:pPr>
            <w:r>
              <w:rPr>
                <w:color w:val="auto"/>
                <w:szCs w:val="21"/>
              </w:rPr>
              <w:t>项目审批（核准/</w:t>
            </w:r>
          </w:p>
          <w:p w14:paraId="723D7CCA">
            <w:pPr>
              <w:adjustRightInd w:val="0"/>
              <w:snapToGrid w:val="0"/>
              <w:jc w:val="center"/>
              <w:rPr>
                <w:color w:val="auto"/>
                <w:szCs w:val="21"/>
              </w:rPr>
            </w:pPr>
            <w:r>
              <w:rPr>
                <w:color w:val="auto"/>
                <w:szCs w:val="21"/>
              </w:rPr>
              <w:t>备案）文号（选填）</w:t>
            </w:r>
          </w:p>
        </w:tc>
        <w:tc>
          <w:tcPr>
            <w:tcW w:w="2552" w:type="dxa"/>
            <w:gridSpan w:val="2"/>
            <w:vAlign w:val="center"/>
          </w:tcPr>
          <w:p w14:paraId="3BE93364">
            <w:pPr>
              <w:adjustRightInd w:val="0"/>
              <w:snapToGrid w:val="0"/>
              <w:jc w:val="center"/>
              <w:rPr>
                <w:color w:val="auto"/>
                <w:szCs w:val="21"/>
              </w:rPr>
            </w:pPr>
            <w:r>
              <w:rPr>
                <w:rFonts w:hint="eastAsia"/>
                <w:color w:val="auto"/>
                <w:szCs w:val="21"/>
              </w:rPr>
              <w:t>/</w:t>
            </w:r>
          </w:p>
        </w:tc>
      </w:tr>
      <w:tr w14:paraId="47C20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2226" w:type="dxa"/>
            <w:tcMar>
              <w:top w:w="16" w:type="dxa"/>
              <w:left w:w="16" w:type="dxa"/>
              <w:right w:w="16" w:type="dxa"/>
            </w:tcMar>
            <w:vAlign w:val="center"/>
          </w:tcPr>
          <w:p w14:paraId="5552A7B6">
            <w:pPr>
              <w:adjustRightInd w:val="0"/>
              <w:snapToGrid w:val="0"/>
              <w:jc w:val="center"/>
              <w:rPr>
                <w:color w:val="auto"/>
                <w:szCs w:val="21"/>
              </w:rPr>
            </w:pPr>
            <w:r>
              <w:rPr>
                <w:color w:val="auto"/>
                <w:szCs w:val="21"/>
              </w:rPr>
              <w:t>总投资（万元）</w:t>
            </w:r>
          </w:p>
        </w:tc>
        <w:tc>
          <w:tcPr>
            <w:tcW w:w="2043" w:type="dxa"/>
            <w:vAlign w:val="center"/>
          </w:tcPr>
          <w:p w14:paraId="5EF8C1F7">
            <w:pPr>
              <w:adjustRightInd w:val="0"/>
              <w:snapToGrid w:val="0"/>
              <w:jc w:val="center"/>
              <w:rPr>
                <w:color w:val="auto"/>
                <w:szCs w:val="21"/>
              </w:rPr>
            </w:pPr>
            <w:r>
              <w:rPr>
                <w:rFonts w:hint="eastAsia"/>
                <w:color w:val="auto"/>
                <w:szCs w:val="21"/>
              </w:rPr>
              <w:t>33000</w:t>
            </w:r>
          </w:p>
        </w:tc>
        <w:tc>
          <w:tcPr>
            <w:tcW w:w="2218" w:type="dxa"/>
            <w:tcMar>
              <w:top w:w="16" w:type="dxa"/>
              <w:left w:w="16" w:type="dxa"/>
              <w:right w:w="16" w:type="dxa"/>
            </w:tcMar>
            <w:vAlign w:val="center"/>
          </w:tcPr>
          <w:p w14:paraId="0835FA33">
            <w:pPr>
              <w:adjustRightInd w:val="0"/>
              <w:snapToGrid w:val="0"/>
              <w:jc w:val="center"/>
              <w:rPr>
                <w:color w:val="auto"/>
                <w:szCs w:val="21"/>
              </w:rPr>
            </w:pPr>
            <w:r>
              <w:rPr>
                <w:color w:val="auto"/>
                <w:szCs w:val="21"/>
              </w:rPr>
              <w:t>环保投资（万元）</w:t>
            </w:r>
          </w:p>
        </w:tc>
        <w:tc>
          <w:tcPr>
            <w:tcW w:w="2552" w:type="dxa"/>
            <w:gridSpan w:val="2"/>
            <w:vAlign w:val="center"/>
          </w:tcPr>
          <w:p w14:paraId="19CC255C">
            <w:pPr>
              <w:adjustRightInd w:val="0"/>
              <w:snapToGrid w:val="0"/>
              <w:jc w:val="center"/>
              <w:rPr>
                <w:color w:val="auto"/>
                <w:szCs w:val="21"/>
              </w:rPr>
            </w:pPr>
            <w:r>
              <w:rPr>
                <w:rStyle w:val="24"/>
                <w:rFonts w:hint="eastAsia"/>
                <w:color w:val="auto"/>
                <w:sz w:val="24"/>
              </w:rPr>
              <w:t>1206</w:t>
            </w:r>
            <w:r>
              <w:rPr>
                <w:rStyle w:val="24"/>
                <w:color w:val="auto"/>
                <w:sz w:val="24"/>
              </w:rPr>
              <w:t>.5</w:t>
            </w:r>
          </w:p>
        </w:tc>
      </w:tr>
      <w:tr w14:paraId="3EEF3C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226" w:type="dxa"/>
            <w:tcMar>
              <w:top w:w="16" w:type="dxa"/>
              <w:left w:w="16" w:type="dxa"/>
              <w:right w:w="16" w:type="dxa"/>
            </w:tcMar>
            <w:vAlign w:val="center"/>
          </w:tcPr>
          <w:p w14:paraId="78D59F6F">
            <w:pPr>
              <w:adjustRightInd w:val="0"/>
              <w:snapToGrid w:val="0"/>
              <w:jc w:val="center"/>
              <w:rPr>
                <w:color w:val="auto"/>
                <w:szCs w:val="21"/>
              </w:rPr>
            </w:pPr>
            <w:r>
              <w:rPr>
                <w:color w:val="auto"/>
                <w:szCs w:val="21"/>
              </w:rPr>
              <w:t>环保投资占比（%）</w:t>
            </w:r>
          </w:p>
        </w:tc>
        <w:tc>
          <w:tcPr>
            <w:tcW w:w="2043" w:type="dxa"/>
            <w:vAlign w:val="center"/>
          </w:tcPr>
          <w:p w14:paraId="3652690D">
            <w:pPr>
              <w:adjustRightInd w:val="0"/>
              <w:snapToGrid w:val="0"/>
              <w:jc w:val="center"/>
              <w:rPr>
                <w:color w:val="auto"/>
                <w:szCs w:val="21"/>
              </w:rPr>
            </w:pPr>
            <w:r>
              <w:rPr>
                <w:rStyle w:val="24"/>
                <w:rFonts w:hint="eastAsia"/>
                <w:color w:val="auto"/>
                <w:sz w:val="24"/>
              </w:rPr>
              <w:t>3.65</w:t>
            </w:r>
          </w:p>
        </w:tc>
        <w:tc>
          <w:tcPr>
            <w:tcW w:w="2218" w:type="dxa"/>
            <w:tcMar>
              <w:top w:w="16" w:type="dxa"/>
              <w:left w:w="16" w:type="dxa"/>
              <w:right w:w="16" w:type="dxa"/>
            </w:tcMar>
            <w:vAlign w:val="center"/>
          </w:tcPr>
          <w:p w14:paraId="1294D7CA">
            <w:pPr>
              <w:adjustRightInd w:val="0"/>
              <w:snapToGrid w:val="0"/>
              <w:jc w:val="center"/>
              <w:rPr>
                <w:color w:val="auto"/>
                <w:szCs w:val="21"/>
              </w:rPr>
            </w:pPr>
            <w:r>
              <w:rPr>
                <w:color w:val="auto"/>
                <w:szCs w:val="21"/>
              </w:rPr>
              <w:t>施工工期</w:t>
            </w:r>
          </w:p>
        </w:tc>
        <w:tc>
          <w:tcPr>
            <w:tcW w:w="2552" w:type="dxa"/>
            <w:gridSpan w:val="2"/>
            <w:vAlign w:val="center"/>
          </w:tcPr>
          <w:p w14:paraId="73271F78">
            <w:pPr>
              <w:adjustRightInd w:val="0"/>
              <w:snapToGrid w:val="0"/>
              <w:jc w:val="center"/>
              <w:rPr>
                <w:color w:val="auto"/>
                <w:szCs w:val="21"/>
              </w:rPr>
            </w:pPr>
            <w:r>
              <w:rPr>
                <w:rFonts w:hint="eastAsia"/>
                <w:color w:val="auto"/>
                <w:szCs w:val="21"/>
              </w:rPr>
              <w:t>35个月</w:t>
            </w:r>
          </w:p>
        </w:tc>
      </w:tr>
      <w:tr w14:paraId="5FDDB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tcMar>
              <w:top w:w="16" w:type="dxa"/>
              <w:left w:w="16" w:type="dxa"/>
              <w:right w:w="16" w:type="dxa"/>
            </w:tcMar>
            <w:vAlign w:val="center"/>
          </w:tcPr>
          <w:p w14:paraId="7AF2ADBC">
            <w:pPr>
              <w:adjustRightInd w:val="0"/>
              <w:snapToGrid w:val="0"/>
              <w:jc w:val="center"/>
              <w:rPr>
                <w:color w:val="auto"/>
                <w:szCs w:val="21"/>
              </w:rPr>
            </w:pPr>
            <w:r>
              <w:rPr>
                <w:color w:val="auto"/>
                <w:szCs w:val="21"/>
              </w:rPr>
              <w:t>是否开工建设</w:t>
            </w:r>
          </w:p>
        </w:tc>
        <w:tc>
          <w:tcPr>
            <w:tcW w:w="6813" w:type="dxa"/>
            <w:gridSpan w:val="4"/>
            <w:vAlign w:val="center"/>
          </w:tcPr>
          <w:p w14:paraId="4AFFEE32">
            <w:pPr>
              <w:adjustRightInd w:val="0"/>
              <w:snapToGrid w:val="0"/>
              <w:ind w:firstLine="105"/>
              <w:jc w:val="left"/>
              <w:rPr>
                <w:color w:val="auto"/>
                <w:szCs w:val="21"/>
              </w:rPr>
            </w:pPr>
            <w:r>
              <w:rPr>
                <w:rFonts w:hint="eastAsia"/>
                <w:color w:val="auto"/>
                <w:szCs w:val="21"/>
              </w:rPr>
              <w:t>☑</w:t>
            </w:r>
            <w:r>
              <w:rPr>
                <w:color w:val="auto"/>
                <w:szCs w:val="21"/>
              </w:rPr>
              <w:t>否</w:t>
            </w:r>
          </w:p>
          <w:p w14:paraId="5761D964">
            <w:pPr>
              <w:adjustRightInd w:val="0"/>
              <w:snapToGrid w:val="0"/>
              <w:ind w:firstLine="92"/>
              <w:jc w:val="left"/>
              <w:rPr>
                <w:color w:val="auto"/>
                <w:szCs w:val="21"/>
              </w:rPr>
            </w:pPr>
            <w:r>
              <w:rPr>
                <w:rFonts w:hint="eastAsia"/>
                <w:color w:val="auto"/>
                <w:szCs w:val="21"/>
              </w:rPr>
              <w:t>□</w:t>
            </w:r>
            <w:r>
              <w:rPr>
                <w:color w:val="auto"/>
                <w:szCs w:val="21"/>
              </w:rPr>
              <w:t>是：</w:t>
            </w:r>
            <w:r>
              <w:rPr>
                <w:color w:val="auto"/>
                <w:szCs w:val="21"/>
                <w:u w:val="single"/>
              </w:rPr>
              <w:t xml:space="preserve">                             </w:t>
            </w:r>
          </w:p>
        </w:tc>
      </w:tr>
      <w:tr w14:paraId="2EE76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tcMar>
              <w:top w:w="16" w:type="dxa"/>
              <w:left w:w="16" w:type="dxa"/>
              <w:right w:w="16" w:type="dxa"/>
            </w:tcMar>
            <w:vAlign w:val="center"/>
          </w:tcPr>
          <w:p w14:paraId="5843E80A">
            <w:pPr>
              <w:adjustRightInd w:val="0"/>
              <w:snapToGrid w:val="0"/>
              <w:jc w:val="center"/>
              <w:rPr>
                <w:color w:val="auto"/>
              </w:rPr>
            </w:pPr>
            <w:r>
              <w:rPr>
                <w:color w:val="auto"/>
                <w:szCs w:val="21"/>
              </w:rPr>
              <w:t>专项评价设置情况</w:t>
            </w:r>
          </w:p>
        </w:tc>
        <w:tc>
          <w:tcPr>
            <w:tcW w:w="6813" w:type="dxa"/>
            <w:gridSpan w:val="4"/>
            <w:tcMar>
              <w:top w:w="16" w:type="dxa"/>
              <w:left w:w="16" w:type="dxa"/>
              <w:right w:w="16" w:type="dxa"/>
            </w:tcMar>
            <w:vAlign w:val="center"/>
          </w:tcPr>
          <w:p w14:paraId="4029A8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根据《建设项目环境影响报告表编制技术指南（生态影响类）》，本项目无需专项，专项评价设置原则表如下：</w:t>
            </w:r>
          </w:p>
          <w:p w14:paraId="192FC49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表1-1 本项目</w:t>
            </w:r>
            <w:r>
              <w:rPr>
                <w:b/>
                <w:bCs/>
              </w:rPr>
              <w:t>专项评价设置情况</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6"/>
              <w:gridCol w:w="2741"/>
              <w:gridCol w:w="2356"/>
              <w:gridCol w:w="767"/>
            </w:tblGrid>
            <w:tr w14:paraId="497CE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589621B5">
                  <w:pPr>
                    <w:jc w:val="center"/>
                    <w:rPr>
                      <w:b/>
                      <w:bCs/>
                      <w:sz w:val="21"/>
                      <w:szCs w:val="21"/>
                    </w:rPr>
                  </w:pPr>
                  <w:r>
                    <w:rPr>
                      <w:b/>
                      <w:bCs/>
                      <w:sz w:val="21"/>
                      <w:szCs w:val="21"/>
                    </w:rPr>
                    <w:t>专项评价的类别</w:t>
                  </w:r>
                </w:p>
              </w:tc>
              <w:tc>
                <w:tcPr>
                  <w:tcW w:w="2024" w:type="pct"/>
                  <w:vAlign w:val="center"/>
                </w:tcPr>
                <w:p w14:paraId="12980DD3">
                  <w:pPr>
                    <w:jc w:val="center"/>
                    <w:rPr>
                      <w:b/>
                      <w:bCs/>
                      <w:sz w:val="21"/>
                      <w:szCs w:val="21"/>
                    </w:rPr>
                  </w:pPr>
                  <w:r>
                    <w:rPr>
                      <w:b/>
                      <w:bCs/>
                      <w:sz w:val="21"/>
                      <w:szCs w:val="21"/>
                    </w:rPr>
                    <w:t>设置原则</w:t>
                  </w:r>
                </w:p>
              </w:tc>
              <w:tc>
                <w:tcPr>
                  <w:tcW w:w="1740" w:type="pct"/>
                  <w:vAlign w:val="center"/>
                </w:tcPr>
                <w:p w14:paraId="6E570ECC">
                  <w:pPr>
                    <w:jc w:val="center"/>
                    <w:rPr>
                      <w:b/>
                      <w:bCs/>
                      <w:sz w:val="21"/>
                      <w:szCs w:val="21"/>
                    </w:rPr>
                  </w:pPr>
                  <w:r>
                    <w:rPr>
                      <w:b/>
                      <w:bCs/>
                      <w:sz w:val="21"/>
                      <w:szCs w:val="21"/>
                    </w:rPr>
                    <w:t>本项目情况</w:t>
                  </w:r>
                </w:p>
              </w:tc>
              <w:tc>
                <w:tcPr>
                  <w:tcW w:w="566" w:type="pct"/>
                  <w:vAlign w:val="center"/>
                </w:tcPr>
                <w:p w14:paraId="1CDF9C53">
                  <w:pPr>
                    <w:jc w:val="center"/>
                    <w:rPr>
                      <w:b/>
                      <w:bCs/>
                      <w:sz w:val="21"/>
                      <w:szCs w:val="21"/>
                    </w:rPr>
                  </w:pPr>
                  <w:r>
                    <w:rPr>
                      <w:b/>
                      <w:bCs/>
                      <w:sz w:val="21"/>
                      <w:szCs w:val="21"/>
                    </w:rPr>
                    <w:t>是否设置专项评价</w:t>
                  </w:r>
                </w:p>
              </w:tc>
            </w:tr>
            <w:tr w14:paraId="4F1F9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5863750D">
                  <w:pPr>
                    <w:jc w:val="center"/>
                    <w:rPr>
                      <w:sz w:val="21"/>
                      <w:szCs w:val="21"/>
                    </w:rPr>
                  </w:pPr>
                  <w:r>
                    <w:rPr>
                      <w:sz w:val="21"/>
                      <w:szCs w:val="21"/>
                    </w:rPr>
                    <w:t>地表水</w:t>
                  </w:r>
                </w:p>
              </w:tc>
              <w:tc>
                <w:tcPr>
                  <w:tcW w:w="2024" w:type="pct"/>
                  <w:vAlign w:val="center"/>
                </w:tcPr>
                <w:p w14:paraId="7A8E4E9C">
                  <w:pPr>
                    <w:jc w:val="both"/>
                    <w:rPr>
                      <w:sz w:val="21"/>
                      <w:szCs w:val="21"/>
                    </w:rPr>
                  </w:pPr>
                  <w:r>
                    <w:rPr>
                      <w:sz w:val="21"/>
                      <w:szCs w:val="21"/>
                    </w:rPr>
                    <w:t>水力发电：引水式发电、涉及调峰发电的项目；</w:t>
                  </w:r>
                </w:p>
                <w:p w14:paraId="406A9D2D">
                  <w:pPr>
                    <w:jc w:val="both"/>
                    <w:rPr>
                      <w:sz w:val="21"/>
                      <w:szCs w:val="21"/>
                    </w:rPr>
                  </w:pPr>
                  <w:r>
                    <w:rPr>
                      <w:sz w:val="21"/>
                      <w:szCs w:val="21"/>
                    </w:rPr>
                    <w:t>人工湖、人工湿地：全部；</w:t>
                  </w:r>
                </w:p>
                <w:p w14:paraId="551C8D68">
                  <w:pPr>
                    <w:jc w:val="both"/>
                    <w:rPr>
                      <w:sz w:val="21"/>
                      <w:szCs w:val="21"/>
                    </w:rPr>
                  </w:pPr>
                  <w:r>
                    <w:rPr>
                      <w:sz w:val="21"/>
                      <w:szCs w:val="21"/>
                    </w:rPr>
                    <w:t>水库：全部；</w:t>
                  </w:r>
                </w:p>
                <w:p w14:paraId="4369A240">
                  <w:pPr>
                    <w:jc w:val="both"/>
                    <w:rPr>
                      <w:sz w:val="21"/>
                      <w:szCs w:val="21"/>
                    </w:rPr>
                  </w:pPr>
                  <w:r>
                    <w:rPr>
                      <w:sz w:val="21"/>
                      <w:szCs w:val="21"/>
                    </w:rPr>
                    <w:t>引水工程：全部（配套的管线工程等除外）；</w:t>
                  </w:r>
                </w:p>
                <w:p w14:paraId="4682586D">
                  <w:pPr>
                    <w:jc w:val="both"/>
                    <w:rPr>
                      <w:sz w:val="21"/>
                      <w:szCs w:val="21"/>
                    </w:rPr>
                  </w:pPr>
                  <w:r>
                    <w:rPr>
                      <w:sz w:val="21"/>
                      <w:szCs w:val="21"/>
                    </w:rPr>
                    <w:t>防洪除涝工程：包含水库的项目；</w:t>
                  </w:r>
                </w:p>
                <w:p w14:paraId="11872C03">
                  <w:pPr>
                    <w:jc w:val="both"/>
                    <w:rPr>
                      <w:sz w:val="21"/>
                      <w:szCs w:val="21"/>
                    </w:rPr>
                  </w:pPr>
                  <w:r>
                    <w:rPr>
                      <w:sz w:val="21"/>
                      <w:szCs w:val="21"/>
                    </w:rPr>
                    <w:t>河湖整治：涉及清淤且底泥存在重金属污染的项目</w:t>
                  </w:r>
                </w:p>
              </w:tc>
              <w:tc>
                <w:tcPr>
                  <w:tcW w:w="1740" w:type="pct"/>
                  <w:vAlign w:val="center"/>
                </w:tcPr>
                <w:p w14:paraId="09B01D79">
                  <w:pPr>
                    <w:jc w:val="center"/>
                    <w:rPr>
                      <w:sz w:val="21"/>
                      <w:szCs w:val="21"/>
                    </w:rPr>
                  </w:pPr>
                  <w:r>
                    <w:rPr>
                      <w:rFonts w:hint="eastAsia"/>
                      <w:sz w:val="21"/>
                      <w:szCs w:val="21"/>
                    </w:rPr>
                    <w:t>本项目不属于设置原则中所属行业</w:t>
                  </w:r>
                </w:p>
              </w:tc>
              <w:tc>
                <w:tcPr>
                  <w:tcW w:w="566" w:type="pct"/>
                  <w:vAlign w:val="center"/>
                </w:tcPr>
                <w:p w14:paraId="44676F24">
                  <w:pPr>
                    <w:jc w:val="center"/>
                    <w:rPr>
                      <w:sz w:val="21"/>
                      <w:szCs w:val="21"/>
                    </w:rPr>
                  </w:pPr>
                  <w:r>
                    <w:rPr>
                      <w:rFonts w:hint="eastAsia"/>
                      <w:sz w:val="21"/>
                      <w:szCs w:val="21"/>
                    </w:rPr>
                    <w:t>否</w:t>
                  </w:r>
                </w:p>
              </w:tc>
            </w:tr>
            <w:tr w14:paraId="293DF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0ADCE2A6">
                  <w:pPr>
                    <w:jc w:val="center"/>
                    <w:rPr>
                      <w:sz w:val="21"/>
                      <w:szCs w:val="21"/>
                    </w:rPr>
                  </w:pPr>
                  <w:r>
                    <w:rPr>
                      <w:sz w:val="21"/>
                      <w:szCs w:val="21"/>
                    </w:rPr>
                    <w:t>地下水</w:t>
                  </w:r>
                </w:p>
              </w:tc>
              <w:tc>
                <w:tcPr>
                  <w:tcW w:w="2024" w:type="pct"/>
                  <w:vAlign w:val="center"/>
                </w:tcPr>
                <w:p w14:paraId="56EFA8FC">
                  <w:pPr>
                    <w:jc w:val="both"/>
                    <w:rPr>
                      <w:sz w:val="21"/>
                      <w:szCs w:val="21"/>
                    </w:rPr>
                  </w:pPr>
                  <w:r>
                    <w:rPr>
                      <w:sz w:val="21"/>
                      <w:szCs w:val="21"/>
                    </w:rPr>
                    <w:t>陆地石油和天然气开采：全部；</w:t>
                  </w:r>
                </w:p>
                <w:p w14:paraId="4332AB9B">
                  <w:pPr>
                    <w:jc w:val="both"/>
                    <w:rPr>
                      <w:sz w:val="21"/>
                      <w:szCs w:val="21"/>
                    </w:rPr>
                  </w:pPr>
                  <w:r>
                    <w:rPr>
                      <w:sz w:val="21"/>
                      <w:szCs w:val="21"/>
                    </w:rPr>
                    <w:t>地下水（含矿泉水）开采：全部；</w:t>
                  </w:r>
                </w:p>
                <w:p w14:paraId="09EE2DE8">
                  <w:pPr>
                    <w:jc w:val="both"/>
                    <w:rPr>
                      <w:sz w:val="21"/>
                      <w:szCs w:val="21"/>
                    </w:rPr>
                  </w:pPr>
                  <w:r>
                    <w:rPr>
                      <w:sz w:val="21"/>
                      <w:szCs w:val="21"/>
                    </w:rPr>
                    <w:t>水利、水电、交通等：含穿越可溶岩地层隧道的项目</w:t>
                  </w:r>
                </w:p>
              </w:tc>
              <w:tc>
                <w:tcPr>
                  <w:tcW w:w="1740" w:type="pct"/>
                  <w:vAlign w:val="center"/>
                </w:tcPr>
                <w:p w14:paraId="3FB50965">
                  <w:pPr>
                    <w:jc w:val="center"/>
                    <w:rPr>
                      <w:sz w:val="21"/>
                      <w:szCs w:val="21"/>
                    </w:rPr>
                  </w:pPr>
                  <w:r>
                    <w:rPr>
                      <w:rFonts w:hint="eastAsia"/>
                      <w:sz w:val="21"/>
                      <w:szCs w:val="21"/>
                    </w:rPr>
                    <w:t>本项目为页岩气勘探项目，包含钻井工程、储层改造工程、试采工程，根据《石油天然气勘探规范》(GB/T39537-2020)，“7.3.7按照探明储量规范开展试油试采，确定油气井产能”属于石油天然气勘探中油气藏评价阶段主要工作内容。</w:t>
                  </w:r>
                </w:p>
              </w:tc>
              <w:tc>
                <w:tcPr>
                  <w:tcW w:w="566" w:type="pct"/>
                  <w:vAlign w:val="center"/>
                </w:tcPr>
                <w:p w14:paraId="3DB6CF5D">
                  <w:pPr>
                    <w:jc w:val="center"/>
                    <w:rPr>
                      <w:sz w:val="21"/>
                      <w:szCs w:val="21"/>
                    </w:rPr>
                  </w:pPr>
                  <w:r>
                    <w:rPr>
                      <w:rFonts w:hint="eastAsia"/>
                      <w:sz w:val="21"/>
                      <w:szCs w:val="21"/>
                    </w:rPr>
                    <w:t>否</w:t>
                  </w:r>
                </w:p>
              </w:tc>
            </w:tr>
            <w:tr w14:paraId="60D02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4A2576E4">
                  <w:pPr>
                    <w:jc w:val="center"/>
                    <w:rPr>
                      <w:sz w:val="21"/>
                      <w:szCs w:val="21"/>
                    </w:rPr>
                  </w:pPr>
                  <w:r>
                    <w:rPr>
                      <w:rFonts w:hint="eastAsia"/>
                      <w:sz w:val="21"/>
                      <w:szCs w:val="21"/>
                    </w:rPr>
                    <w:t>生态</w:t>
                  </w:r>
                </w:p>
              </w:tc>
              <w:tc>
                <w:tcPr>
                  <w:tcW w:w="2024" w:type="pct"/>
                  <w:vAlign w:val="center"/>
                </w:tcPr>
                <w:p w14:paraId="1A4EEBBC">
                  <w:pPr>
                    <w:jc w:val="both"/>
                    <w:rPr>
                      <w:sz w:val="21"/>
                      <w:szCs w:val="21"/>
                    </w:rPr>
                  </w:pPr>
                  <w:r>
                    <w:rPr>
                      <w:sz w:val="21"/>
                      <w:szCs w:val="21"/>
                    </w:rPr>
                    <w:t>涉及环境敏感区（不包括饮用水水源保护区，以居住、医疗卫生、文化教育、科研、行政办公为主要功能的区域，以及文物保护单位）的项目</w:t>
                  </w:r>
                </w:p>
              </w:tc>
              <w:tc>
                <w:tcPr>
                  <w:tcW w:w="1740" w:type="pct"/>
                  <w:vAlign w:val="center"/>
                </w:tcPr>
                <w:p w14:paraId="60B65C25">
                  <w:pPr>
                    <w:jc w:val="center"/>
                    <w:rPr>
                      <w:sz w:val="21"/>
                      <w:szCs w:val="21"/>
                    </w:rPr>
                  </w:pPr>
                  <w:r>
                    <w:rPr>
                      <w:rFonts w:hint="eastAsia"/>
                      <w:sz w:val="21"/>
                      <w:szCs w:val="21"/>
                    </w:rPr>
                    <w:t>根据《</w:t>
                  </w:r>
                  <w:r>
                    <w:rPr>
                      <w:sz w:val="21"/>
                      <w:szCs w:val="21"/>
                    </w:rPr>
                    <w:t>建设项目环境影响评价分类管理名录（2021年版）</w:t>
                  </w:r>
                  <w:r>
                    <w:rPr>
                      <w:rFonts w:hint="eastAsia"/>
                      <w:sz w:val="21"/>
                      <w:szCs w:val="21"/>
                    </w:rPr>
                    <w:t>》，本项目属于</w:t>
                  </w:r>
                  <w:r>
                    <w:rPr>
                      <w:sz w:val="21"/>
                      <w:szCs w:val="21"/>
                    </w:rPr>
                    <w:t>四十六、专业技术服务业-99陆地矿产资源地质勘查（含油气资源勘探）；二氧化碳地质封存-全部建设项目行业类别</w:t>
                  </w:r>
                  <w:r>
                    <w:rPr>
                      <w:rFonts w:hint="eastAsia"/>
                      <w:sz w:val="21"/>
                      <w:szCs w:val="21"/>
                    </w:rPr>
                    <w:t>，其中未列环境敏感区</w:t>
                  </w:r>
                </w:p>
              </w:tc>
              <w:tc>
                <w:tcPr>
                  <w:tcW w:w="566" w:type="pct"/>
                  <w:vAlign w:val="center"/>
                </w:tcPr>
                <w:p w14:paraId="4EF9D0E8">
                  <w:pPr>
                    <w:jc w:val="center"/>
                    <w:rPr>
                      <w:sz w:val="21"/>
                      <w:szCs w:val="21"/>
                    </w:rPr>
                  </w:pPr>
                  <w:r>
                    <w:rPr>
                      <w:rFonts w:hint="eastAsia"/>
                      <w:sz w:val="21"/>
                      <w:szCs w:val="21"/>
                    </w:rPr>
                    <w:t>否</w:t>
                  </w:r>
                </w:p>
              </w:tc>
            </w:tr>
            <w:tr w14:paraId="20B5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2CD3F4F4">
                  <w:pPr>
                    <w:jc w:val="center"/>
                    <w:rPr>
                      <w:sz w:val="21"/>
                      <w:szCs w:val="21"/>
                    </w:rPr>
                  </w:pPr>
                  <w:r>
                    <w:rPr>
                      <w:rFonts w:hint="eastAsia"/>
                      <w:sz w:val="21"/>
                      <w:szCs w:val="21"/>
                    </w:rPr>
                    <w:t>大气</w:t>
                  </w:r>
                </w:p>
              </w:tc>
              <w:tc>
                <w:tcPr>
                  <w:tcW w:w="2024" w:type="pct"/>
                  <w:vAlign w:val="center"/>
                </w:tcPr>
                <w:p w14:paraId="5A6900FE">
                  <w:pPr>
                    <w:jc w:val="both"/>
                    <w:rPr>
                      <w:sz w:val="21"/>
                      <w:szCs w:val="21"/>
                    </w:rPr>
                  </w:pPr>
                  <w:r>
                    <w:rPr>
                      <w:sz w:val="21"/>
                      <w:szCs w:val="21"/>
                    </w:rPr>
                    <w:t>油气、液体化工码头：全部；</w:t>
                  </w:r>
                </w:p>
                <w:p w14:paraId="0957EDA3">
                  <w:pPr>
                    <w:jc w:val="both"/>
                    <w:rPr>
                      <w:sz w:val="21"/>
                      <w:szCs w:val="21"/>
                    </w:rPr>
                  </w:pPr>
                  <w:r>
                    <w:rPr>
                      <w:sz w:val="21"/>
                      <w:szCs w:val="21"/>
                    </w:rPr>
                    <w:t>干散货（含煤炭、矿石）、件杂、多用途、通用码头：涉及粉尘、挥发性有机物排放的项目</w:t>
                  </w:r>
                </w:p>
              </w:tc>
              <w:tc>
                <w:tcPr>
                  <w:tcW w:w="1740" w:type="pct"/>
                  <w:vAlign w:val="center"/>
                </w:tcPr>
                <w:p w14:paraId="0D444622">
                  <w:pPr>
                    <w:jc w:val="center"/>
                    <w:rPr>
                      <w:sz w:val="21"/>
                      <w:szCs w:val="21"/>
                    </w:rPr>
                  </w:pPr>
                  <w:r>
                    <w:rPr>
                      <w:rFonts w:hint="eastAsia"/>
                      <w:sz w:val="21"/>
                      <w:szCs w:val="21"/>
                    </w:rPr>
                    <w:t>本项目不属于设置原则中所属行业</w:t>
                  </w:r>
                </w:p>
              </w:tc>
              <w:tc>
                <w:tcPr>
                  <w:tcW w:w="566" w:type="pct"/>
                  <w:vAlign w:val="center"/>
                </w:tcPr>
                <w:p w14:paraId="0F433782">
                  <w:pPr>
                    <w:jc w:val="center"/>
                    <w:rPr>
                      <w:sz w:val="21"/>
                      <w:szCs w:val="21"/>
                    </w:rPr>
                  </w:pPr>
                  <w:r>
                    <w:rPr>
                      <w:rFonts w:hint="eastAsia"/>
                      <w:sz w:val="21"/>
                      <w:szCs w:val="21"/>
                    </w:rPr>
                    <w:t>否</w:t>
                  </w:r>
                </w:p>
              </w:tc>
            </w:tr>
            <w:tr w14:paraId="2066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61F3A5B7">
                  <w:pPr>
                    <w:jc w:val="center"/>
                    <w:rPr>
                      <w:sz w:val="21"/>
                      <w:szCs w:val="21"/>
                    </w:rPr>
                  </w:pPr>
                  <w:r>
                    <w:rPr>
                      <w:rFonts w:hint="eastAsia"/>
                      <w:sz w:val="21"/>
                      <w:szCs w:val="21"/>
                    </w:rPr>
                    <w:t>噪声</w:t>
                  </w:r>
                </w:p>
              </w:tc>
              <w:tc>
                <w:tcPr>
                  <w:tcW w:w="2024" w:type="pct"/>
                  <w:vAlign w:val="center"/>
                </w:tcPr>
                <w:p w14:paraId="5B294674">
                  <w:pPr>
                    <w:jc w:val="both"/>
                    <w:rPr>
                      <w:sz w:val="21"/>
                      <w:szCs w:val="21"/>
                    </w:rPr>
                  </w:pPr>
                  <w:r>
                    <w:rPr>
                      <w:sz w:val="21"/>
                      <w:szCs w:val="21"/>
                    </w:rPr>
                    <w:t>公路、铁路、机场等交通运输业涉及环境敏感区（以居住、医疗卫生、文化教育、科研、行政办公为主要功能的区域）的项目；</w:t>
                  </w:r>
                </w:p>
                <w:p w14:paraId="5980BC56">
                  <w:pPr>
                    <w:jc w:val="both"/>
                    <w:rPr>
                      <w:sz w:val="21"/>
                      <w:szCs w:val="21"/>
                    </w:rPr>
                  </w:pPr>
                  <w:r>
                    <w:rPr>
                      <w:sz w:val="21"/>
                      <w:szCs w:val="21"/>
                    </w:rPr>
                    <w:t>城市道路（不含维护，不含支路、人行天桥、人行地道）：全部</w:t>
                  </w:r>
                </w:p>
              </w:tc>
              <w:tc>
                <w:tcPr>
                  <w:tcW w:w="1740" w:type="pct"/>
                  <w:vAlign w:val="center"/>
                </w:tcPr>
                <w:p w14:paraId="3AC6142C">
                  <w:pPr>
                    <w:jc w:val="center"/>
                    <w:rPr>
                      <w:sz w:val="21"/>
                      <w:szCs w:val="21"/>
                    </w:rPr>
                  </w:pPr>
                  <w:r>
                    <w:rPr>
                      <w:rFonts w:hint="eastAsia"/>
                      <w:sz w:val="21"/>
                      <w:szCs w:val="21"/>
                    </w:rPr>
                    <w:t>本项目不属于设置原则中所属行业</w:t>
                  </w:r>
                </w:p>
              </w:tc>
              <w:tc>
                <w:tcPr>
                  <w:tcW w:w="566" w:type="pct"/>
                  <w:vAlign w:val="center"/>
                </w:tcPr>
                <w:p w14:paraId="5C00A929">
                  <w:pPr>
                    <w:jc w:val="center"/>
                    <w:rPr>
                      <w:sz w:val="21"/>
                      <w:szCs w:val="21"/>
                    </w:rPr>
                  </w:pPr>
                  <w:r>
                    <w:rPr>
                      <w:rFonts w:hint="eastAsia"/>
                      <w:sz w:val="21"/>
                      <w:szCs w:val="21"/>
                    </w:rPr>
                    <w:t>否</w:t>
                  </w:r>
                </w:p>
              </w:tc>
            </w:tr>
            <w:tr w14:paraId="11EE7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69" w:type="pct"/>
                  <w:vAlign w:val="center"/>
                </w:tcPr>
                <w:p w14:paraId="13912F06">
                  <w:pPr>
                    <w:jc w:val="center"/>
                    <w:rPr>
                      <w:sz w:val="21"/>
                      <w:szCs w:val="21"/>
                    </w:rPr>
                  </w:pPr>
                  <w:r>
                    <w:rPr>
                      <w:rFonts w:hint="eastAsia"/>
                      <w:sz w:val="21"/>
                      <w:szCs w:val="21"/>
                    </w:rPr>
                    <w:t>环境风险</w:t>
                  </w:r>
                </w:p>
              </w:tc>
              <w:tc>
                <w:tcPr>
                  <w:tcW w:w="2024" w:type="pct"/>
                  <w:vAlign w:val="center"/>
                </w:tcPr>
                <w:p w14:paraId="43C5AE74">
                  <w:pPr>
                    <w:jc w:val="both"/>
                    <w:rPr>
                      <w:sz w:val="21"/>
                      <w:szCs w:val="21"/>
                    </w:rPr>
                  </w:pPr>
                  <w:r>
                    <w:rPr>
                      <w:sz w:val="21"/>
                      <w:szCs w:val="21"/>
                    </w:rPr>
                    <w:t>石油和天然气开采：全部；</w:t>
                  </w:r>
                </w:p>
                <w:p w14:paraId="11C2779A">
                  <w:pPr>
                    <w:jc w:val="both"/>
                    <w:rPr>
                      <w:sz w:val="21"/>
                      <w:szCs w:val="21"/>
                    </w:rPr>
                  </w:pPr>
                  <w:r>
                    <w:rPr>
                      <w:sz w:val="21"/>
                      <w:szCs w:val="21"/>
                    </w:rPr>
                    <w:t>油气、液体化工码头：全部；</w:t>
                  </w:r>
                </w:p>
                <w:p w14:paraId="6C731227">
                  <w:pPr>
                    <w:jc w:val="both"/>
                    <w:rPr>
                      <w:sz w:val="21"/>
                      <w:szCs w:val="21"/>
                    </w:rPr>
                  </w:pPr>
                  <w:r>
                    <w:rPr>
                      <w:sz w:val="21"/>
                      <w:szCs w:val="21"/>
                    </w:rPr>
                    <w:t>原油、成品油、天然气管线（不含城镇天然气管线、企业厂区内管线），危险化学品输送管线（不含企业厂区内管线）：全部</w:t>
                  </w:r>
                </w:p>
              </w:tc>
              <w:tc>
                <w:tcPr>
                  <w:tcW w:w="1740" w:type="pct"/>
                  <w:vAlign w:val="center"/>
                </w:tcPr>
                <w:p w14:paraId="158C5FC0">
                  <w:pPr>
                    <w:jc w:val="center"/>
                    <w:rPr>
                      <w:sz w:val="21"/>
                      <w:szCs w:val="21"/>
                    </w:rPr>
                  </w:pPr>
                  <w:r>
                    <w:rPr>
                      <w:rFonts w:hint="eastAsia"/>
                      <w:sz w:val="21"/>
                      <w:szCs w:val="21"/>
                    </w:rPr>
                    <w:t>本项目不属于设置原则中所属行业</w:t>
                  </w:r>
                </w:p>
              </w:tc>
              <w:tc>
                <w:tcPr>
                  <w:tcW w:w="566" w:type="pct"/>
                  <w:vAlign w:val="center"/>
                </w:tcPr>
                <w:p w14:paraId="45420CB6">
                  <w:pPr>
                    <w:jc w:val="center"/>
                    <w:rPr>
                      <w:sz w:val="21"/>
                      <w:szCs w:val="21"/>
                    </w:rPr>
                  </w:pPr>
                  <w:r>
                    <w:rPr>
                      <w:rFonts w:hint="eastAsia"/>
                      <w:sz w:val="21"/>
                      <w:szCs w:val="21"/>
                    </w:rPr>
                    <w:t>否</w:t>
                  </w:r>
                </w:p>
              </w:tc>
            </w:tr>
          </w:tbl>
          <w:p w14:paraId="03A3685D">
            <w:pPr>
              <w:rPr>
                <w:color w:val="auto"/>
                <w:sz w:val="21"/>
                <w:szCs w:val="21"/>
              </w:rPr>
            </w:pPr>
          </w:p>
        </w:tc>
      </w:tr>
      <w:tr w14:paraId="4F6B60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tcMar>
              <w:top w:w="16" w:type="dxa"/>
              <w:left w:w="16" w:type="dxa"/>
              <w:right w:w="16" w:type="dxa"/>
            </w:tcMar>
            <w:vAlign w:val="center"/>
          </w:tcPr>
          <w:p w14:paraId="7E27A53A">
            <w:pPr>
              <w:adjustRightInd w:val="0"/>
              <w:snapToGrid w:val="0"/>
              <w:jc w:val="center"/>
              <w:rPr>
                <w:color w:val="auto"/>
              </w:rPr>
            </w:pPr>
            <w:r>
              <w:rPr>
                <w:color w:val="auto"/>
                <w:szCs w:val="21"/>
              </w:rPr>
              <w:t>规划情况</w:t>
            </w:r>
          </w:p>
        </w:tc>
        <w:tc>
          <w:tcPr>
            <w:tcW w:w="6813" w:type="dxa"/>
            <w:gridSpan w:val="4"/>
            <w:tcMar>
              <w:top w:w="16" w:type="dxa"/>
              <w:left w:w="16" w:type="dxa"/>
              <w:right w:w="16" w:type="dxa"/>
            </w:tcMar>
            <w:vAlign w:val="center"/>
          </w:tcPr>
          <w:p w14:paraId="51FA8E1E">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w:t>
            </w:r>
            <w:r>
              <w:rPr>
                <w:b/>
                <w:bCs/>
              </w:rPr>
              <w:t>广西壮族自治区矿产资源总体规划（20</w:t>
            </w:r>
            <w:r>
              <w:rPr>
                <w:rFonts w:hint="eastAsia"/>
                <w:b/>
                <w:bCs/>
              </w:rPr>
              <w:t>21</w:t>
            </w:r>
            <w:r>
              <w:rPr>
                <w:b/>
                <w:bCs/>
              </w:rPr>
              <w:t>—202</w:t>
            </w:r>
            <w:r>
              <w:rPr>
                <w:rFonts w:hint="eastAsia"/>
                <w:b/>
                <w:bCs/>
              </w:rPr>
              <w:t>5</w:t>
            </w:r>
            <w:r>
              <w:rPr>
                <w:b/>
                <w:bCs/>
              </w:rPr>
              <w:t>年）</w:t>
            </w:r>
            <w:r>
              <w:rPr>
                <w:rFonts w:hint="eastAsia"/>
                <w:b/>
                <w:bCs/>
              </w:rPr>
              <w:t>》</w:t>
            </w:r>
          </w:p>
          <w:p w14:paraId="142AE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审批机关：中华人民共和国自然资源部</w:t>
            </w:r>
          </w:p>
          <w:p w14:paraId="4DAE1E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审批文件名称及文号：自然资源部办公厅关于广西壮族自治区矿产资源总体规划(2021-2025年)的复函（自然资办函〔2022〕1513号）</w:t>
            </w:r>
          </w:p>
          <w:p w14:paraId="2BE7A435">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2、</w:t>
            </w:r>
            <w:r>
              <w:rPr>
                <w:b/>
                <w:bCs/>
              </w:rPr>
              <w:t>《柳州市矿产资源总体规划（2021—2025年）》</w:t>
            </w:r>
          </w:p>
          <w:p w14:paraId="709345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审批机关：广西壮族自治区自然资源厅</w:t>
            </w:r>
          </w:p>
          <w:p w14:paraId="5CF0F8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发布文号：柳政规〔2023〕1号</w:t>
            </w:r>
          </w:p>
          <w:p w14:paraId="23825D6C">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3、《融水苗族自治县矿产资源总体规划（2021—2025年）》</w:t>
            </w:r>
          </w:p>
          <w:p w14:paraId="5B46C3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审批机关：</w:t>
            </w:r>
            <w:r>
              <w:rPr>
                <w:rFonts w:hint="eastAsia"/>
              </w:rPr>
              <w:t>融水苗族自治县人民政府</w:t>
            </w:r>
          </w:p>
          <w:p w14:paraId="44B42E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t>发布文号：</w:t>
            </w:r>
            <w:r>
              <w:rPr>
                <w:rFonts w:hint="eastAsia"/>
              </w:rPr>
              <w:t>融</w:t>
            </w:r>
            <w:r>
              <w:t>政规〔2023〕</w:t>
            </w:r>
            <w:r>
              <w:rPr>
                <w:rFonts w:hint="eastAsia"/>
              </w:rPr>
              <w:t>2</w:t>
            </w:r>
            <w:r>
              <w:t>号</w:t>
            </w:r>
          </w:p>
        </w:tc>
      </w:tr>
      <w:tr w14:paraId="45011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2226" w:type="dxa"/>
            <w:tcMar>
              <w:top w:w="16" w:type="dxa"/>
              <w:left w:w="16" w:type="dxa"/>
              <w:right w:w="16" w:type="dxa"/>
            </w:tcMar>
            <w:vAlign w:val="center"/>
          </w:tcPr>
          <w:p w14:paraId="656C3537">
            <w:pPr>
              <w:adjustRightInd w:val="0"/>
              <w:snapToGrid w:val="0"/>
              <w:jc w:val="center"/>
              <w:rPr>
                <w:color w:val="auto"/>
                <w:szCs w:val="21"/>
              </w:rPr>
            </w:pPr>
            <w:r>
              <w:rPr>
                <w:color w:val="auto"/>
                <w:szCs w:val="21"/>
              </w:rPr>
              <w:t>规划环境影响</w:t>
            </w:r>
          </w:p>
          <w:p w14:paraId="03425C0C">
            <w:pPr>
              <w:adjustRightInd w:val="0"/>
              <w:snapToGrid w:val="0"/>
              <w:jc w:val="center"/>
              <w:rPr>
                <w:color w:val="auto"/>
              </w:rPr>
            </w:pPr>
            <w:r>
              <w:rPr>
                <w:color w:val="auto"/>
                <w:szCs w:val="21"/>
              </w:rPr>
              <w:t>评价情况</w:t>
            </w:r>
          </w:p>
        </w:tc>
        <w:tc>
          <w:tcPr>
            <w:tcW w:w="6813" w:type="dxa"/>
            <w:gridSpan w:val="4"/>
            <w:tcMar>
              <w:top w:w="16" w:type="dxa"/>
              <w:left w:w="16" w:type="dxa"/>
              <w:right w:w="16" w:type="dxa"/>
            </w:tcMar>
            <w:vAlign w:val="center"/>
          </w:tcPr>
          <w:p w14:paraId="23D1DC67">
            <w:pPr>
              <w:rPr>
                <w:color w:val="auto"/>
              </w:rPr>
            </w:pPr>
            <w:r>
              <w:rPr>
                <w:rFonts w:hint="eastAsia"/>
                <w:color w:val="auto"/>
              </w:rPr>
              <w:t>无</w:t>
            </w:r>
          </w:p>
        </w:tc>
      </w:tr>
      <w:tr w14:paraId="1458B2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557" w:hRule="atLeast"/>
        </w:trPr>
        <w:tc>
          <w:tcPr>
            <w:tcW w:w="2226" w:type="dxa"/>
            <w:tcMar>
              <w:top w:w="16" w:type="dxa"/>
              <w:left w:w="16" w:type="dxa"/>
              <w:right w:w="16" w:type="dxa"/>
            </w:tcMar>
            <w:vAlign w:val="center"/>
          </w:tcPr>
          <w:p w14:paraId="56C4976C">
            <w:pPr>
              <w:adjustRightInd w:val="0"/>
              <w:snapToGrid w:val="0"/>
              <w:jc w:val="center"/>
              <w:rPr>
                <w:color w:val="auto"/>
              </w:rPr>
            </w:pPr>
            <w:r>
              <w:rPr>
                <w:color w:val="auto"/>
                <w:szCs w:val="21"/>
              </w:rPr>
              <w:t>规划及规划环境影响评价符合性分析</w:t>
            </w:r>
          </w:p>
        </w:tc>
        <w:tc>
          <w:tcPr>
            <w:tcW w:w="6813" w:type="dxa"/>
            <w:gridSpan w:val="4"/>
            <w:tcMar>
              <w:top w:w="16" w:type="dxa"/>
              <w:left w:w="16" w:type="dxa"/>
              <w:right w:w="16" w:type="dxa"/>
            </w:tcMar>
            <w:vAlign w:val="center"/>
          </w:tcPr>
          <w:p w14:paraId="4EF1F54E">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w:t>
            </w:r>
            <w:r>
              <w:rPr>
                <w:b/>
                <w:bCs/>
              </w:rPr>
              <w:t>《广西壮族自治区矿产资源总体规划（20</w:t>
            </w:r>
            <w:r>
              <w:rPr>
                <w:rFonts w:hint="eastAsia"/>
                <w:b/>
                <w:bCs/>
              </w:rPr>
              <w:t>21</w:t>
            </w:r>
            <w:r>
              <w:rPr>
                <w:b/>
                <w:bCs/>
              </w:rPr>
              <w:t>-20</w:t>
            </w:r>
            <w:r>
              <w:rPr>
                <w:rFonts w:hint="eastAsia"/>
                <w:b/>
                <w:bCs/>
              </w:rPr>
              <w:t>25</w:t>
            </w:r>
            <w:r>
              <w:rPr>
                <w:b/>
                <w:bCs/>
              </w:rPr>
              <w:t>年）》相符性分析</w:t>
            </w:r>
          </w:p>
          <w:p w14:paraId="335CA0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根据《广西壮族自治区矿产资源总体规划（20</w:t>
            </w:r>
            <w:r>
              <w:rPr>
                <w:rFonts w:hint="eastAsia"/>
              </w:rPr>
              <w:t>21</w:t>
            </w:r>
            <w:r>
              <w:t>-20</w:t>
            </w:r>
            <w:r>
              <w:rPr>
                <w:rFonts w:hint="eastAsia"/>
              </w:rPr>
              <w:t>25</w:t>
            </w:r>
            <w:r>
              <w:t>年）</w:t>
            </w:r>
            <w:r>
              <w:rPr>
                <w:rFonts w:hint="eastAsia"/>
              </w:rPr>
              <w:t>》第三章第三节加大资源勘查力度提出相关内容：</w:t>
            </w:r>
          </w:p>
          <w:p w14:paraId="0392C9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（1）</w:t>
            </w:r>
            <w:r>
              <w:t>加强战略性矿产勘查，保障国家能源资源安全。推进新一轮找矿突破战略行动，以页岩气、金、铜等战略性矿产为重点，加强桂中地区页岩气、桂西地区金矿、桂北地区锡矿以及大瑶山地区铜矿勘查，预计新增金矿(金属)20吨、锡矿(金属)6万吨、钨矿（氧化物)6万吨。全面发挥各类主体作用，大力推进科技创新，实行绿色勘查，加强深部找矿，增强能源和战略性矿产资源保障能力。</w:t>
            </w:r>
          </w:p>
          <w:p w14:paraId="314E96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2）加快优势矿产勘查，保障自治区优势产业发展。持续加强自治区产业发展所需优势矿产资源勘查，保障一定的勘查投入，以铝、锰、锑、铅、锌等矿产为重点，加强扶绥—平果—德保—那坡铝土矿、大新—天等锰矿、桂西锡锑铅锌多金属矿等矿产勘查，预计新增铝土矿（矿石)11000万吨，锰矿（矿石)8000万吨，为优势产业发展提供后备资源保障。</w:t>
            </w:r>
          </w:p>
          <w:p w14:paraId="2EF4A6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3）加大急需矿产勘查，保障特色产业与县域经济发展。加强碳酸钙、石英砂、海砂、地热等自治区急需矿产资源勘查，重点加强贺州、来宾地区碳酸钙，北海地区石英砂，北部湾地区海砂、地热资源勘查，为碳酸钙、玻璃、温泉旅游等产业提供资源保障，为发展县域经济提供资源支撑。开展重点领域、重点地区砂石资源勘查，保障重大工程项目砂石需求。</w:t>
            </w:r>
          </w:p>
          <w:p w14:paraId="7A942B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以铜、锑、锌、碳酸钙、页岩气、铝土等矿产为重点，部署南丹县大厂矿田羊角尖锌铜矿勘查等13项矿产资源勘查重大工程，运用新技术、新方法，力争实现找矿突破，形成一批重要矿产资源接续区。</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3"/>
              <w:gridCol w:w="5728"/>
            </w:tblGrid>
            <w:tr w14:paraId="7DBF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5000" w:type="pct"/>
                  <w:gridSpan w:val="2"/>
                  <w:vAlign w:val="center"/>
                </w:tcPr>
                <w:p w14:paraId="214561A1">
                  <w:pPr>
                    <w:jc w:val="center"/>
                    <w:rPr>
                      <w:sz w:val="21"/>
                      <w:szCs w:val="21"/>
                    </w:rPr>
                  </w:pPr>
                  <w:r>
                    <w:rPr>
                      <w:rFonts w:hint="eastAsia"/>
                      <w:sz w:val="21"/>
                      <w:szCs w:val="21"/>
                    </w:rPr>
                    <w:t>专栏四 矿产资源勘查重大工程</w:t>
                  </w:r>
                </w:p>
              </w:tc>
            </w:tr>
            <w:tr w14:paraId="1513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770" w:type="pct"/>
                  <w:vAlign w:val="center"/>
                </w:tcPr>
                <w:p w14:paraId="27AF91BF">
                  <w:pPr>
                    <w:rPr>
                      <w:sz w:val="21"/>
                      <w:szCs w:val="21"/>
                    </w:rPr>
                  </w:pPr>
                  <w:r>
                    <w:rPr>
                      <w:rFonts w:hint="eastAsia"/>
                      <w:sz w:val="21"/>
                      <w:szCs w:val="21"/>
                    </w:rPr>
                    <w:t>有色金属</w:t>
                  </w:r>
                </w:p>
              </w:tc>
              <w:tc>
                <w:tcPr>
                  <w:tcW w:w="4229" w:type="pct"/>
                  <w:vAlign w:val="center"/>
                </w:tcPr>
                <w:p w14:paraId="15771957">
                  <w:pPr>
                    <w:rPr>
                      <w:sz w:val="21"/>
                      <w:szCs w:val="21"/>
                    </w:rPr>
                  </w:pPr>
                  <w:r>
                    <w:rPr>
                      <w:rFonts w:hint="eastAsia"/>
                      <w:sz w:val="21"/>
                      <w:szCs w:val="21"/>
                    </w:rPr>
                    <w:t>南丹县大厂矿田羊角尖锌铜矿勘查、南丹茶山外围锌锑矿勘查、南丹县大厂矿田杉木冲-老山矿区锌矿勘查、平果市太平矿区新圩南矿段沉积型铝土矿勘查、平果市那端矿区沉积型铝土矿勘查、平果市教美矿区沉积铝土矿勘查、德保县登力-田阳古美沉积铝土矿勘查、德保县登晒-多宋矿区铝土矿勘查、靖西市三合沉积铝土矿勘查。</w:t>
                  </w:r>
                </w:p>
              </w:tc>
            </w:tr>
            <w:tr w14:paraId="772B2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770" w:type="pct"/>
                  <w:vAlign w:val="center"/>
                </w:tcPr>
                <w:p w14:paraId="37913D38">
                  <w:pPr>
                    <w:rPr>
                      <w:sz w:val="21"/>
                      <w:szCs w:val="21"/>
                    </w:rPr>
                  </w:pPr>
                  <w:r>
                    <w:rPr>
                      <w:rFonts w:hint="eastAsia"/>
                      <w:sz w:val="21"/>
                      <w:szCs w:val="21"/>
                    </w:rPr>
                    <w:t>能源</w:t>
                  </w:r>
                </w:p>
              </w:tc>
              <w:tc>
                <w:tcPr>
                  <w:tcW w:w="4229" w:type="pct"/>
                  <w:vAlign w:val="center"/>
                </w:tcPr>
                <w:p w14:paraId="59E667DB">
                  <w:pPr>
                    <w:rPr>
                      <w:sz w:val="21"/>
                      <w:szCs w:val="21"/>
                    </w:rPr>
                  </w:pPr>
                  <w:r>
                    <w:rPr>
                      <w:rFonts w:hint="eastAsia"/>
                      <w:sz w:val="21"/>
                      <w:szCs w:val="21"/>
                    </w:rPr>
                    <w:t>柳北地区页岩气勘查、鹿寨县页岩气勘查</w:t>
                  </w:r>
                </w:p>
              </w:tc>
            </w:tr>
            <w:tr w14:paraId="59FFC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 w:hRule="atLeast"/>
                <w:jc w:val="center"/>
              </w:trPr>
              <w:tc>
                <w:tcPr>
                  <w:tcW w:w="770" w:type="pct"/>
                  <w:vAlign w:val="center"/>
                </w:tcPr>
                <w:p w14:paraId="4D73FCCB">
                  <w:pPr>
                    <w:rPr>
                      <w:sz w:val="21"/>
                      <w:szCs w:val="21"/>
                    </w:rPr>
                  </w:pPr>
                  <w:r>
                    <w:rPr>
                      <w:rFonts w:hint="eastAsia"/>
                      <w:sz w:val="21"/>
                      <w:szCs w:val="21"/>
                    </w:rPr>
                    <w:t>非金属</w:t>
                  </w:r>
                </w:p>
              </w:tc>
              <w:tc>
                <w:tcPr>
                  <w:tcW w:w="4229" w:type="pct"/>
                  <w:vAlign w:val="center"/>
                </w:tcPr>
                <w:p w14:paraId="75B5C97D">
                  <w:pPr>
                    <w:rPr>
                      <w:sz w:val="21"/>
                      <w:szCs w:val="21"/>
                    </w:rPr>
                  </w:pPr>
                  <w:r>
                    <w:rPr>
                      <w:rFonts w:hint="eastAsia"/>
                      <w:sz w:val="21"/>
                      <w:szCs w:val="21"/>
                    </w:rPr>
                    <w:t>来宾市碳酸钙资源勘查、贺州市碳酸钙资源勘查</w:t>
                  </w:r>
                </w:p>
              </w:tc>
            </w:tr>
          </w:tbl>
          <w:p w14:paraId="44872D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位于柳州市融水苗族自治县，属于柳北地区页岩气勘查项目，建设单位已取得中华人民共和国自然资源部颁发的矿产资源勘查许可证（证号T1000002022091048001208），勘查项目名称为广西柳城北区块页岩气勘查，探矿权位于广西柳城县、融水县、融安县，见</w:t>
            </w:r>
            <w:r>
              <w:rPr>
                <w:rFonts w:hint="eastAsia"/>
                <w:b/>
                <w:bCs/>
              </w:rPr>
              <w:t>附件4</w:t>
            </w:r>
            <w:r>
              <w:rPr>
                <w:rFonts w:hint="eastAsia"/>
              </w:rPr>
              <w:t>，符合</w:t>
            </w:r>
            <w:r>
              <w:t>《广西壮族自治区矿产资源总体规划（20</w:t>
            </w:r>
            <w:r>
              <w:rPr>
                <w:rFonts w:hint="eastAsia"/>
              </w:rPr>
              <w:t>21</w:t>
            </w:r>
            <w:r>
              <w:t>-20</w:t>
            </w:r>
            <w:r>
              <w:rPr>
                <w:rFonts w:hint="eastAsia"/>
              </w:rPr>
              <w:t>25</w:t>
            </w:r>
            <w:r>
              <w:t>年）</w:t>
            </w:r>
            <w:r>
              <w:rPr>
                <w:rFonts w:hint="eastAsia"/>
              </w:rPr>
              <w:t>》要求</w:t>
            </w:r>
            <w:r>
              <w:t>。</w:t>
            </w:r>
          </w:p>
          <w:p w14:paraId="10ED6D60">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2、</w:t>
            </w:r>
            <w:r>
              <w:rPr>
                <w:b/>
                <w:bCs/>
              </w:rPr>
              <w:t>《柳州市矿产资源总体规划（20</w:t>
            </w:r>
            <w:r>
              <w:rPr>
                <w:rFonts w:hint="eastAsia"/>
                <w:b/>
                <w:bCs/>
              </w:rPr>
              <w:t>21</w:t>
            </w:r>
            <w:r>
              <w:rPr>
                <w:b/>
                <w:bCs/>
              </w:rPr>
              <w:t>-20</w:t>
            </w:r>
            <w:r>
              <w:rPr>
                <w:rFonts w:hint="eastAsia"/>
                <w:b/>
                <w:bCs/>
              </w:rPr>
              <w:t>25</w:t>
            </w:r>
            <w:r>
              <w:rPr>
                <w:b/>
                <w:bCs/>
              </w:rPr>
              <w:t>）年》相符性分析</w:t>
            </w:r>
          </w:p>
          <w:p w14:paraId="7F89BC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建设单位已取得中华人民共和国自然资源部颁发的矿产资源勘查许可证（证号T1000002022091048001208），勘查项目名称为广西柳城北区块页岩气勘查，探矿权位于广西柳城县、融水县、融安县，详见</w:t>
            </w:r>
            <w:r>
              <w:rPr>
                <w:rFonts w:hint="eastAsia"/>
                <w:b/>
                <w:bCs/>
              </w:rPr>
              <w:t>附件4</w:t>
            </w:r>
            <w:r>
              <w:rPr>
                <w:rFonts w:hint="eastAsia"/>
              </w:rPr>
              <w:t>，本项目与矿产资源勘查许可证位置关系见</w:t>
            </w:r>
            <w:r>
              <w:rPr>
                <w:rFonts w:hint="eastAsia"/>
                <w:b/>
                <w:bCs/>
              </w:rPr>
              <w:t>附图11</w:t>
            </w:r>
            <w:r>
              <w:rPr>
                <w:rFonts w:hint="eastAsia"/>
              </w:rPr>
              <w:t>。</w:t>
            </w:r>
            <w:r>
              <w:t>根据</w:t>
            </w:r>
            <w:r>
              <w:rPr>
                <w:rFonts w:hint="eastAsia"/>
              </w:rPr>
              <w:t>《柳州市矿产资源总体规划（</w:t>
            </w:r>
            <w:r>
              <w:t>20</w:t>
            </w:r>
            <w:r>
              <w:rPr>
                <w:rFonts w:hint="eastAsia"/>
              </w:rPr>
              <w:t>21</w:t>
            </w:r>
            <w:r>
              <w:t>-20</w:t>
            </w:r>
            <w:r>
              <w:rPr>
                <w:rFonts w:hint="eastAsia"/>
              </w:rPr>
              <w:t>25）年）》（柳政规〔2023〕1号）“专栏七 规划期柳州市空白区新设探矿权区块”，项目探矿权所在区块属于空白区新设探矿权区块-柳北地区页岩气普查，</w:t>
            </w:r>
            <w:r>
              <w:t>符合《柳州市矿产资源总体规划（20</w:t>
            </w:r>
            <w:r>
              <w:rPr>
                <w:rFonts w:hint="eastAsia"/>
              </w:rPr>
              <w:t>21</w:t>
            </w:r>
            <w:r>
              <w:t>—202</w:t>
            </w:r>
            <w:r>
              <w:rPr>
                <w:rFonts w:hint="eastAsia"/>
              </w:rPr>
              <w:t>5</w:t>
            </w:r>
            <w:r>
              <w:t>）年》中相关规划要求。</w:t>
            </w:r>
          </w:p>
          <w:p w14:paraId="62018B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本项目建设单位广西页岩气勘探开发有限公司已与广西柳州发电有限责任公司签订矿权委托协议，见</w:t>
            </w:r>
            <w:r>
              <w:rPr>
                <w:rFonts w:hint="eastAsia"/>
                <w:b/>
                <w:bCs/>
              </w:rPr>
              <w:t>附件3</w:t>
            </w:r>
            <w:r>
              <w:rPr>
                <w:rFonts w:hint="eastAsia"/>
              </w:rPr>
              <w:t>，根据协议“广西柳州发电有限责任公司委托广西页岩气勘探开发有限公司作为管理机构，负责广西柳城北区块页岩气勘查项目勘探开发管理工作”。</w:t>
            </w:r>
          </w:p>
          <w:p w14:paraId="704CFDF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3、《融水苗族自治县矿产资源总体规划（2021—2025年）》相符性分析</w:t>
            </w:r>
          </w:p>
          <w:p w14:paraId="54B73AD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t>根据《</w:t>
            </w:r>
            <w:r>
              <w:rPr>
                <w:rFonts w:hint="eastAsia"/>
              </w:rPr>
              <w:t>融水苗族自治县</w:t>
            </w:r>
            <w:r>
              <w:t>矿产资源总体规划（2021-2025年）》“第三章 矿产资源勘查开发与保护布局 柳北地区页岩气普查（KQ0</w:t>
            </w:r>
            <w:r>
              <w:rPr>
                <w:rFonts w:hint="eastAsia"/>
              </w:rPr>
              <w:t>20</w:t>
            </w:r>
            <w:r>
              <w:t>），区块总面积134.71平方千米，在柳城县内面积</w:t>
            </w:r>
            <w:r>
              <w:rPr>
                <w:rFonts w:hint="eastAsia"/>
              </w:rPr>
              <w:t>28.0244</w:t>
            </w:r>
            <w:r>
              <w:t>平方千米，勘查主矿种为页岩气，风险类型为高风险，设置类型为空白区新设，现有勘查程度为普查，拟设探矿权勘查阶段为普查。”本项目探矿权所在区块属于空白区新设探矿权区块-柳北地区页岩气普查，广西柳州发电有限责任公司已取得中华人民共和国自然资源部颁发的矿产资源勘查许可证（证号:T1000002022091048001208），见</w:t>
            </w:r>
            <w:r>
              <w:rPr>
                <w:b/>
                <w:bCs/>
              </w:rPr>
              <w:t>附件</w:t>
            </w:r>
            <w:r>
              <w:rPr>
                <w:rFonts w:hint="eastAsia"/>
                <w:b/>
                <w:bCs/>
              </w:rPr>
              <w:t>4</w:t>
            </w:r>
            <w:r>
              <w:t>。本项目建设单位广西页岩气勘探开发有限公司已与广西柳州发电有限责任公司签订矿权委托协议，见</w:t>
            </w:r>
            <w:r>
              <w:rPr>
                <w:b/>
                <w:bCs/>
              </w:rPr>
              <w:t>附件</w:t>
            </w:r>
            <w:r>
              <w:rPr>
                <w:rFonts w:hint="eastAsia"/>
                <w:b/>
                <w:bCs/>
              </w:rPr>
              <w:t>3</w:t>
            </w:r>
            <w:r>
              <w:t>，根据协议“广西柳州发电有限责任公司委托广西页岩气勘探开发有限公司作为管理机构</w:t>
            </w:r>
            <w:r>
              <w:rPr>
                <w:rFonts w:hint="eastAsia"/>
              </w:rPr>
              <w:t>，</w:t>
            </w:r>
            <w:r>
              <w:t>负责广西柳城北区块页岩气勘查项目勘探开发管理工作”。项目符合《</w:t>
            </w:r>
            <w:r>
              <w:rPr>
                <w:rFonts w:hint="eastAsia"/>
              </w:rPr>
              <w:t>融水苗族自治县</w:t>
            </w:r>
            <w:r>
              <w:t>矿产资源总体规划（2021-2025年）》中相关规划要求</w:t>
            </w:r>
            <w:r>
              <w:rPr>
                <w:color w:val="auto"/>
              </w:rPr>
              <w:t>。</w:t>
            </w:r>
          </w:p>
        </w:tc>
      </w:tr>
      <w:tr w14:paraId="16B4D5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100" w:hRule="atLeast"/>
        </w:trPr>
        <w:tc>
          <w:tcPr>
            <w:tcW w:w="2226" w:type="dxa"/>
            <w:tcMar>
              <w:top w:w="16" w:type="dxa"/>
              <w:left w:w="16" w:type="dxa"/>
              <w:right w:w="16" w:type="dxa"/>
            </w:tcMar>
            <w:vAlign w:val="center"/>
          </w:tcPr>
          <w:p w14:paraId="29B3912A">
            <w:pPr>
              <w:adjustRightInd w:val="0"/>
              <w:snapToGrid w:val="0"/>
              <w:jc w:val="center"/>
              <w:rPr>
                <w:color w:val="auto"/>
              </w:rPr>
            </w:pPr>
            <w:bookmarkStart w:id="3" w:name="_Hlk56690880"/>
            <w:r>
              <w:rPr>
                <w:color w:val="auto"/>
                <w:szCs w:val="21"/>
              </w:rPr>
              <w:t>其他符合性分析</w:t>
            </w:r>
            <w:bookmarkEnd w:id="3"/>
          </w:p>
        </w:tc>
        <w:tc>
          <w:tcPr>
            <w:tcW w:w="6813" w:type="dxa"/>
            <w:gridSpan w:val="4"/>
            <w:tcMar>
              <w:top w:w="16" w:type="dxa"/>
              <w:left w:w="16" w:type="dxa"/>
              <w:right w:w="16" w:type="dxa"/>
            </w:tcMar>
            <w:vAlign w:val="center"/>
          </w:tcPr>
          <w:p w14:paraId="68D4B612">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b/>
                <w:bCs/>
              </w:rPr>
              <w:t>1、项目产业政策相符性分析</w:t>
            </w:r>
          </w:p>
          <w:p w14:paraId="4359CB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w:t>
            </w:r>
            <w:r>
              <w:rPr>
                <w:lang w:val="zh-CN"/>
              </w:rPr>
              <w:t>《产业结构调整指导目录（20</w:t>
            </w:r>
            <w:r>
              <w:t>24</w:t>
            </w:r>
            <w:r>
              <w:rPr>
                <w:lang w:val="zh-CN"/>
              </w:rPr>
              <w:t>年本）》</w:t>
            </w:r>
            <w:r>
              <w:rPr>
                <w:rFonts w:hint="eastAsia"/>
                <w:lang w:val="zh-CN"/>
              </w:rPr>
              <w:t>，</w:t>
            </w:r>
            <w:r>
              <w:rPr>
                <w:rFonts w:hint="eastAsia"/>
              </w:rPr>
              <w:t>本项目属于“七、石油天然气”中“1.石油天然气开采-页岩气、页岩油、致密油（气）、油砂、天然气水合物等非常规资源勘探开发”，属于鼓励类项目，建设项目符合产业政策要求。项目已经取得柳州市融水苗族自治县发改局的备案。</w:t>
            </w:r>
            <w:r>
              <w:rPr>
                <w:lang w:val="zh-CN"/>
              </w:rPr>
              <w:t>因此，本项目符合国家有关产业政策的要求。</w:t>
            </w:r>
          </w:p>
          <w:p w14:paraId="66D24465">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2、与《广西壮族自治区重点生态功能区县产业准入负面清单（2026年版）》相符性分析</w:t>
            </w:r>
          </w:p>
          <w:p w14:paraId="2B96B2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项目位于广西壮族自治区融水苗族自治县，不在《广西壮族自治区重点生态功能区县产业准入负面清单（2026年版）》的</w:t>
            </w:r>
            <w:bookmarkStart w:id="4" w:name="_Toc451878271"/>
            <w:bookmarkStart w:id="5" w:name="_Toc27353"/>
            <w:bookmarkStart w:id="6" w:name="_Toc22955"/>
            <w:r>
              <w:rPr>
                <w:rFonts w:hint="eastAsia"/>
              </w:rPr>
              <w:t>产业准入负面清单</w:t>
            </w:r>
            <w:bookmarkEnd w:id="4"/>
            <w:bookmarkEnd w:id="5"/>
            <w:bookmarkEnd w:id="6"/>
            <w:r>
              <w:rPr>
                <w:rFonts w:hint="eastAsia"/>
              </w:rPr>
              <w:t>中，项目建设符合要求。</w:t>
            </w:r>
          </w:p>
          <w:p w14:paraId="4F41401A">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3、生态环境分区管控相符性分析</w:t>
            </w:r>
          </w:p>
          <w:p w14:paraId="154513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项目位于</w:t>
            </w:r>
            <w:r>
              <w:t>广西柳州市融水县和睦镇伏虎华侨农场</w:t>
            </w:r>
            <w:r>
              <w:rPr>
                <w:rFonts w:hint="eastAsia"/>
                <w:lang w:val="en-US" w:eastAsia="zh-CN"/>
              </w:rPr>
              <w:t>二</w:t>
            </w:r>
            <w:r>
              <w:t>队</w:t>
            </w:r>
            <w:r>
              <w:rPr>
                <w:rFonts w:hint="eastAsia"/>
              </w:rPr>
              <w:t>，项目所在地属于ZH45022520003融水苗族自治县其他重点管控单元，见</w:t>
            </w:r>
            <w:r>
              <w:rPr>
                <w:rFonts w:hint="eastAsia"/>
                <w:b/>
                <w:bCs/>
              </w:rPr>
              <w:t>附件6</w:t>
            </w:r>
            <w:r>
              <w:rPr>
                <w:rFonts w:hint="eastAsia"/>
              </w:rPr>
              <w:t>。项目所在地不涉及生态保护红线、自然保护地、重要湿地、重要风景区、饮用水源保护区等重要区域。</w:t>
            </w:r>
          </w:p>
          <w:p w14:paraId="15FC22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w:t>
            </w:r>
            <w:r>
              <w:t>柳州市生态环境局关于印发实施柳州市生态环境分区管控动态更新成果（2023年）的通知</w:t>
            </w:r>
            <w:r>
              <w:rPr>
                <w:rFonts w:hint="eastAsia"/>
              </w:rPr>
              <w:t>》（柳环规〔</w:t>
            </w:r>
            <w:r>
              <w:t>2024〕1号</w:t>
            </w:r>
            <w:r>
              <w:rPr>
                <w:rFonts w:hint="eastAsia"/>
              </w:rPr>
              <w:t>），本项目与融水苗族自治县其它重点保护单元生态环境准入及管控要求相符性分析见下表。</w:t>
            </w:r>
          </w:p>
          <w:p w14:paraId="04D47F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表1-2 项目与融水苗族自治县其它重点保护单元</w:t>
            </w:r>
            <w:r>
              <w:rPr>
                <w:b/>
                <w:bCs/>
              </w:rPr>
              <w:t>生态环境准入及管控要求相符性分析</w:t>
            </w:r>
          </w:p>
          <w:tbl>
            <w:tblPr>
              <w:tblStyle w:val="19"/>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3705"/>
              <w:gridCol w:w="1778"/>
              <w:gridCol w:w="750"/>
            </w:tblGrid>
            <w:tr w14:paraId="6C1ABD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135" w:type="pct"/>
                  <w:gridSpan w:val="2"/>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672145C2">
                  <w:pPr>
                    <w:jc w:val="center"/>
                    <w:rPr>
                      <w:b/>
                      <w:bCs/>
                      <w:sz w:val="21"/>
                      <w:szCs w:val="21"/>
                    </w:rPr>
                  </w:pPr>
                  <w:r>
                    <w:rPr>
                      <w:b/>
                      <w:bCs/>
                      <w:sz w:val="21"/>
                      <w:szCs w:val="21"/>
                    </w:rPr>
                    <w:t>生态环境准入及管控</w:t>
                  </w:r>
                  <w:r>
                    <w:rPr>
                      <w:rFonts w:hint="eastAsia"/>
                      <w:b/>
                      <w:bCs/>
                      <w:sz w:val="21"/>
                      <w:szCs w:val="21"/>
                    </w:rPr>
                    <w:t>要求</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E0915">
                  <w:pPr>
                    <w:jc w:val="center"/>
                    <w:rPr>
                      <w:b/>
                      <w:bCs/>
                      <w:sz w:val="21"/>
                      <w:szCs w:val="21"/>
                    </w:rPr>
                  </w:pPr>
                  <w:r>
                    <w:rPr>
                      <w:b/>
                      <w:bCs/>
                      <w:sz w:val="21"/>
                      <w:szCs w:val="21"/>
                    </w:rPr>
                    <w:t>本项目</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F29CB">
                  <w:pPr>
                    <w:jc w:val="center"/>
                    <w:rPr>
                      <w:b/>
                      <w:bCs/>
                      <w:sz w:val="21"/>
                      <w:szCs w:val="21"/>
                    </w:rPr>
                  </w:pPr>
                  <w:r>
                    <w:rPr>
                      <w:b/>
                      <w:bCs/>
                      <w:sz w:val="21"/>
                      <w:szCs w:val="21"/>
                    </w:rPr>
                    <w:t>是否</w:t>
                  </w:r>
                </w:p>
                <w:p w14:paraId="04632F50">
                  <w:pPr>
                    <w:jc w:val="center"/>
                    <w:rPr>
                      <w:b/>
                      <w:bCs/>
                      <w:sz w:val="21"/>
                      <w:szCs w:val="21"/>
                    </w:rPr>
                  </w:pPr>
                  <w:r>
                    <w:rPr>
                      <w:b/>
                      <w:bCs/>
                      <w:sz w:val="21"/>
                      <w:szCs w:val="21"/>
                    </w:rPr>
                    <w:t>相符</w:t>
                  </w:r>
                </w:p>
              </w:tc>
            </w:tr>
            <w:tr w14:paraId="7413E7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8D2420E">
                  <w:pPr>
                    <w:jc w:val="center"/>
                    <w:rPr>
                      <w:sz w:val="21"/>
                      <w:szCs w:val="21"/>
                    </w:rPr>
                  </w:pPr>
                  <w:r>
                    <w:rPr>
                      <w:sz w:val="21"/>
                      <w:szCs w:val="21"/>
                    </w:rPr>
                    <w:t>空间布局约束</w:t>
                  </w: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3CF9D1">
                  <w:pPr>
                    <w:jc w:val="center"/>
                    <w:rPr>
                      <w:sz w:val="21"/>
                      <w:szCs w:val="21"/>
                    </w:rPr>
                  </w:pPr>
                  <w:r>
                    <w:rPr>
                      <w:rFonts w:hint="eastAsia"/>
                      <w:sz w:val="21"/>
                      <w:szCs w:val="21"/>
                    </w:rPr>
                    <w:t>1．规划产业园区应当依法依规进行审批。园区不得引入不符合规划环评结论及审查意见的项目入园。强化源头管控，新上项目能效需达到国家、自治区相关标准要求。</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487B86">
                  <w:pPr>
                    <w:jc w:val="center"/>
                    <w:rPr>
                      <w:sz w:val="21"/>
                      <w:szCs w:val="21"/>
                    </w:rPr>
                  </w:pPr>
                  <w:r>
                    <w:rPr>
                      <w:sz w:val="21"/>
                      <w:szCs w:val="21"/>
                    </w:rPr>
                    <w:t>本项目为页岩气勘查项目，项目独立选址，不涉及规划产业园区。</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B7B126">
                  <w:pPr>
                    <w:jc w:val="center"/>
                    <w:rPr>
                      <w:sz w:val="21"/>
                      <w:szCs w:val="21"/>
                    </w:rPr>
                  </w:pPr>
                  <w:r>
                    <w:rPr>
                      <w:rFonts w:hint="eastAsia"/>
                      <w:sz w:val="21"/>
                      <w:szCs w:val="21"/>
                    </w:rPr>
                    <w:t>相符</w:t>
                  </w:r>
                </w:p>
              </w:tc>
            </w:tr>
            <w:tr w14:paraId="245F72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5CAA7">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C4C66">
                  <w:pPr>
                    <w:jc w:val="center"/>
                    <w:rPr>
                      <w:sz w:val="21"/>
                      <w:szCs w:val="21"/>
                    </w:rPr>
                  </w:pPr>
                  <w:r>
                    <w:rPr>
                      <w:sz w:val="21"/>
                      <w:szCs w:val="21"/>
                    </w:rPr>
                    <w:t>2．禁止在居民区和学校、医院、疗养院、养老院等单位周边新建、改建、扩建可能造成土壤污染的建设项目。禁止在人口聚居区域内新（改、扩）建涉重金属企业。</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BB5D3">
                  <w:pPr>
                    <w:jc w:val="center"/>
                    <w:rPr>
                      <w:sz w:val="21"/>
                      <w:szCs w:val="21"/>
                    </w:rPr>
                  </w:pPr>
                  <w:r>
                    <w:rPr>
                      <w:rFonts w:hint="eastAsia"/>
                      <w:sz w:val="21"/>
                      <w:szCs w:val="21"/>
                    </w:rPr>
                    <w:t>本项目为页岩气勘查项目，不涉及在居民区和学校、医院、疗养院、养老院等单位周边新建、改建、扩建可能造成土壤污染的建设项目，不涉及在人口聚居区域内新（改、扩）建涉重金属企业。</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5B5883">
                  <w:pPr>
                    <w:jc w:val="center"/>
                    <w:rPr>
                      <w:sz w:val="21"/>
                      <w:szCs w:val="21"/>
                    </w:rPr>
                  </w:pPr>
                  <w:r>
                    <w:rPr>
                      <w:rFonts w:hint="eastAsia"/>
                      <w:sz w:val="21"/>
                      <w:szCs w:val="21"/>
                    </w:rPr>
                    <w:t>相符</w:t>
                  </w:r>
                </w:p>
              </w:tc>
            </w:tr>
            <w:tr w14:paraId="67039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C7F589">
                  <w:pPr>
                    <w:jc w:val="center"/>
                    <w:rPr>
                      <w:sz w:val="21"/>
                      <w:szCs w:val="21"/>
                    </w:rPr>
                  </w:pPr>
                  <w:r>
                    <w:rPr>
                      <w:sz w:val="21"/>
                      <w:szCs w:val="21"/>
                    </w:rPr>
                    <w:t>污染物排放管控</w:t>
                  </w: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237F02">
                  <w:pPr>
                    <w:jc w:val="center"/>
                    <w:rPr>
                      <w:sz w:val="21"/>
                      <w:szCs w:val="21"/>
                    </w:rPr>
                  </w:pPr>
                  <w:r>
                    <w:rPr>
                      <w:sz w:val="21"/>
                      <w:szCs w:val="21"/>
                    </w:rPr>
                    <w:t>1</w:t>
                  </w:r>
                  <w:r>
                    <w:rPr>
                      <w:rFonts w:hint="eastAsia"/>
                      <w:sz w:val="21"/>
                      <w:szCs w:val="21"/>
                    </w:rPr>
                    <w:t>.</w:t>
                  </w:r>
                  <w:r>
                    <w:rPr>
                      <w:sz w:val="21"/>
                      <w:szCs w:val="21"/>
                    </w:rPr>
                    <w:t>强化规划园区施工扬尘、堆场扬尘控制。支持引导重点行业企业节能降碳改造。</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C3B7A">
                  <w:pPr>
                    <w:jc w:val="center"/>
                    <w:rPr>
                      <w:sz w:val="21"/>
                      <w:szCs w:val="21"/>
                    </w:rPr>
                  </w:pPr>
                  <w:r>
                    <w:rPr>
                      <w:sz w:val="21"/>
                      <w:szCs w:val="21"/>
                    </w:rPr>
                    <w:t>本项目为页岩气勘查项目，项目独立选址，不涉及规划产业园区。</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2A9AA">
                  <w:pPr>
                    <w:jc w:val="center"/>
                    <w:rPr>
                      <w:sz w:val="21"/>
                      <w:szCs w:val="21"/>
                    </w:rPr>
                  </w:pPr>
                  <w:r>
                    <w:rPr>
                      <w:rFonts w:hint="eastAsia"/>
                      <w:sz w:val="21"/>
                      <w:szCs w:val="21"/>
                    </w:rPr>
                    <w:t>相符</w:t>
                  </w:r>
                </w:p>
              </w:tc>
            </w:tr>
            <w:tr w14:paraId="69A3FC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1C0D51">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379958">
                  <w:pPr>
                    <w:jc w:val="center"/>
                    <w:rPr>
                      <w:sz w:val="21"/>
                      <w:szCs w:val="21"/>
                    </w:rPr>
                  </w:pPr>
                  <w:r>
                    <w:rPr>
                      <w:sz w:val="21"/>
                      <w:szCs w:val="21"/>
                    </w:rPr>
                    <w:t>2</w:t>
                  </w:r>
                  <w:r>
                    <w:rPr>
                      <w:rFonts w:hint="eastAsia"/>
                      <w:sz w:val="21"/>
                      <w:szCs w:val="21"/>
                    </w:rPr>
                    <w:t>.</w:t>
                  </w:r>
                  <w:r>
                    <w:rPr>
                      <w:sz w:val="21"/>
                      <w:szCs w:val="21"/>
                    </w:rPr>
                    <w:t>完善港区污水集中处理设施和配套管网建设，实现污水集中处理、回用或达标排放。</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02924C">
                  <w:pPr>
                    <w:jc w:val="center"/>
                    <w:rPr>
                      <w:sz w:val="21"/>
                      <w:szCs w:val="21"/>
                    </w:rPr>
                  </w:pPr>
                  <w:r>
                    <w:rPr>
                      <w:rFonts w:hint="eastAsia"/>
                      <w:sz w:val="21"/>
                      <w:szCs w:val="21"/>
                    </w:rPr>
                    <w:t>项目位于</w:t>
                  </w:r>
                  <w:r>
                    <w:rPr>
                      <w:sz w:val="21"/>
                      <w:szCs w:val="21"/>
                    </w:rPr>
                    <w:t>页岩气勘查项目</w:t>
                  </w:r>
                  <w:r>
                    <w:rPr>
                      <w:rFonts w:hint="eastAsia"/>
                      <w:sz w:val="21"/>
                      <w:szCs w:val="21"/>
                    </w:rPr>
                    <w:t>，项目独立选址，不涉及港区内。</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B33279">
                  <w:pPr>
                    <w:jc w:val="center"/>
                    <w:rPr>
                      <w:sz w:val="21"/>
                      <w:szCs w:val="21"/>
                    </w:rPr>
                  </w:pPr>
                  <w:r>
                    <w:rPr>
                      <w:rFonts w:hint="eastAsia"/>
                      <w:sz w:val="21"/>
                      <w:szCs w:val="21"/>
                    </w:rPr>
                    <w:t>相符</w:t>
                  </w:r>
                </w:p>
              </w:tc>
            </w:tr>
            <w:tr w14:paraId="6F6F47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0BBC8">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0C013">
                  <w:pPr>
                    <w:jc w:val="center"/>
                    <w:rPr>
                      <w:sz w:val="21"/>
                      <w:szCs w:val="21"/>
                    </w:rPr>
                  </w:pPr>
                  <w:r>
                    <w:rPr>
                      <w:sz w:val="21"/>
                      <w:szCs w:val="21"/>
                    </w:rPr>
                    <w:t>3.大力推进港口污染防治，强化码头作业区堆场扬尘控制。</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655944">
                  <w:pPr>
                    <w:jc w:val="center"/>
                    <w:rPr>
                      <w:sz w:val="21"/>
                      <w:szCs w:val="21"/>
                    </w:rPr>
                  </w:pPr>
                  <w:r>
                    <w:rPr>
                      <w:rFonts w:hint="eastAsia"/>
                      <w:sz w:val="21"/>
                      <w:szCs w:val="21"/>
                    </w:rPr>
                    <w:t>项目位于</w:t>
                  </w:r>
                  <w:r>
                    <w:rPr>
                      <w:sz w:val="21"/>
                      <w:szCs w:val="21"/>
                    </w:rPr>
                    <w:t>页岩气勘查项目</w:t>
                  </w:r>
                  <w:r>
                    <w:rPr>
                      <w:rFonts w:hint="eastAsia"/>
                      <w:sz w:val="21"/>
                      <w:szCs w:val="21"/>
                    </w:rPr>
                    <w:t>，不涉及港口。</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E60AA">
                  <w:pPr>
                    <w:jc w:val="center"/>
                    <w:rPr>
                      <w:sz w:val="21"/>
                      <w:szCs w:val="21"/>
                    </w:rPr>
                  </w:pPr>
                  <w:r>
                    <w:rPr>
                      <w:rFonts w:hint="eastAsia"/>
                      <w:sz w:val="21"/>
                      <w:szCs w:val="21"/>
                    </w:rPr>
                    <w:t>相符</w:t>
                  </w:r>
                </w:p>
              </w:tc>
            </w:tr>
            <w:tr w14:paraId="3EC6B6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B0C6473">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6444D">
                  <w:pPr>
                    <w:jc w:val="center"/>
                    <w:rPr>
                      <w:sz w:val="21"/>
                      <w:szCs w:val="21"/>
                    </w:rPr>
                  </w:pPr>
                  <w:r>
                    <w:rPr>
                      <w:sz w:val="21"/>
                      <w:szCs w:val="21"/>
                    </w:rPr>
                    <w:t>4.规划产业园区建设应同步完善污水处理设施及管网建设；园区及园区企业主要污染物排放应控制在区域环境承载能力范围内，确保环境质量达标。</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272479">
                  <w:pPr>
                    <w:jc w:val="center"/>
                    <w:rPr>
                      <w:sz w:val="21"/>
                      <w:szCs w:val="21"/>
                    </w:rPr>
                  </w:pPr>
                  <w:r>
                    <w:rPr>
                      <w:sz w:val="21"/>
                      <w:szCs w:val="21"/>
                    </w:rPr>
                    <w:t>本项目为页岩气勘查项目，项目独立选址，不涉及规划产业园区。</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AF2261">
                  <w:pPr>
                    <w:jc w:val="center"/>
                    <w:rPr>
                      <w:sz w:val="21"/>
                      <w:szCs w:val="21"/>
                    </w:rPr>
                  </w:pPr>
                  <w:r>
                    <w:rPr>
                      <w:rFonts w:hint="eastAsia"/>
                      <w:sz w:val="21"/>
                      <w:szCs w:val="21"/>
                    </w:rPr>
                    <w:t>相符</w:t>
                  </w:r>
                </w:p>
              </w:tc>
            </w:tr>
            <w:tr w14:paraId="7BD77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5C24EE">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019CDF">
                  <w:pPr>
                    <w:jc w:val="center"/>
                    <w:rPr>
                      <w:sz w:val="21"/>
                      <w:szCs w:val="21"/>
                    </w:rPr>
                  </w:pPr>
                  <w:r>
                    <w:rPr>
                      <w:sz w:val="21"/>
                      <w:szCs w:val="21"/>
                    </w:rPr>
                    <w:t>5.矿产资源勘查以及采选过程中排土场、露天采场、尾矿库、矿区专用道路、矿山工业场地、沉陷区、矸石场、矿山污染场地等的生态环境保护与治理恢复工作须满足《矿山生态环境保护与恢复治理技术规范（试行）》（HJ651-2013）要求。落实边开采、边保护、边复垦的要求，使新建、在建矿山损毁土地得到全面复垦。</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BEBC2">
                  <w:pPr>
                    <w:jc w:val="center"/>
                    <w:rPr>
                      <w:sz w:val="21"/>
                      <w:szCs w:val="21"/>
                    </w:rPr>
                  </w:pPr>
                  <w:r>
                    <w:rPr>
                      <w:sz w:val="21"/>
                      <w:szCs w:val="21"/>
                    </w:rPr>
                    <w:t>矿产资源勘查过程中</w:t>
                  </w:r>
                  <w:r>
                    <w:rPr>
                      <w:rFonts w:hint="eastAsia"/>
                      <w:sz w:val="21"/>
                      <w:szCs w:val="21"/>
                    </w:rPr>
                    <w:t>按照</w:t>
                  </w:r>
                  <w:r>
                    <w:rPr>
                      <w:sz w:val="21"/>
                      <w:szCs w:val="21"/>
                    </w:rPr>
                    <w:t>《矿山生态环境保护与恢复治理技术规范(试行)》</w:t>
                  </w:r>
                  <w:r>
                    <w:rPr>
                      <w:rFonts w:hint="eastAsia"/>
                      <w:sz w:val="21"/>
                      <w:szCs w:val="21"/>
                    </w:rPr>
                    <w:t>（</w:t>
                  </w:r>
                  <w:r>
                    <w:rPr>
                      <w:sz w:val="21"/>
                      <w:szCs w:val="21"/>
                    </w:rPr>
                    <w:t>HJ651-2013</w:t>
                  </w:r>
                  <w:r>
                    <w:rPr>
                      <w:rFonts w:hint="eastAsia"/>
                      <w:sz w:val="21"/>
                      <w:szCs w:val="21"/>
                    </w:rPr>
                    <w:t>）</w:t>
                  </w:r>
                  <w:r>
                    <w:rPr>
                      <w:sz w:val="21"/>
                      <w:szCs w:val="21"/>
                    </w:rPr>
                    <w:t>要求</w:t>
                  </w:r>
                  <w:r>
                    <w:rPr>
                      <w:rFonts w:hint="eastAsia"/>
                      <w:sz w:val="21"/>
                      <w:szCs w:val="21"/>
                    </w:rPr>
                    <w:t>，</w:t>
                  </w:r>
                  <w:r>
                    <w:rPr>
                      <w:sz w:val="21"/>
                      <w:szCs w:val="21"/>
                    </w:rPr>
                    <w:t>落实边开采、边保护、边复垦的要求</w:t>
                  </w:r>
                  <w:r>
                    <w:rPr>
                      <w:rFonts w:hint="eastAsia"/>
                      <w:sz w:val="21"/>
                      <w:szCs w:val="21"/>
                    </w:rPr>
                    <w:t>，项目已经制定土地复垦方案，钻探结束后使项目用地恢复原地貌。复垦流程如下：硬化层拆除和运输、土地翻耕、表土回覆、土地培肥、种植绿肥（油菜）、种植玉米、种植果树、交还土地所有权人。</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C035AA">
                  <w:pPr>
                    <w:jc w:val="center"/>
                    <w:rPr>
                      <w:sz w:val="21"/>
                      <w:szCs w:val="21"/>
                    </w:rPr>
                  </w:pPr>
                  <w:r>
                    <w:rPr>
                      <w:rFonts w:hint="eastAsia"/>
                      <w:sz w:val="21"/>
                      <w:szCs w:val="21"/>
                    </w:rPr>
                    <w:t>相符</w:t>
                  </w:r>
                </w:p>
              </w:tc>
            </w:tr>
            <w:tr w14:paraId="43A2DD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5C0913">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4E9F5">
                  <w:pPr>
                    <w:jc w:val="center"/>
                    <w:rPr>
                      <w:sz w:val="21"/>
                      <w:szCs w:val="21"/>
                    </w:rPr>
                  </w:pPr>
                  <w:r>
                    <w:rPr>
                      <w:rFonts w:hint="eastAsia"/>
                      <w:sz w:val="21"/>
                      <w:szCs w:val="21"/>
                    </w:rPr>
                    <w:t>6.</w:t>
                  </w:r>
                  <w:r>
                    <w:rPr>
                      <w:sz w:val="21"/>
                      <w:szCs w:val="21"/>
                    </w:rPr>
                    <w:t>禁止向内河水域排放船舶垃圾。</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201D7D">
                  <w:pPr>
                    <w:jc w:val="center"/>
                    <w:rPr>
                      <w:sz w:val="21"/>
                      <w:szCs w:val="21"/>
                    </w:rPr>
                  </w:pPr>
                  <w:r>
                    <w:rPr>
                      <w:rFonts w:hint="eastAsia"/>
                      <w:sz w:val="21"/>
                      <w:szCs w:val="21"/>
                    </w:rPr>
                    <w:t>项目不涉及。</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83B2C">
                  <w:pPr>
                    <w:jc w:val="center"/>
                    <w:rPr>
                      <w:sz w:val="21"/>
                      <w:szCs w:val="21"/>
                    </w:rPr>
                  </w:pPr>
                  <w:r>
                    <w:rPr>
                      <w:rFonts w:hint="eastAsia"/>
                      <w:sz w:val="21"/>
                      <w:szCs w:val="21"/>
                    </w:rPr>
                    <w:t>相符</w:t>
                  </w:r>
                </w:p>
              </w:tc>
            </w:tr>
            <w:tr w14:paraId="0E4BB8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0536EB">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8C11F">
                  <w:pPr>
                    <w:jc w:val="center"/>
                    <w:rPr>
                      <w:sz w:val="21"/>
                      <w:szCs w:val="21"/>
                    </w:rPr>
                  </w:pPr>
                  <w:r>
                    <w:rPr>
                      <w:rFonts w:hint="eastAsia"/>
                      <w:sz w:val="21"/>
                      <w:szCs w:val="21"/>
                    </w:rPr>
                    <w:t>7.</w:t>
                  </w:r>
                  <w:r>
                    <w:rPr>
                      <w:sz w:val="21"/>
                      <w:szCs w:val="21"/>
                    </w:rPr>
                    <w:t>推动港口船舶绿色发展。实施船舶发动机第二阶段排放标准。推动新能源、清洁能源动力船舶应用，鼓励有条件的内河船舶实施液化天然气（LNG）动力系统更新改造，加快港口供电设施建设，协同推进船舶受电设施和港口岸电设施改造，推动船舶靠港使用岸电。推进码头水平运输机械“油改电”和“油改气”改造工作。</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B57D61">
                  <w:pPr>
                    <w:jc w:val="center"/>
                    <w:rPr>
                      <w:sz w:val="21"/>
                      <w:szCs w:val="21"/>
                    </w:rPr>
                  </w:pPr>
                  <w:r>
                    <w:rPr>
                      <w:rFonts w:hint="eastAsia"/>
                      <w:sz w:val="21"/>
                      <w:szCs w:val="21"/>
                    </w:rPr>
                    <w:t>项目不涉及。</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7D824">
                  <w:pPr>
                    <w:jc w:val="center"/>
                    <w:rPr>
                      <w:sz w:val="21"/>
                      <w:szCs w:val="21"/>
                    </w:rPr>
                  </w:pPr>
                  <w:r>
                    <w:rPr>
                      <w:rFonts w:hint="eastAsia"/>
                      <w:sz w:val="21"/>
                      <w:szCs w:val="21"/>
                    </w:rPr>
                    <w:t>相符</w:t>
                  </w:r>
                </w:p>
              </w:tc>
            </w:tr>
            <w:tr w14:paraId="38E70F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E324FA">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E48A2">
                  <w:pPr>
                    <w:jc w:val="center"/>
                    <w:rPr>
                      <w:sz w:val="21"/>
                      <w:szCs w:val="21"/>
                    </w:rPr>
                  </w:pPr>
                  <w:r>
                    <w:rPr>
                      <w:rFonts w:hint="eastAsia"/>
                      <w:sz w:val="21"/>
                      <w:szCs w:val="21"/>
                    </w:rPr>
                    <w:t>8.</w:t>
                  </w:r>
                  <w:r>
                    <w:rPr>
                      <w:sz w:val="21"/>
                      <w:szCs w:val="21"/>
                    </w:rPr>
                    <w:t>具有万吨级以上油品泊位的码头、现有8000总吨及以上的油船按照国家标准开展油气回收治理。</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05696F">
                  <w:pPr>
                    <w:jc w:val="center"/>
                    <w:rPr>
                      <w:sz w:val="21"/>
                      <w:szCs w:val="21"/>
                    </w:rPr>
                  </w:pPr>
                  <w:r>
                    <w:rPr>
                      <w:rFonts w:hint="eastAsia"/>
                      <w:sz w:val="21"/>
                      <w:szCs w:val="21"/>
                    </w:rPr>
                    <w:t>项目不涉及。</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AA776">
                  <w:pPr>
                    <w:jc w:val="center"/>
                    <w:rPr>
                      <w:sz w:val="21"/>
                      <w:szCs w:val="21"/>
                    </w:rPr>
                  </w:pPr>
                  <w:r>
                    <w:rPr>
                      <w:rFonts w:hint="eastAsia"/>
                      <w:sz w:val="21"/>
                      <w:szCs w:val="21"/>
                    </w:rPr>
                    <w:t>相符</w:t>
                  </w:r>
                </w:p>
              </w:tc>
            </w:tr>
            <w:tr w14:paraId="240FF2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403"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339D7AB">
                  <w:pPr>
                    <w:jc w:val="center"/>
                    <w:rPr>
                      <w:sz w:val="21"/>
                      <w:szCs w:val="21"/>
                    </w:rPr>
                  </w:pPr>
                  <w:r>
                    <w:rPr>
                      <w:sz w:val="21"/>
                      <w:szCs w:val="21"/>
                    </w:rPr>
                    <w:t>环境风险防控</w:t>
                  </w: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138274">
                  <w:pPr>
                    <w:jc w:val="center"/>
                    <w:rPr>
                      <w:sz w:val="21"/>
                      <w:szCs w:val="21"/>
                    </w:rPr>
                  </w:pPr>
                  <w:r>
                    <w:rPr>
                      <w:rFonts w:hint="eastAsia"/>
                      <w:sz w:val="21"/>
                      <w:szCs w:val="21"/>
                    </w:rPr>
                    <w:t>1.开展环境风险评估，制定突发环境事件应急预案并备案，配备应急能力和物资，建设环境应急队伍，并定期演练。完善区域应急联动机制。</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8072FB">
                  <w:pPr>
                    <w:jc w:val="center"/>
                    <w:rPr>
                      <w:sz w:val="21"/>
                      <w:szCs w:val="21"/>
                    </w:rPr>
                  </w:pPr>
                  <w:r>
                    <w:rPr>
                      <w:sz w:val="21"/>
                      <w:szCs w:val="21"/>
                    </w:rPr>
                    <w:t>企业</w:t>
                  </w:r>
                  <w:r>
                    <w:rPr>
                      <w:rFonts w:hint="eastAsia"/>
                      <w:sz w:val="21"/>
                      <w:szCs w:val="21"/>
                    </w:rPr>
                    <w:t>运行后</w:t>
                  </w:r>
                  <w:r>
                    <w:rPr>
                      <w:sz w:val="21"/>
                      <w:szCs w:val="21"/>
                    </w:rPr>
                    <w:t>开展环境风险评估，制定突发环境事件应急预案并备案配备应急能力和物资，建设环境应急队伍，并定期演练。</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C7F507">
                  <w:pPr>
                    <w:jc w:val="center"/>
                    <w:rPr>
                      <w:sz w:val="21"/>
                      <w:szCs w:val="21"/>
                    </w:rPr>
                  </w:pPr>
                  <w:r>
                    <w:rPr>
                      <w:rFonts w:hint="eastAsia"/>
                      <w:sz w:val="21"/>
                      <w:szCs w:val="21"/>
                    </w:rPr>
                    <w:t>相符</w:t>
                  </w:r>
                </w:p>
              </w:tc>
            </w:tr>
            <w:tr w14:paraId="5EEF4B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23" w:hRule="atLeast"/>
                <w:jc w:val="center"/>
              </w:trPr>
              <w:tc>
                <w:tcPr>
                  <w:tcW w:w="403"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D01965">
                  <w:pPr>
                    <w:jc w:val="center"/>
                    <w:rPr>
                      <w:sz w:val="21"/>
                      <w:szCs w:val="21"/>
                    </w:rPr>
                  </w:pPr>
                </w:p>
              </w:tc>
              <w:tc>
                <w:tcPr>
                  <w:tcW w:w="27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AF6DB">
                  <w:pPr>
                    <w:jc w:val="center"/>
                    <w:rPr>
                      <w:sz w:val="21"/>
                      <w:szCs w:val="21"/>
                    </w:rPr>
                  </w:pPr>
                  <w:r>
                    <w:rPr>
                      <w:sz w:val="21"/>
                      <w:szCs w:val="21"/>
                    </w:rPr>
                    <w:t>2.涉重金属重点行业企业应当采用新技术、新工艺，加快提标升级改造，坚决淘汰不符合国家产业政策的落后生产工艺装备，执行重点重金属污染物排放总量控制制度，依法实施强制性清洁生产审核，减少重点重金属污染物排放。</w:t>
                  </w:r>
                </w:p>
              </w:tc>
              <w:tc>
                <w:tcPr>
                  <w:tcW w:w="131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8D0E1F">
                  <w:pPr>
                    <w:jc w:val="center"/>
                    <w:rPr>
                      <w:sz w:val="21"/>
                      <w:szCs w:val="21"/>
                    </w:rPr>
                  </w:pPr>
                  <w:r>
                    <w:rPr>
                      <w:sz w:val="21"/>
                      <w:szCs w:val="21"/>
                    </w:rPr>
                    <w:t>本项目为页岩气勘查项目，</w:t>
                  </w:r>
                  <w:r>
                    <w:rPr>
                      <w:rFonts w:hint="eastAsia"/>
                      <w:sz w:val="21"/>
                      <w:szCs w:val="21"/>
                    </w:rPr>
                    <w:t>不属于</w:t>
                  </w:r>
                  <w:r>
                    <w:rPr>
                      <w:sz w:val="21"/>
                      <w:szCs w:val="21"/>
                    </w:rPr>
                    <w:t>涉重金属重点行业</w:t>
                  </w:r>
                  <w:r>
                    <w:rPr>
                      <w:rFonts w:hint="eastAsia"/>
                      <w:sz w:val="21"/>
                      <w:szCs w:val="21"/>
                    </w:rPr>
                    <w:t>。</w:t>
                  </w:r>
                </w:p>
              </w:tc>
              <w:tc>
                <w:tcPr>
                  <w:tcW w:w="5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637795">
                  <w:pPr>
                    <w:jc w:val="center"/>
                    <w:rPr>
                      <w:sz w:val="21"/>
                      <w:szCs w:val="21"/>
                    </w:rPr>
                  </w:pPr>
                  <w:r>
                    <w:rPr>
                      <w:rFonts w:hint="eastAsia"/>
                      <w:sz w:val="21"/>
                      <w:szCs w:val="21"/>
                    </w:rPr>
                    <w:t>相符</w:t>
                  </w:r>
                </w:p>
              </w:tc>
            </w:tr>
          </w:tbl>
          <w:p w14:paraId="1D1FD7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综上，本项目符合生态环境管控分区的相关要求。</w:t>
            </w:r>
          </w:p>
          <w:p w14:paraId="69960537">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4、</w:t>
            </w:r>
            <w:r>
              <w:rPr>
                <w:b/>
                <w:bCs/>
              </w:rPr>
              <w:t>与《石油天然气开采业污染防治技术政策》</w:t>
            </w:r>
            <w:r>
              <w:rPr>
                <w:rFonts w:hint="eastAsia"/>
                <w:b/>
                <w:bCs/>
              </w:rPr>
              <w:t>相符性</w:t>
            </w:r>
            <w:r>
              <w:rPr>
                <w:b/>
                <w:bCs/>
              </w:rPr>
              <w:t>分析</w:t>
            </w:r>
          </w:p>
          <w:p w14:paraId="3B5307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本项目与《石油天然气开采业污染防治技术政策》（国家环保部公告2012年第18号，2012-03-07实施）的符合性，对比分析详见下表。</w:t>
            </w:r>
          </w:p>
          <w:p w14:paraId="7B551C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rPr>
            </w:pPr>
            <w:r>
              <w:rPr>
                <w:rFonts w:hint="eastAsia"/>
                <w:b/>
                <w:bCs/>
              </w:rPr>
              <w:t>表1-3 《</w:t>
            </w:r>
            <w:r>
              <w:rPr>
                <w:b/>
                <w:bCs/>
              </w:rPr>
              <w:t>石油天然气开采业污染防治技术政策</w:t>
            </w:r>
            <w:r>
              <w:rPr>
                <w:rFonts w:hint="eastAsia"/>
                <w:b/>
                <w:bCs/>
              </w:rPr>
              <w:t>》相符性分析</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7"/>
              <w:gridCol w:w="2696"/>
              <w:gridCol w:w="2618"/>
              <w:gridCol w:w="929"/>
            </w:tblGrid>
            <w:tr w14:paraId="43B8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0B43FAEF">
                  <w:pPr>
                    <w:jc w:val="center"/>
                    <w:rPr>
                      <w:b/>
                      <w:bCs/>
                      <w:sz w:val="21"/>
                      <w:szCs w:val="21"/>
                    </w:rPr>
                  </w:pPr>
                  <w:r>
                    <w:rPr>
                      <w:rFonts w:hint="eastAsia"/>
                      <w:b/>
                      <w:bCs/>
                      <w:sz w:val="21"/>
                      <w:szCs w:val="21"/>
                    </w:rPr>
                    <w:t>序号</w:t>
                  </w:r>
                </w:p>
              </w:tc>
              <w:tc>
                <w:tcPr>
                  <w:tcW w:w="1991" w:type="pct"/>
                  <w:vAlign w:val="center"/>
                </w:tcPr>
                <w:p w14:paraId="49FE4AE9">
                  <w:pPr>
                    <w:jc w:val="center"/>
                    <w:rPr>
                      <w:b/>
                      <w:bCs/>
                      <w:sz w:val="21"/>
                      <w:szCs w:val="21"/>
                    </w:rPr>
                  </w:pPr>
                  <w:r>
                    <w:rPr>
                      <w:rFonts w:hint="eastAsia"/>
                      <w:b/>
                      <w:bCs/>
                      <w:sz w:val="21"/>
                      <w:szCs w:val="21"/>
                    </w:rPr>
                    <w:t>技术政策要求</w:t>
                  </w:r>
                </w:p>
              </w:tc>
              <w:tc>
                <w:tcPr>
                  <w:tcW w:w="1933" w:type="pct"/>
                  <w:vAlign w:val="center"/>
                </w:tcPr>
                <w:p w14:paraId="3B8CAD4D">
                  <w:pPr>
                    <w:jc w:val="center"/>
                    <w:rPr>
                      <w:b/>
                      <w:bCs/>
                      <w:sz w:val="21"/>
                      <w:szCs w:val="21"/>
                    </w:rPr>
                  </w:pPr>
                  <w:r>
                    <w:rPr>
                      <w:rFonts w:hint="eastAsia"/>
                      <w:b/>
                      <w:bCs/>
                      <w:sz w:val="21"/>
                      <w:szCs w:val="21"/>
                    </w:rPr>
                    <w:t>本项目情况</w:t>
                  </w:r>
                </w:p>
              </w:tc>
              <w:tc>
                <w:tcPr>
                  <w:tcW w:w="686" w:type="pct"/>
                  <w:vAlign w:val="center"/>
                </w:tcPr>
                <w:p w14:paraId="1EE148F4">
                  <w:pPr>
                    <w:jc w:val="center"/>
                    <w:rPr>
                      <w:sz w:val="21"/>
                      <w:szCs w:val="21"/>
                    </w:rPr>
                  </w:pPr>
                  <w:r>
                    <w:rPr>
                      <w:rFonts w:hint="eastAsia"/>
                      <w:sz w:val="21"/>
                      <w:szCs w:val="21"/>
                    </w:rPr>
                    <w:t>相符性</w:t>
                  </w:r>
                </w:p>
              </w:tc>
            </w:tr>
            <w:tr w14:paraId="2976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1651DE7A">
                  <w:pPr>
                    <w:jc w:val="center"/>
                    <w:rPr>
                      <w:sz w:val="21"/>
                      <w:szCs w:val="21"/>
                    </w:rPr>
                  </w:pPr>
                  <w:r>
                    <w:rPr>
                      <w:rFonts w:hint="eastAsia"/>
                      <w:sz w:val="21"/>
                      <w:szCs w:val="21"/>
                    </w:rPr>
                    <w:t>一</w:t>
                  </w:r>
                </w:p>
              </w:tc>
              <w:tc>
                <w:tcPr>
                  <w:tcW w:w="4610" w:type="pct"/>
                  <w:gridSpan w:val="3"/>
                  <w:vAlign w:val="center"/>
                </w:tcPr>
                <w:p w14:paraId="5DD0AC82">
                  <w:pPr>
                    <w:jc w:val="center"/>
                    <w:rPr>
                      <w:sz w:val="21"/>
                      <w:szCs w:val="21"/>
                    </w:rPr>
                  </w:pPr>
                  <w:r>
                    <w:rPr>
                      <w:rFonts w:hint="eastAsia"/>
                      <w:sz w:val="21"/>
                      <w:szCs w:val="21"/>
                    </w:rPr>
                    <w:t>清洁生产</w:t>
                  </w:r>
                </w:p>
              </w:tc>
            </w:tr>
            <w:tr w14:paraId="3841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52A05869">
                  <w:pPr>
                    <w:jc w:val="center"/>
                    <w:rPr>
                      <w:sz w:val="21"/>
                      <w:szCs w:val="21"/>
                    </w:rPr>
                  </w:pPr>
                  <w:r>
                    <w:rPr>
                      <w:rFonts w:hint="eastAsia"/>
                      <w:sz w:val="21"/>
                      <w:szCs w:val="21"/>
                    </w:rPr>
                    <w:t>1</w:t>
                  </w:r>
                </w:p>
              </w:tc>
              <w:tc>
                <w:tcPr>
                  <w:tcW w:w="1991" w:type="pct"/>
                  <w:vAlign w:val="center"/>
                </w:tcPr>
                <w:p w14:paraId="6C6C9194">
                  <w:pPr>
                    <w:jc w:val="center"/>
                    <w:rPr>
                      <w:sz w:val="21"/>
                      <w:szCs w:val="21"/>
                    </w:rPr>
                  </w:pPr>
                  <w:r>
                    <w:rPr>
                      <w:sz w:val="21"/>
                      <w:szCs w:val="21"/>
                    </w:rPr>
                    <w:t>油气田开发不得使用含有国际公约禁用化学物质的油气田化学剂，逐步淘汰微毒及以上油气田化学剂，鼓励使用无毒油气田化学剂。</w:t>
                  </w:r>
                </w:p>
              </w:tc>
              <w:tc>
                <w:tcPr>
                  <w:tcW w:w="1933" w:type="pct"/>
                  <w:vAlign w:val="center"/>
                </w:tcPr>
                <w:p w14:paraId="1C19C803">
                  <w:pPr>
                    <w:jc w:val="center"/>
                    <w:rPr>
                      <w:sz w:val="21"/>
                      <w:szCs w:val="21"/>
                    </w:rPr>
                  </w:pPr>
                  <w:r>
                    <w:rPr>
                      <w:sz w:val="21"/>
                      <w:szCs w:val="21"/>
                    </w:rPr>
                    <w:t>项目</w:t>
                  </w:r>
                  <w:r>
                    <w:rPr>
                      <w:rFonts w:hint="eastAsia"/>
                      <w:sz w:val="21"/>
                      <w:szCs w:val="21"/>
                    </w:rPr>
                    <w:t>使用的化学剂不涉及国际公约禁用的化学物质，项目</w:t>
                  </w:r>
                  <w:r>
                    <w:rPr>
                      <w:sz w:val="21"/>
                      <w:szCs w:val="21"/>
                    </w:rPr>
                    <w:t>采用无毒油气田化学剂。</w:t>
                  </w:r>
                </w:p>
              </w:tc>
              <w:tc>
                <w:tcPr>
                  <w:tcW w:w="686" w:type="pct"/>
                  <w:vAlign w:val="center"/>
                </w:tcPr>
                <w:p w14:paraId="241AEEA3">
                  <w:pPr>
                    <w:jc w:val="center"/>
                    <w:rPr>
                      <w:sz w:val="21"/>
                      <w:szCs w:val="21"/>
                    </w:rPr>
                  </w:pPr>
                  <w:r>
                    <w:rPr>
                      <w:rFonts w:hint="eastAsia"/>
                      <w:sz w:val="21"/>
                      <w:szCs w:val="21"/>
                    </w:rPr>
                    <w:t>相符</w:t>
                  </w:r>
                </w:p>
              </w:tc>
            </w:tr>
            <w:tr w14:paraId="1E4D4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4A49D2ED">
                  <w:pPr>
                    <w:jc w:val="center"/>
                    <w:rPr>
                      <w:sz w:val="21"/>
                      <w:szCs w:val="21"/>
                    </w:rPr>
                  </w:pPr>
                  <w:r>
                    <w:rPr>
                      <w:rFonts w:hint="eastAsia"/>
                      <w:sz w:val="21"/>
                      <w:szCs w:val="21"/>
                    </w:rPr>
                    <w:t>2</w:t>
                  </w:r>
                </w:p>
              </w:tc>
              <w:tc>
                <w:tcPr>
                  <w:tcW w:w="1991" w:type="pct"/>
                  <w:vAlign w:val="center"/>
                </w:tcPr>
                <w:p w14:paraId="0D2DA338">
                  <w:pPr>
                    <w:jc w:val="center"/>
                    <w:rPr>
                      <w:sz w:val="21"/>
                      <w:szCs w:val="21"/>
                    </w:rPr>
                  </w:pPr>
                  <w:r>
                    <w:rPr>
                      <w:sz w:val="21"/>
                      <w:szCs w:val="21"/>
                    </w:rPr>
                    <w:t>在钻井过程中，鼓励采用环境友好的钻井液体系；配备完善的固控设备，钻井液循环率达到95%以上；钻井过程产生的废水应回用。</w:t>
                  </w:r>
                </w:p>
              </w:tc>
              <w:tc>
                <w:tcPr>
                  <w:tcW w:w="1933" w:type="pct"/>
                  <w:vAlign w:val="center"/>
                </w:tcPr>
                <w:p w14:paraId="2ADB5C02">
                  <w:pPr>
                    <w:jc w:val="center"/>
                    <w:rPr>
                      <w:sz w:val="21"/>
                      <w:szCs w:val="21"/>
                    </w:rPr>
                  </w:pPr>
                  <w:r>
                    <w:rPr>
                      <w:sz w:val="21"/>
                      <w:szCs w:val="21"/>
                    </w:rPr>
                    <w:t>本项目采用无毒环境友好的钻井液体系；钻井液循环率达95%以上；钻井过程产生的废水回用。</w:t>
                  </w:r>
                </w:p>
              </w:tc>
              <w:tc>
                <w:tcPr>
                  <w:tcW w:w="686" w:type="pct"/>
                  <w:vAlign w:val="center"/>
                </w:tcPr>
                <w:p w14:paraId="3C658933">
                  <w:pPr>
                    <w:jc w:val="center"/>
                    <w:rPr>
                      <w:sz w:val="21"/>
                      <w:szCs w:val="21"/>
                    </w:rPr>
                  </w:pPr>
                  <w:r>
                    <w:rPr>
                      <w:rFonts w:hint="eastAsia"/>
                      <w:sz w:val="21"/>
                      <w:szCs w:val="21"/>
                    </w:rPr>
                    <w:t>相符</w:t>
                  </w:r>
                </w:p>
              </w:tc>
            </w:tr>
            <w:tr w14:paraId="3107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1596F964">
                  <w:pPr>
                    <w:jc w:val="center"/>
                    <w:rPr>
                      <w:sz w:val="21"/>
                      <w:szCs w:val="21"/>
                    </w:rPr>
                  </w:pPr>
                  <w:r>
                    <w:rPr>
                      <w:rFonts w:hint="eastAsia"/>
                      <w:sz w:val="21"/>
                      <w:szCs w:val="21"/>
                    </w:rPr>
                    <w:t>3</w:t>
                  </w:r>
                </w:p>
              </w:tc>
              <w:tc>
                <w:tcPr>
                  <w:tcW w:w="1991" w:type="pct"/>
                  <w:vAlign w:val="center"/>
                </w:tcPr>
                <w:p w14:paraId="5BEA3716">
                  <w:pPr>
                    <w:jc w:val="center"/>
                    <w:rPr>
                      <w:sz w:val="21"/>
                      <w:szCs w:val="21"/>
                    </w:rPr>
                  </w:pPr>
                  <w:r>
                    <w:rPr>
                      <w:sz w:val="21"/>
                      <w:szCs w:val="21"/>
                    </w:rPr>
                    <w:t>在井下作业过程中，酸化液和压裂液宜集中配制，酸化残液、压裂残液和返排液应回收利用或进行无害化处置，压裂放喷返排入罐率应达到100%。压裂作业和试油(气)过程应采取防喷、地面管线防刺、防漏、防溢等措施。</w:t>
                  </w:r>
                </w:p>
              </w:tc>
              <w:tc>
                <w:tcPr>
                  <w:tcW w:w="1933" w:type="pct"/>
                  <w:vAlign w:val="center"/>
                </w:tcPr>
                <w:p w14:paraId="435024F4">
                  <w:pPr>
                    <w:jc w:val="center"/>
                    <w:rPr>
                      <w:sz w:val="21"/>
                      <w:szCs w:val="21"/>
                    </w:rPr>
                  </w:pPr>
                  <w:r>
                    <w:rPr>
                      <w:sz w:val="21"/>
                      <w:szCs w:val="21"/>
                    </w:rPr>
                    <w:t>项目</w:t>
                  </w:r>
                  <w:r>
                    <w:rPr>
                      <w:rFonts w:hint="eastAsia"/>
                      <w:sz w:val="21"/>
                      <w:szCs w:val="21"/>
                    </w:rPr>
                    <w:t>无酸化液，</w:t>
                  </w:r>
                  <w:r>
                    <w:rPr>
                      <w:sz w:val="21"/>
                      <w:szCs w:val="21"/>
                    </w:rPr>
                    <w:t>压裂放喷返排入罐率达到100%</w:t>
                  </w:r>
                  <w:r>
                    <w:rPr>
                      <w:rFonts w:hint="eastAsia"/>
                      <w:sz w:val="21"/>
                      <w:szCs w:val="21"/>
                    </w:rPr>
                    <w:t>，压裂返排液回用，不能回用外委有资质单位回收处理；</w:t>
                  </w:r>
                  <w:r>
                    <w:rPr>
                      <w:sz w:val="21"/>
                      <w:szCs w:val="21"/>
                    </w:rPr>
                    <w:t>压裂作业和</w:t>
                  </w:r>
                  <w:r>
                    <w:rPr>
                      <w:rFonts w:hint="eastAsia"/>
                      <w:sz w:val="21"/>
                      <w:szCs w:val="21"/>
                    </w:rPr>
                    <w:t>试采</w:t>
                  </w:r>
                  <w:r>
                    <w:rPr>
                      <w:sz w:val="21"/>
                      <w:szCs w:val="21"/>
                    </w:rPr>
                    <w:t>过程采取</w:t>
                  </w:r>
                  <w:r>
                    <w:rPr>
                      <w:rFonts w:hint="eastAsia"/>
                      <w:sz w:val="21"/>
                      <w:szCs w:val="21"/>
                    </w:rPr>
                    <w:t>有效的</w:t>
                  </w:r>
                  <w:r>
                    <w:rPr>
                      <w:sz w:val="21"/>
                      <w:szCs w:val="21"/>
                    </w:rPr>
                    <w:t>防喷、地面管线防刺、防漏、防溢等措施</w:t>
                  </w:r>
                  <w:r>
                    <w:rPr>
                      <w:rFonts w:hint="eastAsia"/>
                      <w:sz w:val="21"/>
                      <w:szCs w:val="21"/>
                    </w:rPr>
                    <w:t>。</w:t>
                  </w:r>
                </w:p>
              </w:tc>
              <w:tc>
                <w:tcPr>
                  <w:tcW w:w="686" w:type="pct"/>
                  <w:vAlign w:val="center"/>
                </w:tcPr>
                <w:p w14:paraId="74A675EF">
                  <w:pPr>
                    <w:jc w:val="center"/>
                    <w:rPr>
                      <w:sz w:val="21"/>
                      <w:szCs w:val="21"/>
                    </w:rPr>
                  </w:pPr>
                  <w:r>
                    <w:rPr>
                      <w:rFonts w:hint="eastAsia"/>
                      <w:sz w:val="21"/>
                      <w:szCs w:val="21"/>
                    </w:rPr>
                    <w:t>相符</w:t>
                  </w:r>
                </w:p>
              </w:tc>
            </w:tr>
            <w:tr w14:paraId="7A652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015882EB">
                  <w:pPr>
                    <w:jc w:val="center"/>
                    <w:rPr>
                      <w:sz w:val="21"/>
                      <w:szCs w:val="21"/>
                    </w:rPr>
                  </w:pPr>
                  <w:r>
                    <w:rPr>
                      <w:rFonts w:hint="eastAsia"/>
                      <w:sz w:val="21"/>
                      <w:szCs w:val="21"/>
                    </w:rPr>
                    <w:t>二</w:t>
                  </w:r>
                </w:p>
              </w:tc>
              <w:tc>
                <w:tcPr>
                  <w:tcW w:w="4610" w:type="pct"/>
                  <w:gridSpan w:val="3"/>
                  <w:vAlign w:val="center"/>
                </w:tcPr>
                <w:p w14:paraId="3BA314E3">
                  <w:pPr>
                    <w:jc w:val="center"/>
                    <w:rPr>
                      <w:sz w:val="21"/>
                      <w:szCs w:val="21"/>
                    </w:rPr>
                  </w:pPr>
                  <w:r>
                    <w:rPr>
                      <w:rFonts w:hint="eastAsia"/>
                      <w:sz w:val="21"/>
                      <w:szCs w:val="21"/>
                    </w:rPr>
                    <w:t>生态保护</w:t>
                  </w:r>
                </w:p>
              </w:tc>
            </w:tr>
            <w:tr w14:paraId="2E98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1571A102">
                  <w:pPr>
                    <w:jc w:val="center"/>
                    <w:rPr>
                      <w:sz w:val="21"/>
                      <w:szCs w:val="21"/>
                    </w:rPr>
                  </w:pPr>
                  <w:r>
                    <w:rPr>
                      <w:rFonts w:hint="eastAsia"/>
                      <w:sz w:val="21"/>
                      <w:szCs w:val="21"/>
                    </w:rPr>
                    <w:t>1</w:t>
                  </w:r>
                </w:p>
              </w:tc>
              <w:tc>
                <w:tcPr>
                  <w:tcW w:w="1991" w:type="pct"/>
                  <w:vAlign w:val="center"/>
                </w:tcPr>
                <w:p w14:paraId="433A8CF0">
                  <w:pPr>
                    <w:jc w:val="center"/>
                    <w:rPr>
                      <w:sz w:val="21"/>
                      <w:szCs w:val="21"/>
                    </w:rPr>
                  </w:pPr>
                  <w:r>
                    <w:rPr>
                      <w:sz w:val="21"/>
                      <w:szCs w:val="21"/>
                    </w:rPr>
                    <w:t>油气田建设宜布置丛式井组，采用多分支井、水平井、小孔钻井、空气钻井等钻井技术，以减少废物产生和占地。</w:t>
                  </w:r>
                </w:p>
              </w:tc>
              <w:tc>
                <w:tcPr>
                  <w:tcW w:w="1933" w:type="pct"/>
                  <w:vAlign w:val="center"/>
                </w:tcPr>
                <w:p w14:paraId="383DAA68">
                  <w:pPr>
                    <w:jc w:val="center"/>
                    <w:rPr>
                      <w:sz w:val="21"/>
                      <w:szCs w:val="21"/>
                    </w:rPr>
                  </w:pPr>
                  <w:r>
                    <w:rPr>
                      <w:sz w:val="21"/>
                      <w:szCs w:val="21"/>
                    </w:rPr>
                    <w:t>本项目采</w:t>
                  </w:r>
                  <w:r>
                    <w:rPr>
                      <w:rFonts w:hint="eastAsia"/>
                      <w:sz w:val="21"/>
                      <w:szCs w:val="21"/>
                    </w:rPr>
                    <w:t>用水平</w:t>
                  </w:r>
                  <w:r>
                    <w:rPr>
                      <w:sz w:val="21"/>
                      <w:szCs w:val="21"/>
                    </w:rPr>
                    <w:t>钻井技术，废物产生量较少，占地面积小。</w:t>
                  </w:r>
                </w:p>
              </w:tc>
              <w:tc>
                <w:tcPr>
                  <w:tcW w:w="686" w:type="pct"/>
                  <w:vAlign w:val="center"/>
                </w:tcPr>
                <w:p w14:paraId="30BF1BBE">
                  <w:pPr>
                    <w:jc w:val="center"/>
                    <w:rPr>
                      <w:sz w:val="21"/>
                      <w:szCs w:val="21"/>
                    </w:rPr>
                  </w:pPr>
                  <w:r>
                    <w:rPr>
                      <w:rFonts w:hint="eastAsia"/>
                      <w:sz w:val="21"/>
                      <w:szCs w:val="21"/>
                    </w:rPr>
                    <w:t>相符</w:t>
                  </w:r>
                </w:p>
              </w:tc>
            </w:tr>
            <w:tr w14:paraId="5EBFE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1BE51DA4">
                  <w:pPr>
                    <w:jc w:val="center"/>
                    <w:rPr>
                      <w:sz w:val="21"/>
                      <w:szCs w:val="21"/>
                    </w:rPr>
                  </w:pPr>
                  <w:r>
                    <w:rPr>
                      <w:rFonts w:hint="eastAsia"/>
                      <w:sz w:val="21"/>
                      <w:szCs w:val="21"/>
                    </w:rPr>
                    <w:t>2</w:t>
                  </w:r>
                </w:p>
              </w:tc>
              <w:tc>
                <w:tcPr>
                  <w:tcW w:w="1991" w:type="pct"/>
                  <w:vAlign w:val="center"/>
                </w:tcPr>
                <w:p w14:paraId="3FAEF080">
                  <w:pPr>
                    <w:jc w:val="center"/>
                    <w:rPr>
                      <w:sz w:val="21"/>
                      <w:szCs w:val="21"/>
                    </w:rPr>
                  </w:pPr>
                  <w:r>
                    <w:rPr>
                      <w:sz w:val="21"/>
                      <w:szCs w:val="21"/>
                    </w:rPr>
                    <w:t>在开发过程中，伴生气应回收利用，减少温室气体排放，不具备回收利用条件的，应充分燃烧，伴生气回收利用率应达到80%以上；站场放空天然气应充分燃烧。燃烧放空设施应避开鸟类迁徙通道。</w:t>
                  </w:r>
                </w:p>
              </w:tc>
              <w:tc>
                <w:tcPr>
                  <w:tcW w:w="1933" w:type="pct"/>
                  <w:vAlign w:val="center"/>
                </w:tcPr>
                <w:p w14:paraId="354D22C3">
                  <w:pPr>
                    <w:jc w:val="center"/>
                    <w:rPr>
                      <w:sz w:val="21"/>
                      <w:szCs w:val="21"/>
                    </w:rPr>
                  </w:pPr>
                  <w:r>
                    <w:rPr>
                      <w:sz w:val="21"/>
                      <w:szCs w:val="21"/>
                    </w:rPr>
                    <w:t>本项目</w:t>
                  </w:r>
                  <w:r>
                    <w:rPr>
                      <w:rFonts w:hint="eastAsia"/>
                      <w:sz w:val="21"/>
                      <w:szCs w:val="21"/>
                    </w:rPr>
                    <w:t>页岩气</w:t>
                  </w:r>
                  <w:r>
                    <w:rPr>
                      <w:sz w:val="21"/>
                      <w:szCs w:val="21"/>
                    </w:rPr>
                    <w:t>在放喷过程中不具备利用条件，在放喷池进行充分燃烧，且放喷设施不涉及鸟类迁徙通道。</w:t>
                  </w:r>
                </w:p>
              </w:tc>
              <w:tc>
                <w:tcPr>
                  <w:tcW w:w="686" w:type="pct"/>
                  <w:vAlign w:val="center"/>
                </w:tcPr>
                <w:p w14:paraId="6B3B5885">
                  <w:pPr>
                    <w:jc w:val="center"/>
                    <w:rPr>
                      <w:sz w:val="21"/>
                      <w:szCs w:val="21"/>
                    </w:rPr>
                  </w:pPr>
                  <w:r>
                    <w:rPr>
                      <w:rFonts w:hint="eastAsia"/>
                      <w:sz w:val="21"/>
                      <w:szCs w:val="21"/>
                    </w:rPr>
                    <w:t>相符</w:t>
                  </w:r>
                </w:p>
              </w:tc>
            </w:tr>
            <w:tr w14:paraId="48962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028E12FB">
                  <w:pPr>
                    <w:jc w:val="center"/>
                    <w:rPr>
                      <w:sz w:val="21"/>
                      <w:szCs w:val="21"/>
                    </w:rPr>
                  </w:pPr>
                  <w:r>
                    <w:rPr>
                      <w:rFonts w:hint="eastAsia"/>
                      <w:sz w:val="21"/>
                      <w:szCs w:val="21"/>
                    </w:rPr>
                    <w:t>三</w:t>
                  </w:r>
                </w:p>
              </w:tc>
              <w:tc>
                <w:tcPr>
                  <w:tcW w:w="4610" w:type="pct"/>
                  <w:gridSpan w:val="3"/>
                  <w:vAlign w:val="center"/>
                </w:tcPr>
                <w:p w14:paraId="1F7AE454">
                  <w:pPr>
                    <w:jc w:val="center"/>
                    <w:rPr>
                      <w:sz w:val="21"/>
                      <w:szCs w:val="21"/>
                    </w:rPr>
                  </w:pPr>
                  <w:r>
                    <w:rPr>
                      <w:sz w:val="21"/>
                      <w:szCs w:val="21"/>
                    </w:rPr>
                    <w:t>污染治理</w:t>
                  </w:r>
                </w:p>
              </w:tc>
            </w:tr>
            <w:tr w14:paraId="4E9F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434B7377">
                  <w:pPr>
                    <w:jc w:val="center"/>
                    <w:rPr>
                      <w:sz w:val="21"/>
                      <w:szCs w:val="21"/>
                    </w:rPr>
                  </w:pPr>
                  <w:r>
                    <w:rPr>
                      <w:rFonts w:hint="eastAsia"/>
                      <w:sz w:val="21"/>
                      <w:szCs w:val="21"/>
                    </w:rPr>
                    <w:t>1</w:t>
                  </w:r>
                </w:p>
              </w:tc>
              <w:tc>
                <w:tcPr>
                  <w:tcW w:w="1991" w:type="pct"/>
                  <w:vAlign w:val="center"/>
                </w:tcPr>
                <w:p w14:paraId="40996B5B">
                  <w:pPr>
                    <w:jc w:val="center"/>
                    <w:rPr>
                      <w:sz w:val="21"/>
                      <w:szCs w:val="21"/>
                    </w:rPr>
                  </w:pPr>
                  <w:r>
                    <w:rPr>
                      <w:sz w:val="21"/>
                      <w:szCs w:val="21"/>
                    </w:rPr>
                    <w:t>在钻井和井下作业过程中，鼓励污油、污水进入生产流程循环利用，未进入生产流程的污油、污水应采用固液分离、废水处理一体化装置等处理后达标外排。在油气开发过程中，未回注的油气田采出水宜采用混凝气浮和生化处理相结合的方式。</w:t>
                  </w:r>
                </w:p>
              </w:tc>
              <w:tc>
                <w:tcPr>
                  <w:tcW w:w="1933" w:type="pct"/>
                  <w:vAlign w:val="center"/>
                </w:tcPr>
                <w:p w14:paraId="58B854B4">
                  <w:pPr>
                    <w:jc w:val="center"/>
                    <w:rPr>
                      <w:sz w:val="21"/>
                      <w:szCs w:val="21"/>
                    </w:rPr>
                  </w:pPr>
                  <w:r>
                    <w:rPr>
                      <w:sz w:val="21"/>
                      <w:szCs w:val="21"/>
                    </w:rPr>
                    <w:t>钻井过程中产生的钻井废水</w:t>
                  </w:r>
                  <w:r>
                    <w:rPr>
                      <w:rFonts w:hint="eastAsia"/>
                      <w:sz w:val="21"/>
                      <w:szCs w:val="21"/>
                    </w:rPr>
                    <w:t>、洗井废水循环使用，不外排；管道试压废水回收用于洒水；压裂返排液回用，不能回用时定期通过罐车运输至污水处理单位进行处理。</w:t>
                  </w:r>
                </w:p>
              </w:tc>
              <w:tc>
                <w:tcPr>
                  <w:tcW w:w="686" w:type="pct"/>
                  <w:vAlign w:val="center"/>
                </w:tcPr>
                <w:p w14:paraId="329664A5">
                  <w:pPr>
                    <w:jc w:val="center"/>
                    <w:rPr>
                      <w:sz w:val="21"/>
                      <w:szCs w:val="21"/>
                    </w:rPr>
                  </w:pPr>
                  <w:r>
                    <w:rPr>
                      <w:rFonts w:hint="eastAsia"/>
                      <w:sz w:val="21"/>
                      <w:szCs w:val="21"/>
                    </w:rPr>
                    <w:t>相符</w:t>
                  </w:r>
                </w:p>
              </w:tc>
            </w:tr>
            <w:tr w14:paraId="288A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6386A3A0">
                  <w:pPr>
                    <w:jc w:val="center"/>
                    <w:rPr>
                      <w:sz w:val="21"/>
                      <w:szCs w:val="21"/>
                    </w:rPr>
                  </w:pPr>
                  <w:r>
                    <w:rPr>
                      <w:rFonts w:hint="eastAsia"/>
                      <w:sz w:val="21"/>
                      <w:szCs w:val="21"/>
                    </w:rPr>
                    <w:t>2</w:t>
                  </w:r>
                </w:p>
              </w:tc>
              <w:tc>
                <w:tcPr>
                  <w:tcW w:w="1991" w:type="pct"/>
                  <w:vAlign w:val="center"/>
                </w:tcPr>
                <w:p w14:paraId="3F401C0C">
                  <w:pPr>
                    <w:jc w:val="center"/>
                    <w:rPr>
                      <w:sz w:val="21"/>
                      <w:szCs w:val="21"/>
                    </w:rPr>
                  </w:pPr>
                  <w:r>
                    <w:rPr>
                      <w:sz w:val="21"/>
                      <w:szCs w:val="21"/>
                    </w:rPr>
                    <w:t>固体废物收集、贮存、处理处置设施应按照标准要求采取防渗措施。试油(气)后应立即封闭废弃钻井液贮池。</w:t>
                  </w:r>
                </w:p>
              </w:tc>
              <w:tc>
                <w:tcPr>
                  <w:tcW w:w="1933" w:type="pct"/>
                  <w:vAlign w:val="center"/>
                </w:tcPr>
                <w:p w14:paraId="1980D9EB">
                  <w:pPr>
                    <w:jc w:val="center"/>
                    <w:rPr>
                      <w:sz w:val="21"/>
                      <w:szCs w:val="21"/>
                    </w:rPr>
                  </w:pPr>
                  <w:r>
                    <w:rPr>
                      <w:sz w:val="21"/>
                      <w:szCs w:val="21"/>
                    </w:rPr>
                    <w:t>本项目严格按照相关规范落实防渗措施。</w:t>
                  </w:r>
                </w:p>
              </w:tc>
              <w:tc>
                <w:tcPr>
                  <w:tcW w:w="686" w:type="pct"/>
                  <w:vAlign w:val="center"/>
                </w:tcPr>
                <w:p w14:paraId="7F34D2E0">
                  <w:pPr>
                    <w:jc w:val="center"/>
                    <w:rPr>
                      <w:sz w:val="21"/>
                      <w:szCs w:val="21"/>
                    </w:rPr>
                  </w:pPr>
                  <w:r>
                    <w:rPr>
                      <w:rFonts w:hint="eastAsia"/>
                      <w:sz w:val="21"/>
                      <w:szCs w:val="21"/>
                    </w:rPr>
                    <w:t>相符</w:t>
                  </w:r>
                </w:p>
              </w:tc>
            </w:tr>
            <w:tr w14:paraId="06BA8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71A6737A">
                  <w:pPr>
                    <w:jc w:val="center"/>
                    <w:rPr>
                      <w:sz w:val="21"/>
                      <w:szCs w:val="21"/>
                    </w:rPr>
                  </w:pPr>
                  <w:r>
                    <w:rPr>
                      <w:rFonts w:hint="eastAsia"/>
                      <w:sz w:val="21"/>
                      <w:szCs w:val="21"/>
                    </w:rPr>
                    <w:t>3</w:t>
                  </w:r>
                </w:p>
              </w:tc>
              <w:tc>
                <w:tcPr>
                  <w:tcW w:w="1991" w:type="pct"/>
                  <w:vAlign w:val="center"/>
                </w:tcPr>
                <w:p w14:paraId="19A91658">
                  <w:pPr>
                    <w:jc w:val="center"/>
                    <w:rPr>
                      <w:sz w:val="21"/>
                      <w:szCs w:val="21"/>
                    </w:rPr>
                  </w:pPr>
                  <w:r>
                    <w:rPr>
                      <w:sz w:val="21"/>
                      <w:szCs w:val="21"/>
                    </w:rPr>
                    <w:t>应回收落地原油，以及原油处理、废水处理产生的油泥(砂)等中的油类物质，含油污泥资源化利用率应达90%以上，残余固体废物应按照《国家危险废物名录》和危险废物鉴别标准识别，根据识别结果资源化利用或无害化处置。</w:t>
                  </w:r>
                </w:p>
              </w:tc>
              <w:tc>
                <w:tcPr>
                  <w:tcW w:w="1933" w:type="pct"/>
                  <w:vAlign w:val="center"/>
                </w:tcPr>
                <w:p w14:paraId="06CAEDBD">
                  <w:pPr>
                    <w:jc w:val="center"/>
                    <w:rPr>
                      <w:sz w:val="21"/>
                      <w:szCs w:val="21"/>
                    </w:rPr>
                  </w:pPr>
                  <w:r>
                    <w:rPr>
                      <w:sz w:val="21"/>
                      <w:szCs w:val="21"/>
                    </w:rPr>
                    <w:t>本工程在易产生污油的生产设施底部进行防渗处理，并采用废油桶收集可能产生的废油，</w:t>
                  </w:r>
                  <w:r>
                    <w:rPr>
                      <w:rFonts w:hint="eastAsia"/>
                      <w:sz w:val="21"/>
                      <w:szCs w:val="21"/>
                    </w:rPr>
                    <w:t>暂存危废暂存间，外委有危废资质单位外运处理</w:t>
                  </w:r>
                  <w:r>
                    <w:rPr>
                      <w:sz w:val="21"/>
                      <w:szCs w:val="21"/>
                    </w:rPr>
                    <w:t>。</w:t>
                  </w:r>
                </w:p>
              </w:tc>
              <w:tc>
                <w:tcPr>
                  <w:tcW w:w="686" w:type="pct"/>
                  <w:vAlign w:val="center"/>
                </w:tcPr>
                <w:p w14:paraId="320F0EE1">
                  <w:pPr>
                    <w:jc w:val="center"/>
                    <w:rPr>
                      <w:sz w:val="21"/>
                      <w:szCs w:val="21"/>
                    </w:rPr>
                  </w:pPr>
                  <w:r>
                    <w:rPr>
                      <w:rFonts w:hint="eastAsia"/>
                      <w:sz w:val="21"/>
                      <w:szCs w:val="21"/>
                    </w:rPr>
                    <w:t>相符</w:t>
                  </w:r>
                </w:p>
              </w:tc>
            </w:tr>
            <w:tr w14:paraId="1531A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3E1E1415">
                  <w:pPr>
                    <w:jc w:val="center"/>
                    <w:rPr>
                      <w:sz w:val="21"/>
                      <w:szCs w:val="21"/>
                    </w:rPr>
                  </w:pPr>
                  <w:r>
                    <w:rPr>
                      <w:rFonts w:hint="eastAsia"/>
                      <w:sz w:val="21"/>
                      <w:szCs w:val="21"/>
                    </w:rPr>
                    <w:t>4</w:t>
                  </w:r>
                </w:p>
              </w:tc>
              <w:tc>
                <w:tcPr>
                  <w:tcW w:w="1991" w:type="pct"/>
                  <w:vAlign w:val="center"/>
                </w:tcPr>
                <w:p w14:paraId="22F53349">
                  <w:pPr>
                    <w:jc w:val="center"/>
                    <w:rPr>
                      <w:sz w:val="21"/>
                      <w:szCs w:val="21"/>
                    </w:rPr>
                  </w:pPr>
                  <w:r>
                    <w:rPr>
                      <w:sz w:val="21"/>
                      <w:szCs w:val="21"/>
                    </w:rPr>
                    <w:t>对受到油污染的土壤宜采取生物或物化方法进行修复。</w:t>
                  </w:r>
                </w:p>
              </w:tc>
              <w:tc>
                <w:tcPr>
                  <w:tcW w:w="1933" w:type="pct"/>
                  <w:vAlign w:val="center"/>
                </w:tcPr>
                <w:p w14:paraId="33BD4033">
                  <w:pPr>
                    <w:jc w:val="center"/>
                    <w:rPr>
                      <w:sz w:val="21"/>
                      <w:szCs w:val="21"/>
                    </w:rPr>
                  </w:pPr>
                  <w:r>
                    <w:rPr>
                      <w:rFonts w:hint="eastAsia"/>
                      <w:sz w:val="21"/>
                      <w:szCs w:val="21"/>
                    </w:rPr>
                    <w:t>本项目采取了严格的防范措施，施工过程不会对周边土壤造成污染。</w:t>
                  </w:r>
                </w:p>
              </w:tc>
              <w:tc>
                <w:tcPr>
                  <w:tcW w:w="686" w:type="pct"/>
                  <w:vAlign w:val="center"/>
                </w:tcPr>
                <w:p w14:paraId="7E54C5B5">
                  <w:pPr>
                    <w:jc w:val="center"/>
                    <w:rPr>
                      <w:sz w:val="21"/>
                      <w:szCs w:val="21"/>
                    </w:rPr>
                  </w:pPr>
                  <w:r>
                    <w:rPr>
                      <w:rFonts w:hint="eastAsia"/>
                      <w:sz w:val="21"/>
                      <w:szCs w:val="21"/>
                    </w:rPr>
                    <w:t>相符</w:t>
                  </w:r>
                </w:p>
              </w:tc>
            </w:tr>
            <w:tr w14:paraId="306D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2BFFF3F7">
                  <w:pPr>
                    <w:jc w:val="center"/>
                    <w:rPr>
                      <w:sz w:val="21"/>
                      <w:szCs w:val="21"/>
                    </w:rPr>
                  </w:pPr>
                  <w:r>
                    <w:rPr>
                      <w:rFonts w:hint="eastAsia"/>
                      <w:sz w:val="21"/>
                      <w:szCs w:val="21"/>
                    </w:rPr>
                    <w:t>四</w:t>
                  </w:r>
                </w:p>
              </w:tc>
              <w:tc>
                <w:tcPr>
                  <w:tcW w:w="4610" w:type="pct"/>
                  <w:gridSpan w:val="3"/>
                  <w:vAlign w:val="center"/>
                </w:tcPr>
                <w:p w14:paraId="153F174F">
                  <w:pPr>
                    <w:jc w:val="center"/>
                    <w:rPr>
                      <w:sz w:val="21"/>
                      <w:szCs w:val="21"/>
                    </w:rPr>
                  </w:pPr>
                  <w:r>
                    <w:rPr>
                      <w:sz w:val="21"/>
                      <w:szCs w:val="21"/>
                    </w:rPr>
                    <w:t>运行管理与风险防范</w:t>
                  </w:r>
                </w:p>
              </w:tc>
            </w:tr>
            <w:tr w14:paraId="4B35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06A6D6DD">
                  <w:pPr>
                    <w:jc w:val="center"/>
                    <w:rPr>
                      <w:sz w:val="21"/>
                      <w:szCs w:val="21"/>
                    </w:rPr>
                  </w:pPr>
                  <w:r>
                    <w:rPr>
                      <w:rFonts w:hint="eastAsia"/>
                      <w:sz w:val="21"/>
                      <w:szCs w:val="21"/>
                    </w:rPr>
                    <w:t>1</w:t>
                  </w:r>
                </w:p>
              </w:tc>
              <w:tc>
                <w:tcPr>
                  <w:tcW w:w="1991" w:type="pct"/>
                  <w:vAlign w:val="center"/>
                </w:tcPr>
                <w:p w14:paraId="498D8E90">
                  <w:pPr>
                    <w:jc w:val="center"/>
                    <w:rPr>
                      <w:sz w:val="21"/>
                      <w:szCs w:val="21"/>
                    </w:rPr>
                  </w:pPr>
                  <w:r>
                    <w:rPr>
                      <w:sz w:val="21"/>
                      <w:szCs w:val="21"/>
                    </w:rPr>
                    <w:t>油气田企业应制定环境保护管理规定，建立并运行健康、安全与环境管理体系。</w:t>
                  </w:r>
                </w:p>
              </w:tc>
              <w:tc>
                <w:tcPr>
                  <w:tcW w:w="1933" w:type="pct"/>
                  <w:vAlign w:val="center"/>
                </w:tcPr>
                <w:p w14:paraId="56A2FF94">
                  <w:pPr>
                    <w:jc w:val="center"/>
                    <w:rPr>
                      <w:sz w:val="21"/>
                      <w:szCs w:val="21"/>
                    </w:rPr>
                  </w:pPr>
                  <w:r>
                    <w:rPr>
                      <w:sz w:val="21"/>
                      <w:szCs w:val="21"/>
                    </w:rPr>
                    <w:t>本项目建设单位制定有完善的环境保护管理规定，并建立运行健康</w:t>
                  </w:r>
                  <w:r>
                    <w:rPr>
                      <w:rFonts w:hint="eastAsia"/>
                      <w:sz w:val="21"/>
                      <w:szCs w:val="21"/>
                    </w:rPr>
                    <w:t>、</w:t>
                  </w:r>
                  <w:r>
                    <w:rPr>
                      <w:sz w:val="21"/>
                      <w:szCs w:val="21"/>
                    </w:rPr>
                    <w:t>安全与环境管理体系。</w:t>
                  </w:r>
                </w:p>
              </w:tc>
              <w:tc>
                <w:tcPr>
                  <w:tcW w:w="686" w:type="pct"/>
                  <w:vAlign w:val="center"/>
                </w:tcPr>
                <w:p w14:paraId="4633C5BB">
                  <w:pPr>
                    <w:jc w:val="center"/>
                    <w:rPr>
                      <w:sz w:val="21"/>
                      <w:szCs w:val="21"/>
                    </w:rPr>
                  </w:pPr>
                  <w:r>
                    <w:rPr>
                      <w:rFonts w:hint="eastAsia"/>
                      <w:sz w:val="21"/>
                      <w:szCs w:val="21"/>
                    </w:rPr>
                    <w:t>相符</w:t>
                  </w:r>
                </w:p>
              </w:tc>
            </w:tr>
            <w:tr w14:paraId="335B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5990ABFE">
                  <w:pPr>
                    <w:jc w:val="center"/>
                    <w:rPr>
                      <w:sz w:val="21"/>
                      <w:szCs w:val="21"/>
                    </w:rPr>
                  </w:pPr>
                  <w:r>
                    <w:rPr>
                      <w:rFonts w:hint="eastAsia"/>
                      <w:sz w:val="21"/>
                      <w:szCs w:val="21"/>
                    </w:rPr>
                    <w:t>2</w:t>
                  </w:r>
                </w:p>
              </w:tc>
              <w:tc>
                <w:tcPr>
                  <w:tcW w:w="1991" w:type="pct"/>
                  <w:vAlign w:val="center"/>
                </w:tcPr>
                <w:p w14:paraId="1E231208">
                  <w:pPr>
                    <w:jc w:val="center"/>
                    <w:rPr>
                      <w:sz w:val="21"/>
                      <w:szCs w:val="21"/>
                    </w:rPr>
                  </w:pPr>
                  <w:r>
                    <w:rPr>
                      <w:sz w:val="21"/>
                      <w:szCs w:val="21"/>
                    </w:rPr>
                    <w:t>在开发过程中，企业应加强油气井套管的检测和维护，防止油气泄漏污染地下水。</w:t>
                  </w:r>
                </w:p>
              </w:tc>
              <w:tc>
                <w:tcPr>
                  <w:tcW w:w="1933" w:type="pct"/>
                  <w:vAlign w:val="center"/>
                </w:tcPr>
                <w:p w14:paraId="42777FD1">
                  <w:pPr>
                    <w:jc w:val="center"/>
                    <w:rPr>
                      <w:sz w:val="21"/>
                      <w:szCs w:val="21"/>
                    </w:rPr>
                  </w:pPr>
                  <w:r>
                    <w:rPr>
                      <w:sz w:val="21"/>
                      <w:szCs w:val="21"/>
                    </w:rPr>
                    <w:t>本项目制定有完善的套管监测维护计划和制度，防止</w:t>
                  </w:r>
                  <w:r>
                    <w:rPr>
                      <w:rFonts w:hint="eastAsia"/>
                      <w:sz w:val="21"/>
                      <w:szCs w:val="21"/>
                    </w:rPr>
                    <w:t>页岩气</w:t>
                  </w:r>
                  <w:r>
                    <w:rPr>
                      <w:sz w:val="21"/>
                      <w:szCs w:val="21"/>
                    </w:rPr>
                    <w:t>、钻井液等泄露污染地下水。</w:t>
                  </w:r>
                </w:p>
              </w:tc>
              <w:tc>
                <w:tcPr>
                  <w:tcW w:w="686" w:type="pct"/>
                  <w:vAlign w:val="center"/>
                </w:tcPr>
                <w:p w14:paraId="7D6F56A1">
                  <w:pPr>
                    <w:jc w:val="center"/>
                    <w:rPr>
                      <w:sz w:val="21"/>
                      <w:szCs w:val="21"/>
                    </w:rPr>
                  </w:pPr>
                  <w:r>
                    <w:rPr>
                      <w:rFonts w:hint="eastAsia"/>
                      <w:sz w:val="21"/>
                      <w:szCs w:val="21"/>
                    </w:rPr>
                    <w:t>相符</w:t>
                  </w:r>
                </w:p>
              </w:tc>
            </w:tr>
            <w:tr w14:paraId="79A8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527D875C">
                  <w:pPr>
                    <w:jc w:val="center"/>
                    <w:rPr>
                      <w:sz w:val="21"/>
                      <w:szCs w:val="21"/>
                    </w:rPr>
                  </w:pPr>
                  <w:r>
                    <w:rPr>
                      <w:rFonts w:hint="eastAsia"/>
                      <w:sz w:val="21"/>
                      <w:szCs w:val="21"/>
                    </w:rPr>
                    <w:t>3</w:t>
                  </w:r>
                </w:p>
              </w:tc>
              <w:tc>
                <w:tcPr>
                  <w:tcW w:w="1991" w:type="pct"/>
                  <w:vAlign w:val="center"/>
                </w:tcPr>
                <w:p w14:paraId="34BEAA97">
                  <w:pPr>
                    <w:jc w:val="center"/>
                    <w:rPr>
                      <w:sz w:val="21"/>
                      <w:szCs w:val="21"/>
                    </w:rPr>
                  </w:pPr>
                  <w:r>
                    <w:rPr>
                      <w:sz w:val="21"/>
                      <w:szCs w:val="21"/>
                    </w:rPr>
                    <w:t>油气田企业应建立环境保护人员培训制度，环境监测人员、统计人员、污染治理设施操作人员应经培训合格后上岗。</w:t>
                  </w:r>
                </w:p>
              </w:tc>
              <w:tc>
                <w:tcPr>
                  <w:tcW w:w="1933" w:type="pct"/>
                  <w:vAlign w:val="center"/>
                </w:tcPr>
                <w:p w14:paraId="11A3385A">
                  <w:pPr>
                    <w:jc w:val="center"/>
                    <w:rPr>
                      <w:sz w:val="21"/>
                      <w:szCs w:val="21"/>
                    </w:rPr>
                  </w:pPr>
                  <w:r>
                    <w:rPr>
                      <w:sz w:val="21"/>
                      <w:szCs w:val="21"/>
                    </w:rPr>
                    <w:t>建设单位设置有专门的环境管理部门，并制定有完善的环境管理制度和培训制度。</w:t>
                  </w:r>
                </w:p>
              </w:tc>
              <w:tc>
                <w:tcPr>
                  <w:tcW w:w="686" w:type="pct"/>
                  <w:vAlign w:val="center"/>
                </w:tcPr>
                <w:p w14:paraId="3DB591D6">
                  <w:pPr>
                    <w:jc w:val="center"/>
                    <w:rPr>
                      <w:sz w:val="21"/>
                      <w:szCs w:val="21"/>
                    </w:rPr>
                  </w:pPr>
                  <w:r>
                    <w:rPr>
                      <w:rFonts w:hint="eastAsia"/>
                      <w:sz w:val="21"/>
                      <w:szCs w:val="21"/>
                    </w:rPr>
                    <w:t>相符</w:t>
                  </w:r>
                </w:p>
              </w:tc>
            </w:tr>
            <w:tr w14:paraId="0C1A8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9" w:type="pct"/>
                  <w:vAlign w:val="center"/>
                </w:tcPr>
                <w:p w14:paraId="55344F51">
                  <w:pPr>
                    <w:jc w:val="center"/>
                    <w:rPr>
                      <w:sz w:val="21"/>
                      <w:szCs w:val="21"/>
                    </w:rPr>
                  </w:pPr>
                  <w:r>
                    <w:rPr>
                      <w:rFonts w:hint="eastAsia"/>
                      <w:sz w:val="21"/>
                      <w:szCs w:val="21"/>
                    </w:rPr>
                    <w:t>4</w:t>
                  </w:r>
                </w:p>
              </w:tc>
              <w:tc>
                <w:tcPr>
                  <w:tcW w:w="1991" w:type="pct"/>
                  <w:vAlign w:val="center"/>
                </w:tcPr>
                <w:p w14:paraId="52D3AEC4">
                  <w:pPr>
                    <w:jc w:val="center"/>
                    <w:rPr>
                      <w:sz w:val="21"/>
                      <w:szCs w:val="21"/>
                    </w:rPr>
                  </w:pPr>
                  <w:r>
                    <w:rPr>
                      <w:sz w:val="21"/>
                      <w:szCs w:val="21"/>
                    </w:rPr>
                    <w:t>油气田企业应对勘探开发过程进行环境风险因素识别，制定突发环境事件应急预案并定期进行演练。应开展特征污染物监测工作，采取环境风险防范和应急措施，防止发生由突发性油气泄漏产生的环境事故。</w:t>
                  </w:r>
                </w:p>
              </w:tc>
              <w:tc>
                <w:tcPr>
                  <w:tcW w:w="1933" w:type="pct"/>
                  <w:vAlign w:val="center"/>
                </w:tcPr>
                <w:p w14:paraId="1DE474F7">
                  <w:pPr>
                    <w:jc w:val="center"/>
                    <w:rPr>
                      <w:sz w:val="21"/>
                      <w:szCs w:val="21"/>
                    </w:rPr>
                  </w:pPr>
                  <w:r>
                    <w:rPr>
                      <w:sz w:val="21"/>
                      <w:szCs w:val="21"/>
                    </w:rPr>
                    <w:t>本项目建设单位对钻井工程</w:t>
                  </w:r>
                  <w:r>
                    <w:rPr>
                      <w:rFonts w:hint="eastAsia"/>
                      <w:sz w:val="21"/>
                      <w:szCs w:val="21"/>
                    </w:rPr>
                    <w:t>应该制定</w:t>
                  </w:r>
                  <w:r>
                    <w:rPr>
                      <w:sz w:val="21"/>
                      <w:szCs w:val="21"/>
                    </w:rPr>
                    <w:t>突发环境事件应急预案，并定期举行演练。在井场周边设置有事故监测点，实时监测危险因</w:t>
                  </w:r>
                  <w:r>
                    <w:rPr>
                      <w:rFonts w:hint="eastAsia"/>
                      <w:sz w:val="21"/>
                      <w:szCs w:val="21"/>
                    </w:rPr>
                    <w:t>子</w:t>
                  </w:r>
                  <w:r>
                    <w:rPr>
                      <w:sz w:val="21"/>
                      <w:szCs w:val="21"/>
                    </w:rPr>
                    <w:t>。</w:t>
                  </w:r>
                </w:p>
              </w:tc>
              <w:tc>
                <w:tcPr>
                  <w:tcW w:w="686" w:type="pct"/>
                  <w:vAlign w:val="center"/>
                </w:tcPr>
                <w:p w14:paraId="6067E073">
                  <w:pPr>
                    <w:jc w:val="center"/>
                    <w:rPr>
                      <w:sz w:val="21"/>
                      <w:szCs w:val="21"/>
                    </w:rPr>
                  </w:pPr>
                  <w:r>
                    <w:rPr>
                      <w:rFonts w:hint="eastAsia"/>
                      <w:sz w:val="21"/>
                      <w:szCs w:val="21"/>
                    </w:rPr>
                    <w:t>相符</w:t>
                  </w:r>
                </w:p>
              </w:tc>
            </w:tr>
          </w:tbl>
          <w:p w14:paraId="7101BE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根据上述对比分析，项目符合</w:t>
            </w:r>
            <w:r>
              <w:t>《石油天然气开采业污染防治技术政策》</w:t>
            </w:r>
            <w:r>
              <w:rPr>
                <w:rFonts w:hint="eastAsia"/>
              </w:rPr>
              <w:t>的相关要求。</w:t>
            </w:r>
          </w:p>
          <w:p w14:paraId="6B02D9D4">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5、与《关于进一步加强石油天然气行业环境影响评价管理的通知》（以下简称通知）（环办环评函〔2019〕910号）符合性分析</w:t>
            </w:r>
          </w:p>
          <w:p w14:paraId="676B7BF2">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5.1环评形式符合性</w:t>
            </w:r>
          </w:p>
          <w:p w14:paraId="217EDC5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关于进一步加强石油天然气行业环境影响评价管理的通知》(环办环评函〔2019〕910号)，“（五）未确定产能建设规模的陆地油气开采新区块，建设探井应当依法编制环境影响报告表。勘探井转为生产井的，可以纳入区块环评。自2021年1月1日起，原则上不以单井形式开展环评。过渡期间，项目建设单位可以根据实际情况，报批区块环评或单井环评。”</w:t>
            </w:r>
          </w:p>
          <w:p w14:paraId="1AD7BE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根据生态环境部对《通知》的问答中明确：对尚未确定产能建设规模的，勘探井或勘探工程仍按照既定要求开展环评。确定产能建设规模后，原则上不得以勘探名义继续开展单井环评，避免单井的重复环评。</w:t>
            </w:r>
          </w:p>
          <w:p w14:paraId="61C2D6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本项目建设单位广西页岩气勘探开发有限公司已与广西柳州发电有限责任公司签订矿权委托协议，见</w:t>
            </w:r>
            <w:r>
              <w:rPr>
                <w:rFonts w:hint="eastAsia"/>
                <w:b/>
                <w:bCs/>
              </w:rPr>
              <w:t>附件3</w:t>
            </w:r>
            <w:r>
              <w:rPr>
                <w:rFonts w:hint="eastAsia"/>
              </w:rPr>
              <w:t>，根据协议“广西柳州发电有限责任公司委托广西页岩气勘探开发有限公司作为管理机构，负责广西柳城北区块页岩气勘查项目勘探开发管理工作”。广西柳州发电有限责任公司在柳城县、融水县、融安县境内未确定页岩气产能规模的页岩气勘探工程，以上区域布设的均为广西柳州发电有限责任公司规划的新的页岩气区块。本工程为页岩气钻井工程，</w:t>
            </w:r>
            <w:r>
              <w:rPr>
                <w:rFonts w:hint="eastAsia"/>
                <w:lang w:val="en-US" w:eastAsia="zh-CN"/>
              </w:rPr>
              <w:t>为</w:t>
            </w:r>
            <w:r>
              <w:rPr>
                <w:rFonts w:hint="eastAsia"/>
              </w:rPr>
              <w:t>未确定产能建设规模的陆地油气开采新区块</w:t>
            </w:r>
            <w:r>
              <w:rPr>
                <w:rFonts w:hint="eastAsia"/>
                <w:lang w:eastAsia="zh-CN"/>
              </w:rPr>
              <w:t>，</w:t>
            </w:r>
            <w:r>
              <w:rPr>
                <w:rFonts w:hint="eastAsia"/>
                <w:lang w:val="en-US" w:eastAsia="zh-CN"/>
              </w:rPr>
              <w:t>新增5口</w:t>
            </w:r>
            <w:r>
              <w:rPr>
                <w:rFonts w:hint="eastAsia"/>
              </w:rPr>
              <w:t>勘探井</w:t>
            </w:r>
            <w:r>
              <w:rPr>
                <w:rFonts w:hint="eastAsia"/>
                <w:lang w:val="en-US" w:eastAsia="zh-CN"/>
              </w:rPr>
              <w:t>探明产能</w:t>
            </w:r>
            <w:r>
              <w:rPr>
                <w:rFonts w:hint="eastAsia"/>
              </w:rPr>
              <w:t>，应编制环境影响报告表。</w:t>
            </w:r>
          </w:p>
          <w:p w14:paraId="0AB22D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本工程区域已取得</w:t>
            </w:r>
            <w:r>
              <w:rPr>
                <w:rFonts w:hint="eastAsia"/>
              </w:rPr>
              <w:t>中华人民共和国自然资源部授予的</w:t>
            </w:r>
            <w:r>
              <w:t>探矿许可证(证号</w:t>
            </w:r>
            <w:r>
              <w:rPr>
                <w:rFonts w:hint="eastAsia"/>
              </w:rPr>
              <w:t>：</w:t>
            </w:r>
            <w:r>
              <w:t>T1</w:t>
            </w:r>
            <w:r>
              <w:rPr>
                <w:rFonts w:hint="eastAsia"/>
              </w:rPr>
              <w:t>000002022091048001208</w:t>
            </w:r>
            <w:r>
              <w:t>)，</w:t>
            </w:r>
            <w:r>
              <w:rPr>
                <w:rFonts w:hint="eastAsia"/>
              </w:rPr>
              <w:t>为</w:t>
            </w:r>
            <w:r>
              <w:t>未确定产能建设规模的</w:t>
            </w:r>
            <w:r>
              <w:rPr>
                <w:rFonts w:hint="eastAsia"/>
              </w:rPr>
              <w:t>页岩气勘查</w:t>
            </w:r>
            <w:r>
              <w:t>区块。故本工程不属于新区块开发和滚动开发项目。</w:t>
            </w:r>
          </w:p>
          <w:p w14:paraId="708A1C0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5.2</w:t>
            </w:r>
            <w:r>
              <w:rPr>
                <w:b/>
                <w:bCs/>
              </w:rPr>
              <w:t>项目与《关于进一步加强石油天然气行业环境影响评价管理的通知》</w:t>
            </w:r>
            <w:r>
              <w:rPr>
                <w:rFonts w:hint="eastAsia"/>
                <w:b/>
                <w:bCs/>
              </w:rPr>
              <w:t>相符性分析</w:t>
            </w:r>
          </w:p>
          <w:p w14:paraId="7D619C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表1-4 项目与《关于进一步加强石油天然气行业环境影响评价管理的通知》对比情况表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2722"/>
              <w:gridCol w:w="2529"/>
              <w:gridCol w:w="856"/>
            </w:tblGrid>
            <w:tr w14:paraId="69DED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24B2F75F">
                  <w:pPr>
                    <w:jc w:val="center"/>
                    <w:rPr>
                      <w:b/>
                      <w:bCs/>
                      <w:color w:val="auto"/>
                      <w:sz w:val="21"/>
                      <w:szCs w:val="21"/>
                    </w:rPr>
                  </w:pPr>
                  <w:r>
                    <w:rPr>
                      <w:rFonts w:hint="eastAsia"/>
                      <w:b/>
                      <w:bCs/>
                      <w:color w:val="auto"/>
                      <w:sz w:val="21"/>
                      <w:szCs w:val="21"/>
                    </w:rPr>
                    <w:t>序号</w:t>
                  </w:r>
                </w:p>
              </w:tc>
              <w:tc>
                <w:tcPr>
                  <w:tcW w:w="2009" w:type="pct"/>
                  <w:vAlign w:val="center"/>
                </w:tcPr>
                <w:p w14:paraId="00C8C810">
                  <w:pPr>
                    <w:jc w:val="center"/>
                    <w:rPr>
                      <w:b/>
                      <w:bCs/>
                      <w:color w:val="auto"/>
                      <w:sz w:val="21"/>
                      <w:szCs w:val="21"/>
                    </w:rPr>
                  </w:pPr>
                  <w:r>
                    <w:rPr>
                      <w:rFonts w:hint="eastAsia"/>
                      <w:b/>
                      <w:bCs/>
                      <w:color w:val="auto"/>
                      <w:sz w:val="21"/>
                      <w:szCs w:val="21"/>
                    </w:rPr>
                    <w:t>通知要求的措施</w:t>
                  </w:r>
                </w:p>
              </w:tc>
              <w:tc>
                <w:tcPr>
                  <w:tcW w:w="1867" w:type="pct"/>
                  <w:vAlign w:val="center"/>
                </w:tcPr>
                <w:p w14:paraId="31AFCB68">
                  <w:pPr>
                    <w:jc w:val="center"/>
                    <w:rPr>
                      <w:b/>
                      <w:bCs/>
                      <w:color w:val="auto"/>
                      <w:sz w:val="21"/>
                      <w:szCs w:val="21"/>
                    </w:rPr>
                  </w:pPr>
                  <w:r>
                    <w:rPr>
                      <w:rFonts w:hint="eastAsia"/>
                      <w:b/>
                      <w:bCs/>
                      <w:color w:val="auto"/>
                      <w:sz w:val="21"/>
                      <w:szCs w:val="21"/>
                    </w:rPr>
                    <w:t>本项目情况</w:t>
                  </w:r>
                </w:p>
              </w:tc>
              <w:tc>
                <w:tcPr>
                  <w:tcW w:w="632" w:type="pct"/>
                  <w:vAlign w:val="center"/>
                </w:tcPr>
                <w:p w14:paraId="401B1419">
                  <w:pPr>
                    <w:jc w:val="center"/>
                    <w:rPr>
                      <w:b/>
                      <w:bCs/>
                      <w:color w:val="auto"/>
                      <w:sz w:val="21"/>
                      <w:szCs w:val="21"/>
                    </w:rPr>
                  </w:pPr>
                  <w:r>
                    <w:rPr>
                      <w:rFonts w:hint="eastAsia"/>
                      <w:b/>
                      <w:bCs/>
                      <w:color w:val="auto"/>
                      <w:sz w:val="21"/>
                      <w:szCs w:val="21"/>
                    </w:rPr>
                    <w:t>相符性</w:t>
                  </w:r>
                </w:p>
              </w:tc>
            </w:tr>
            <w:tr w14:paraId="2445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24935988">
                  <w:pPr>
                    <w:jc w:val="center"/>
                    <w:rPr>
                      <w:color w:val="auto"/>
                      <w:sz w:val="21"/>
                      <w:szCs w:val="21"/>
                    </w:rPr>
                  </w:pPr>
                  <w:r>
                    <w:rPr>
                      <w:rFonts w:hint="eastAsia"/>
                      <w:color w:val="auto"/>
                      <w:sz w:val="21"/>
                      <w:szCs w:val="21"/>
                    </w:rPr>
                    <w:t>1</w:t>
                  </w:r>
                </w:p>
              </w:tc>
              <w:tc>
                <w:tcPr>
                  <w:tcW w:w="2009" w:type="pct"/>
                  <w:vAlign w:val="center"/>
                </w:tcPr>
                <w:p w14:paraId="43DE8335">
                  <w:pPr>
                    <w:jc w:val="center"/>
                    <w:rPr>
                      <w:color w:val="auto"/>
                      <w:sz w:val="21"/>
                      <w:szCs w:val="21"/>
                    </w:rPr>
                  </w:pPr>
                  <w:r>
                    <w:rPr>
                      <w:color w:val="auto"/>
                      <w:sz w:val="21"/>
                      <w:szCs w:val="21"/>
                    </w:rPr>
                    <w:t>项目环评应当深入评价项目建设、运营带来的环境影响和环境风险，提出有效的生态环境保护和环境风险防范措施。</w:t>
                  </w:r>
                </w:p>
              </w:tc>
              <w:tc>
                <w:tcPr>
                  <w:tcW w:w="1867" w:type="pct"/>
                  <w:vAlign w:val="center"/>
                </w:tcPr>
                <w:p w14:paraId="4A5C6910">
                  <w:pPr>
                    <w:jc w:val="center"/>
                    <w:rPr>
                      <w:color w:val="auto"/>
                      <w:sz w:val="21"/>
                      <w:szCs w:val="21"/>
                    </w:rPr>
                  </w:pPr>
                  <w:r>
                    <w:rPr>
                      <w:color w:val="auto"/>
                      <w:sz w:val="21"/>
                      <w:szCs w:val="21"/>
                    </w:rPr>
                    <w:t>本项目对施工等过程可能带来的环境影响和环境风险进行了评价，提出了相应的环境保护和环境风险防范措施。</w:t>
                  </w:r>
                </w:p>
              </w:tc>
              <w:tc>
                <w:tcPr>
                  <w:tcW w:w="632" w:type="pct"/>
                  <w:vAlign w:val="center"/>
                </w:tcPr>
                <w:p w14:paraId="5637585D">
                  <w:pPr>
                    <w:jc w:val="center"/>
                    <w:rPr>
                      <w:color w:val="auto"/>
                      <w:sz w:val="21"/>
                      <w:szCs w:val="21"/>
                    </w:rPr>
                  </w:pPr>
                  <w:r>
                    <w:rPr>
                      <w:rFonts w:hint="eastAsia"/>
                      <w:color w:val="auto"/>
                      <w:sz w:val="21"/>
                      <w:szCs w:val="21"/>
                    </w:rPr>
                    <w:t>相符</w:t>
                  </w:r>
                </w:p>
              </w:tc>
            </w:tr>
            <w:tr w14:paraId="1E7E5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231F08EE">
                  <w:pPr>
                    <w:jc w:val="center"/>
                    <w:rPr>
                      <w:color w:val="auto"/>
                      <w:sz w:val="21"/>
                      <w:szCs w:val="21"/>
                    </w:rPr>
                  </w:pPr>
                  <w:r>
                    <w:rPr>
                      <w:rFonts w:hint="eastAsia"/>
                      <w:color w:val="auto"/>
                      <w:sz w:val="21"/>
                      <w:szCs w:val="21"/>
                    </w:rPr>
                    <w:t>2</w:t>
                  </w:r>
                </w:p>
              </w:tc>
              <w:tc>
                <w:tcPr>
                  <w:tcW w:w="2009" w:type="pct"/>
                  <w:vAlign w:val="center"/>
                </w:tcPr>
                <w:p w14:paraId="78A6499B">
                  <w:pPr>
                    <w:jc w:val="center"/>
                    <w:rPr>
                      <w:color w:val="auto"/>
                      <w:sz w:val="21"/>
                      <w:szCs w:val="21"/>
                    </w:rPr>
                  </w:pPr>
                  <w:r>
                    <w:rPr>
                      <w:color w:val="auto"/>
                      <w:sz w:val="21"/>
                      <w:szCs w:val="21"/>
                    </w:rPr>
                    <w:t>未确定产能建设规模的陆地油气开采新区块，建设勘探井应当依法编制环境影响报告表。</w:t>
                  </w:r>
                </w:p>
              </w:tc>
              <w:tc>
                <w:tcPr>
                  <w:tcW w:w="1867" w:type="pct"/>
                  <w:vAlign w:val="center"/>
                </w:tcPr>
                <w:p w14:paraId="1E62B386">
                  <w:pPr>
                    <w:jc w:val="center"/>
                    <w:rPr>
                      <w:color w:val="auto"/>
                      <w:sz w:val="21"/>
                      <w:szCs w:val="21"/>
                    </w:rPr>
                  </w:pPr>
                  <w:r>
                    <w:rPr>
                      <w:color w:val="auto"/>
                      <w:sz w:val="21"/>
                      <w:szCs w:val="21"/>
                    </w:rPr>
                    <w:t>本项目属于勘探井，未确定产能建设规模，本次依法开展环境影响评价工作</w:t>
                  </w:r>
                  <w:r>
                    <w:rPr>
                      <w:rFonts w:hint="eastAsia"/>
                      <w:color w:val="auto"/>
                      <w:sz w:val="21"/>
                      <w:szCs w:val="21"/>
                    </w:rPr>
                    <w:t>。</w:t>
                  </w:r>
                </w:p>
              </w:tc>
              <w:tc>
                <w:tcPr>
                  <w:tcW w:w="632" w:type="pct"/>
                  <w:vAlign w:val="center"/>
                </w:tcPr>
                <w:p w14:paraId="4B8DEB07">
                  <w:pPr>
                    <w:jc w:val="center"/>
                    <w:rPr>
                      <w:color w:val="auto"/>
                      <w:sz w:val="21"/>
                      <w:szCs w:val="21"/>
                    </w:rPr>
                  </w:pPr>
                  <w:r>
                    <w:rPr>
                      <w:rFonts w:hint="eastAsia"/>
                      <w:color w:val="auto"/>
                      <w:sz w:val="21"/>
                      <w:szCs w:val="21"/>
                    </w:rPr>
                    <w:t>相符</w:t>
                  </w:r>
                </w:p>
              </w:tc>
            </w:tr>
            <w:tr w14:paraId="1EEC1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6F469A9B">
                  <w:pPr>
                    <w:jc w:val="center"/>
                    <w:rPr>
                      <w:color w:val="auto"/>
                      <w:sz w:val="21"/>
                      <w:szCs w:val="21"/>
                    </w:rPr>
                  </w:pPr>
                  <w:r>
                    <w:rPr>
                      <w:rFonts w:hint="eastAsia"/>
                      <w:color w:val="auto"/>
                      <w:sz w:val="21"/>
                      <w:szCs w:val="21"/>
                    </w:rPr>
                    <w:t>3</w:t>
                  </w:r>
                </w:p>
              </w:tc>
              <w:tc>
                <w:tcPr>
                  <w:tcW w:w="2009" w:type="pct"/>
                  <w:vAlign w:val="center"/>
                </w:tcPr>
                <w:p w14:paraId="02A612D1">
                  <w:pPr>
                    <w:jc w:val="center"/>
                    <w:rPr>
                      <w:color w:val="auto"/>
                      <w:sz w:val="21"/>
                      <w:szCs w:val="21"/>
                    </w:rPr>
                  </w:pPr>
                  <w:r>
                    <w:rPr>
                      <w:color w:val="auto"/>
                      <w:sz w:val="21"/>
                      <w:szCs w:val="21"/>
                    </w:rPr>
                    <w:t>依托其他防治设施的或者委托第三方处置的，应当论证其可行性和有效性。</w:t>
                  </w:r>
                </w:p>
              </w:tc>
              <w:tc>
                <w:tcPr>
                  <w:tcW w:w="1867" w:type="pct"/>
                  <w:vAlign w:val="center"/>
                </w:tcPr>
                <w:p w14:paraId="382C7B9F">
                  <w:pPr>
                    <w:jc w:val="center"/>
                    <w:rPr>
                      <w:color w:val="auto"/>
                      <w:sz w:val="21"/>
                      <w:szCs w:val="21"/>
                    </w:rPr>
                  </w:pPr>
                  <w:r>
                    <w:rPr>
                      <w:rFonts w:hint="eastAsia"/>
                      <w:color w:val="auto"/>
                      <w:sz w:val="21"/>
                      <w:szCs w:val="21"/>
                    </w:rPr>
                    <w:t>本项目在开工前与污水处理单位签订协议，污水由有专业、有资质的环保车辆拉运至能有效处置污水的处理单位进行处理。</w:t>
                  </w:r>
                </w:p>
              </w:tc>
              <w:tc>
                <w:tcPr>
                  <w:tcW w:w="632" w:type="pct"/>
                  <w:vAlign w:val="center"/>
                </w:tcPr>
                <w:p w14:paraId="1D8F563D">
                  <w:pPr>
                    <w:jc w:val="center"/>
                    <w:rPr>
                      <w:color w:val="auto"/>
                      <w:sz w:val="21"/>
                      <w:szCs w:val="21"/>
                    </w:rPr>
                  </w:pPr>
                  <w:r>
                    <w:rPr>
                      <w:rFonts w:hint="eastAsia"/>
                      <w:color w:val="auto"/>
                      <w:sz w:val="21"/>
                      <w:szCs w:val="21"/>
                    </w:rPr>
                    <w:t>相符</w:t>
                  </w:r>
                </w:p>
              </w:tc>
            </w:tr>
            <w:tr w14:paraId="52D0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61B94360">
                  <w:pPr>
                    <w:jc w:val="center"/>
                    <w:rPr>
                      <w:color w:val="auto"/>
                      <w:sz w:val="21"/>
                      <w:szCs w:val="21"/>
                    </w:rPr>
                  </w:pPr>
                  <w:r>
                    <w:rPr>
                      <w:rFonts w:hint="eastAsia"/>
                      <w:color w:val="auto"/>
                      <w:sz w:val="21"/>
                      <w:szCs w:val="21"/>
                    </w:rPr>
                    <w:t>4</w:t>
                  </w:r>
                </w:p>
              </w:tc>
              <w:tc>
                <w:tcPr>
                  <w:tcW w:w="2009" w:type="pct"/>
                  <w:vAlign w:val="center"/>
                </w:tcPr>
                <w:p w14:paraId="1B5AB5CF">
                  <w:pPr>
                    <w:jc w:val="center"/>
                    <w:rPr>
                      <w:color w:val="auto"/>
                      <w:sz w:val="21"/>
                      <w:szCs w:val="21"/>
                    </w:rPr>
                  </w:pPr>
                  <w:r>
                    <w:rPr>
                      <w:rFonts w:hint="eastAsia"/>
                      <w:color w:val="auto"/>
                      <w:sz w:val="21"/>
                      <w:szCs w:val="21"/>
                    </w:rPr>
                    <w:t>涉及向地表水体排放污染物的陆地油气开采项目，应当符合国家和地方污染物排放标准，满足重点污染物排放总量控制要求。</w:t>
                  </w:r>
                </w:p>
              </w:tc>
              <w:tc>
                <w:tcPr>
                  <w:tcW w:w="1867" w:type="pct"/>
                  <w:vAlign w:val="center"/>
                </w:tcPr>
                <w:p w14:paraId="01FD8A50">
                  <w:pPr>
                    <w:jc w:val="center"/>
                    <w:rPr>
                      <w:color w:val="auto"/>
                      <w:sz w:val="21"/>
                      <w:szCs w:val="21"/>
                    </w:rPr>
                  </w:pPr>
                  <w:r>
                    <w:rPr>
                      <w:rFonts w:hint="eastAsia"/>
                      <w:color w:val="auto"/>
                      <w:sz w:val="21"/>
                      <w:szCs w:val="21"/>
                    </w:rPr>
                    <w:t>项目施工废水大部分回用，少部分进入污水池。本项目在开工前与污水处理单位签订协议，生活污水运至有接收能力且环保手续齐备的污水处理厂（站）统一处理及排放。</w:t>
                  </w:r>
                </w:p>
              </w:tc>
              <w:tc>
                <w:tcPr>
                  <w:tcW w:w="632" w:type="pct"/>
                  <w:vAlign w:val="center"/>
                </w:tcPr>
                <w:p w14:paraId="76AFD6CE">
                  <w:pPr>
                    <w:jc w:val="center"/>
                    <w:rPr>
                      <w:color w:val="auto"/>
                      <w:sz w:val="21"/>
                      <w:szCs w:val="21"/>
                    </w:rPr>
                  </w:pPr>
                  <w:r>
                    <w:rPr>
                      <w:rFonts w:hint="eastAsia"/>
                      <w:color w:val="auto"/>
                      <w:sz w:val="21"/>
                      <w:szCs w:val="21"/>
                    </w:rPr>
                    <w:t>相符</w:t>
                  </w:r>
                </w:p>
              </w:tc>
            </w:tr>
            <w:tr w14:paraId="5241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28F467FF">
                  <w:pPr>
                    <w:jc w:val="center"/>
                    <w:rPr>
                      <w:color w:val="auto"/>
                      <w:sz w:val="21"/>
                      <w:szCs w:val="21"/>
                    </w:rPr>
                  </w:pPr>
                  <w:r>
                    <w:rPr>
                      <w:rFonts w:hint="eastAsia"/>
                      <w:color w:val="auto"/>
                      <w:sz w:val="21"/>
                      <w:szCs w:val="21"/>
                    </w:rPr>
                    <w:t>5</w:t>
                  </w:r>
                </w:p>
              </w:tc>
              <w:tc>
                <w:tcPr>
                  <w:tcW w:w="2009" w:type="pct"/>
                  <w:vAlign w:val="center"/>
                </w:tcPr>
                <w:p w14:paraId="43467C26">
                  <w:pPr>
                    <w:jc w:val="center"/>
                    <w:rPr>
                      <w:color w:val="auto"/>
                      <w:sz w:val="21"/>
                      <w:szCs w:val="21"/>
                    </w:rPr>
                  </w:pPr>
                  <w:r>
                    <w:rPr>
                      <w:color w:val="auto"/>
                      <w:sz w:val="21"/>
                      <w:szCs w:val="21"/>
                    </w:rPr>
                    <w:t>油气开采产生的废弃油基泥浆、含油钻屑及其他固体废物，应当遵循减量化、资源化、无害化原则，按照国家和地方有关固体废物的管理规定进行处置。油气开采项目产生的危险废物，应当按照《建设项目危险废物环境影响评价指南》要求评价。</w:t>
                  </w:r>
                </w:p>
              </w:tc>
              <w:tc>
                <w:tcPr>
                  <w:tcW w:w="1867" w:type="pct"/>
                  <w:vAlign w:val="center"/>
                </w:tcPr>
                <w:p w14:paraId="0215A7D5">
                  <w:pPr>
                    <w:jc w:val="center"/>
                    <w:rPr>
                      <w:color w:val="auto"/>
                      <w:sz w:val="21"/>
                      <w:szCs w:val="21"/>
                    </w:rPr>
                  </w:pPr>
                  <w:r>
                    <w:rPr>
                      <w:color w:val="auto"/>
                      <w:sz w:val="21"/>
                      <w:szCs w:val="21"/>
                    </w:rPr>
                    <w:t>项目产生的废</w:t>
                  </w:r>
                  <w:r>
                    <w:rPr>
                      <w:rFonts w:hint="eastAsia"/>
                      <w:color w:val="auto"/>
                      <w:sz w:val="21"/>
                      <w:szCs w:val="21"/>
                    </w:rPr>
                    <w:t>弃</w:t>
                  </w:r>
                  <w:r>
                    <w:rPr>
                      <w:color w:val="auto"/>
                      <w:sz w:val="21"/>
                      <w:szCs w:val="21"/>
                    </w:rPr>
                    <w:t>水基泥浆</w:t>
                  </w:r>
                  <w:r>
                    <w:rPr>
                      <w:rFonts w:hint="eastAsia"/>
                      <w:color w:val="auto"/>
                      <w:sz w:val="21"/>
                      <w:szCs w:val="21"/>
                    </w:rPr>
                    <w:t>由钻井队回收利用，</w:t>
                  </w:r>
                  <w:r>
                    <w:rPr>
                      <w:color w:val="auto"/>
                      <w:sz w:val="21"/>
                      <w:szCs w:val="21"/>
                    </w:rPr>
                    <w:t>水基岩屑外运相关单位资源化利用</w:t>
                  </w:r>
                  <w:r>
                    <w:rPr>
                      <w:rFonts w:hint="eastAsia"/>
                      <w:color w:val="auto"/>
                      <w:sz w:val="21"/>
                      <w:szCs w:val="21"/>
                    </w:rPr>
                    <w:t>。</w:t>
                  </w:r>
                  <w:r>
                    <w:rPr>
                      <w:color w:val="auto"/>
                      <w:sz w:val="21"/>
                      <w:szCs w:val="21"/>
                    </w:rPr>
                    <w:t>含油钻屑</w:t>
                  </w:r>
                  <w:r>
                    <w:rPr>
                      <w:rFonts w:hint="eastAsia"/>
                      <w:color w:val="auto"/>
                      <w:sz w:val="21"/>
                      <w:szCs w:val="21"/>
                    </w:rPr>
                    <w:t>、</w:t>
                  </w:r>
                  <w:r>
                    <w:rPr>
                      <w:color w:val="auto"/>
                      <w:sz w:val="21"/>
                      <w:szCs w:val="21"/>
                    </w:rPr>
                    <w:t>废弃油基泥浆、</w:t>
                  </w:r>
                  <w:r>
                    <w:rPr>
                      <w:rFonts w:hint="eastAsia"/>
                      <w:color w:val="auto"/>
                      <w:sz w:val="21"/>
                      <w:szCs w:val="21"/>
                    </w:rPr>
                    <w:t>废机油、废油桶、含油抹布</w:t>
                  </w:r>
                  <w:r>
                    <w:rPr>
                      <w:color w:val="auto"/>
                      <w:sz w:val="21"/>
                      <w:szCs w:val="21"/>
                    </w:rPr>
                    <w:t>交专用危废资质单位进行无害化或资源化处置。项目产生的危险废物按照《建设项目危险废物环境影响评价指南》</w:t>
                  </w:r>
                  <w:r>
                    <w:rPr>
                      <w:rFonts w:hint="eastAsia"/>
                      <w:color w:val="auto"/>
                      <w:sz w:val="21"/>
                      <w:szCs w:val="21"/>
                    </w:rPr>
                    <w:t>的</w:t>
                  </w:r>
                  <w:r>
                    <w:rPr>
                      <w:color w:val="auto"/>
                      <w:sz w:val="21"/>
                      <w:szCs w:val="21"/>
                    </w:rPr>
                    <w:t>要求开展</w:t>
                  </w:r>
                  <w:r>
                    <w:rPr>
                      <w:rFonts w:hint="eastAsia"/>
                      <w:color w:val="auto"/>
                      <w:sz w:val="21"/>
                      <w:szCs w:val="21"/>
                    </w:rPr>
                    <w:t>评价</w:t>
                  </w:r>
                  <w:r>
                    <w:rPr>
                      <w:color w:val="auto"/>
                      <w:sz w:val="21"/>
                      <w:szCs w:val="21"/>
                    </w:rPr>
                    <w:t>。</w:t>
                  </w:r>
                </w:p>
              </w:tc>
              <w:tc>
                <w:tcPr>
                  <w:tcW w:w="632" w:type="pct"/>
                  <w:vAlign w:val="center"/>
                </w:tcPr>
                <w:p w14:paraId="13D44AAF">
                  <w:pPr>
                    <w:jc w:val="center"/>
                    <w:rPr>
                      <w:color w:val="auto"/>
                      <w:sz w:val="21"/>
                      <w:szCs w:val="21"/>
                    </w:rPr>
                  </w:pPr>
                  <w:r>
                    <w:rPr>
                      <w:rFonts w:hint="eastAsia"/>
                      <w:color w:val="auto"/>
                      <w:sz w:val="21"/>
                      <w:szCs w:val="21"/>
                    </w:rPr>
                    <w:t>相符</w:t>
                  </w:r>
                </w:p>
              </w:tc>
            </w:tr>
            <w:tr w14:paraId="371DB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4074DCA0">
                  <w:pPr>
                    <w:jc w:val="center"/>
                    <w:rPr>
                      <w:color w:val="auto"/>
                      <w:sz w:val="21"/>
                      <w:szCs w:val="21"/>
                    </w:rPr>
                  </w:pPr>
                  <w:r>
                    <w:rPr>
                      <w:rFonts w:hint="eastAsia"/>
                      <w:color w:val="auto"/>
                      <w:sz w:val="21"/>
                      <w:szCs w:val="21"/>
                    </w:rPr>
                    <w:t>6</w:t>
                  </w:r>
                </w:p>
              </w:tc>
              <w:tc>
                <w:tcPr>
                  <w:tcW w:w="2009" w:type="pct"/>
                  <w:vAlign w:val="center"/>
                </w:tcPr>
                <w:p w14:paraId="5E40AF67">
                  <w:pPr>
                    <w:jc w:val="center"/>
                    <w:rPr>
                      <w:color w:val="auto"/>
                      <w:sz w:val="21"/>
                      <w:szCs w:val="21"/>
                    </w:rPr>
                  </w:pPr>
                  <w:r>
                    <w:rPr>
                      <w:color w:val="auto"/>
                      <w:sz w:val="21"/>
                      <w:szCs w:val="21"/>
                    </w:rPr>
                    <w:t>施工期应当尽量减少施工占地、缩短施工时间、选择合理施工方式、落实环境敏感区管控要求以及其他生态环境保护措施，降低生态环境影响。钻井和压裂设备应当优先使用网电、高标准清洁燃油，减少废气排放。选用低噪声设备，避免噪声扰民。施工结束后，应当及时落实环评提出的生态保护措施。</w:t>
                  </w:r>
                </w:p>
              </w:tc>
              <w:tc>
                <w:tcPr>
                  <w:tcW w:w="1867" w:type="pct"/>
                  <w:vAlign w:val="center"/>
                </w:tcPr>
                <w:p w14:paraId="7295F4FB">
                  <w:pPr>
                    <w:jc w:val="center"/>
                    <w:rPr>
                      <w:color w:val="auto"/>
                      <w:sz w:val="21"/>
                      <w:szCs w:val="21"/>
                    </w:rPr>
                  </w:pPr>
                  <w:r>
                    <w:rPr>
                      <w:color w:val="auto"/>
                      <w:sz w:val="21"/>
                      <w:szCs w:val="21"/>
                    </w:rPr>
                    <w:t>本项目合理规划占地，严格控制占地面积，加强施工期环境管理，严格控制施工作业范围；施工期间优先使用网电，高标准清洁燃油。</w:t>
                  </w:r>
                  <w:r>
                    <w:rPr>
                      <w:rFonts w:hint="eastAsia"/>
                      <w:color w:val="auto"/>
                      <w:sz w:val="21"/>
                      <w:szCs w:val="21"/>
                    </w:rPr>
                    <w:t>项目</w:t>
                  </w:r>
                  <w:r>
                    <w:rPr>
                      <w:color w:val="auto"/>
                      <w:sz w:val="21"/>
                      <w:szCs w:val="21"/>
                    </w:rPr>
                    <w:t>选用低噪声设备，</w:t>
                  </w:r>
                  <w:r>
                    <w:rPr>
                      <w:rFonts w:hint="eastAsia"/>
                      <w:color w:val="auto"/>
                      <w:sz w:val="21"/>
                      <w:szCs w:val="21"/>
                    </w:rPr>
                    <w:t>参照《建设项目环境影响报告表编制技术指南（污染类）》，本项目厂界外周边50m范围内不存在声环境保护目标，对居民影响不大</w:t>
                  </w:r>
                  <w:r>
                    <w:rPr>
                      <w:color w:val="auto"/>
                      <w:sz w:val="21"/>
                      <w:szCs w:val="21"/>
                    </w:rPr>
                    <w:t>。</w:t>
                  </w:r>
                </w:p>
              </w:tc>
              <w:tc>
                <w:tcPr>
                  <w:tcW w:w="632" w:type="pct"/>
                  <w:vAlign w:val="center"/>
                </w:tcPr>
                <w:p w14:paraId="7DE436F8">
                  <w:pPr>
                    <w:jc w:val="center"/>
                    <w:rPr>
                      <w:color w:val="auto"/>
                      <w:sz w:val="21"/>
                      <w:szCs w:val="21"/>
                    </w:rPr>
                  </w:pPr>
                  <w:r>
                    <w:rPr>
                      <w:rFonts w:hint="eastAsia"/>
                      <w:color w:val="auto"/>
                      <w:sz w:val="21"/>
                      <w:szCs w:val="21"/>
                    </w:rPr>
                    <w:t>相符</w:t>
                  </w:r>
                </w:p>
              </w:tc>
            </w:tr>
            <w:tr w14:paraId="7B09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09F37BE1">
                  <w:pPr>
                    <w:jc w:val="center"/>
                    <w:rPr>
                      <w:color w:val="auto"/>
                      <w:sz w:val="21"/>
                      <w:szCs w:val="21"/>
                    </w:rPr>
                  </w:pPr>
                  <w:r>
                    <w:rPr>
                      <w:rFonts w:hint="eastAsia"/>
                      <w:color w:val="auto"/>
                      <w:sz w:val="21"/>
                      <w:szCs w:val="21"/>
                    </w:rPr>
                    <w:t>7</w:t>
                  </w:r>
                </w:p>
              </w:tc>
              <w:tc>
                <w:tcPr>
                  <w:tcW w:w="2009" w:type="pct"/>
                  <w:vAlign w:val="center"/>
                </w:tcPr>
                <w:p w14:paraId="5CE42E38">
                  <w:pPr>
                    <w:jc w:val="center"/>
                    <w:rPr>
                      <w:color w:val="auto"/>
                      <w:sz w:val="21"/>
                      <w:szCs w:val="21"/>
                    </w:rPr>
                  </w:pPr>
                  <w:r>
                    <w:rPr>
                      <w:rFonts w:hint="eastAsia"/>
                      <w:color w:val="auto"/>
                      <w:sz w:val="21"/>
                      <w:szCs w:val="21"/>
                    </w:rPr>
                    <w:t>油气企业应当加强风险防控，按规定编制突发环境事件应急预案，报所在地生态环境主管部门备案</w:t>
                  </w:r>
                  <w:r>
                    <w:rPr>
                      <w:color w:val="auto"/>
                      <w:sz w:val="21"/>
                      <w:szCs w:val="21"/>
                    </w:rPr>
                    <w:t>。</w:t>
                  </w:r>
                </w:p>
              </w:tc>
              <w:tc>
                <w:tcPr>
                  <w:tcW w:w="1867" w:type="pct"/>
                  <w:vAlign w:val="center"/>
                </w:tcPr>
                <w:p w14:paraId="38CDFF20">
                  <w:pPr>
                    <w:jc w:val="center"/>
                    <w:rPr>
                      <w:color w:val="auto"/>
                      <w:sz w:val="21"/>
                      <w:szCs w:val="21"/>
                    </w:rPr>
                  </w:pPr>
                  <w:r>
                    <w:rPr>
                      <w:rFonts w:hint="eastAsia"/>
                      <w:color w:val="auto"/>
                      <w:sz w:val="21"/>
                      <w:szCs w:val="21"/>
                    </w:rPr>
                    <w:t>企业加强风险防控，按照规定编制突发环境事件应急预案，并在所在地生态环境主管部门备案。</w:t>
                  </w:r>
                </w:p>
              </w:tc>
              <w:tc>
                <w:tcPr>
                  <w:tcW w:w="632" w:type="pct"/>
                  <w:vAlign w:val="center"/>
                </w:tcPr>
                <w:p w14:paraId="51C12DDD">
                  <w:pPr>
                    <w:jc w:val="center"/>
                    <w:rPr>
                      <w:color w:val="auto"/>
                      <w:sz w:val="21"/>
                      <w:szCs w:val="21"/>
                    </w:rPr>
                  </w:pPr>
                  <w:r>
                    <w:rPr>
                      <w:rFonts w:hint="eastAsia"/>
                      <w:color w:val="auto"/>
                      <w:sz w:val="21"/>
                      <w:szCs w:val="21"/>
                    </w:rPr>
                    <w:t>相符</w:t>
                  </w:r>
                </w:p>
              </w:tc>
            </w:tr>
            <w:tr w14:paraId="0538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313A7620">
                  <w:pPr>
                    <w:jc w:val="center"/>
                    <w:rPr>
                      <w:color w:val="auto"/>
                      <w:sz w:val="21"/>
                      <w:szCs w:val="21"/>
                    </w:rPr>
                  </w:pPr>
                  <w:r>
                    <w:rPr>
                      <w:rFonts w:hint="eastAsia"/>
                      <w:color w:val="auto"/>
                      <w:sz w:val="21"/>
                      <w:szCs w:val="21"/>
                    </w:rPr>
                    <w:t>8</w:t>
                  </w:r>
                </w:p>
              </w:tc>
              <w:tc>
                <w:tcPr>
                  <w:tcW w:w="2009" w:type="pct"/>
                  <w:vAlign w:val="center"/>
                </w:tcPr>
                <w:p w14:paraId="2AD26618">
                  <w:pPr>
                    <w:jc w:val="center"/>
                    <w:rPr>
                      <w:color w:val="auto"/>
                      <w:sz w:val="21"/>
                      <w:szCs w:val="21"/>
                    </w:rPr>
                  </w:pPr>
                  <w:r>
                    <w:rPr>
                      <w:color w:val="auto"/>
                      <w:sz w:val="21"/>
                      <w:szCs w:val="21"/>
                    </w:rPr>
                    <w:t>油气企业应当切实落实生态环境保护主体责任，进一步健全生态环境保护管理体系和制度，充分发挥企业内部生态环境保护部门作用，健全健康、安全与环境（HSE）管理体系，加强督促检查，推动所属油气田落实规划、建设、运营、退役等环节生态环境保护措施。</w:t>
                  </w:r>
                </w:p>
              </w:tc>
              <w:tc>
                <w:tcPr>
                  <w:tcW w:w="1867" w:type="pct"/>
                  <w:vAlign w:val="center"/>
                </w:tcPr>
                <w:p w14:paraId="64A37099">
                  <w:pPr>
                    <w:jc w:val="center"/>
                    <w:rPr>
                      <w:color w:val="auto"/>
                      <w:sz w:val="21"/>
                      <w:szCs w:val="21"/>
                    </w:rPr>
                  </w:pPr>
                  <w:r>
                    <w:rPr>
                      <w:color w:val="auto"/>
                      <w:sz w:val="21"/>
                      <w:szCs w:val="21"/>
                    </w:rPr>
                    <w:t>建设单位设置有专门的环境管理部门，并制定有完善的HSE管理体系。</w:t>
                  </w:r>
                </w:p>
              </w:tc>
              <w:tc>
                <w:tcPr>
                  <w:tcW w:w="632" w:type="pct"/>
                  <w:vAlign w:val="center"/>
                </w:tcPr>
                <w:p w14:paraId="6D237B2A">
                  <w:pPr>
                    <w:jc w:val="center"/>
                    <w:rPr>
                      <w:color w:val="auto"/>
                      <w:sz w:val="21"/>
                      <w:szCs w:val="21"/>
                    </w:rPr>
                  </w:pPr>
                  <w:r>
                    <w:rPr>
                      <w:rFonts w:hint="eastAsia"/>
                      <w:color w:val="auto"/>
                      <w:sz w:val="21"/>
                      <w:szCs w:val="21"/>
                    </w:rPr>
                    <w:t>相符</w:t>
                  </w:r>
                </w:p>
              </w:tc>
            </w:tr>
            <w:tr w14:paraId="2707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752CBB33">
                  <w:pPr>
                    <w:jc w:val="center"/>
                    <w:rPr>
                      <w:color w:val="auto"/>
                      <w:sz w:val="21"/>
                      <w:szCs w:val="21"/>
                    </w:rPr>
                  </w:pPr>
                  <w:r>
                    <w:rPr>
                      <w:rFonts w:hint="eastAsia"/>
                      <w:color w:val="auto"/>
                      <w:sz w:val="21"/>
                      <w:szCs w:val="21"/>
                    </w:rPr>
                    <w:t>9</w:t>
                  </w:r>
                </w:p>
              </w:tc>
              <w:tc>
                <w:tcPr>
                  <w:tcW w:w="2009" w:type="pct"/>
                  <w:vAlign w:val="center"/>
                </w:tcPr>
                <w:p w14:paraId="50169AD9">
                  <w:pPr>
                    <w:jc w:val="center"/>
                    <w:rPr>
                      <w:color w:val="auto"/>
                      <w:sz w:val="21"/>
                      <w:szCs w:val="21"/>
                    </w:rPr>
                  </w:pPr>
                  <w:r>
                    <w:rPr>
                      <w:color w:val="auto"/>
                      <w:sz w:val="21"/>
                      <w:szCs w:val="21"/>
                    </w:rPr>
                    <w:t>工程设施退役，建设单位或生产经营单位应当按照相关要求，采取有效生态环境保护措施。同时，按照《中华人民共和国土壤污染防治法》《土壤环境质量 建设用地土壤污染风险管控标准（试行）》（GB36600）的要求，对永久停用、拆除或弃置的各类井、管道等工程设施落实封堵、土壤及地下水修复、生态修复等措施。</w:t>
                  </w:r>
                </w:p>
              </w:tc>
              <w:tc>
                <w:tcPr>
                  <w:tcW w:w="1867" w:type="pct"/>
                  <w:vAlign w:val="center"/>
                </w:tcPr>
                <w:p w14:paraId="0E3F5279">
                  <w:pPr>
                    <w:jc w:val="center"/>
                    <w:rPr>
                      <w:color w:val="auto"/>
                      <w:sz w:val="21"/>
                      <w:szCs w:val="21"/>
                    </w:rPr>
                  </w:pPr>
                  <w:r>
                    <w:rPr>
                      <w:color w:val="auto"/>
                      <w:sz w:val="21"/>
                      <w:szCs w:val="21"/>
                    </w:rPr>
                    <w:t>拟建项目在完成测井、录井、井下资料收集后，若</w:t>
                  </w:r>
                  <w:r>
                    <w:rPr>
                      <w:rFonts w:hint="eastAsia"/>
                      <w:color w:val="auto"/>
                      <w:sz w:val="21"/>
                      <w:szCs w:val="21"/>
                    </w:rPr>
                    <w:t>勘察</w:t>
                  </w:r>
                  <w:r>
                    <w:rPr>
                      <w:color w:val="auto"/>
                      <w:sz w:val="21"/>
                      <w:szCs w:val="21"/>
                    </w:rPr>
                    <w:t>井无工业开采价值，则进行封井作业，全井段注入水泥封井。建设单位按照《工矿用地土壤环境管理办法（试行）》（生态环境部令部令第3号）</w:t>
                  </w:r>
                  <w:r>
                    <w:rPr>
                      <w:rFonts w:hint="eastAsia"/>
                      <w:color w:val="auto"/>
                      <w:sz w:val="21"/>
                      <w:szCs w:val="21"/>
                    </w:rPr>
                    <w:t>在“终止生产经营活动前，应当参照污染地块土壤环境管理等有关规定，开展土壤和地下水环境初步调查，编制调查报告……”</w:t>
                  </w:r>
                  <w:r>
                    <w:rPr>
                      <w:color w:val="auto"/>
                      <w:sz w:val="21"/>
                      <w:szCs w:val="21"/>
                    </w:rPr>
                    <w:t>。同时，按照《中华人民共和国土壤污染防治法》《土壤环境质量建设用地土壤污染风险管控标准（试行）》（GB 36600）的要求，对永久停用、拆除或弃置的各类井、管道等工程设施落实封堵、土壤及地下水修复、生态修复等措施。</w:t>
                  </w:r>
                </w:p>
              </w:tc>
              <w:tc>
                <w:tcPr>
                  <w:tcW w:w="632" w:type="pct"/>
                  <w:vAlign w:val="center"/>
                </w:tcPr>
                <w:p w14:paraId="2E4BA50E">
                  <w:pPr>
                    <w:jc w:val="center"/>
                    <w:rPr>
                      <w:color w:val="auto"/>
                      <w:sz w:val="21"/>
                      <w:szCs w:val="21"/>
                    </w:rPr>
                  </w:pPr>
                  <w:r>
                    <w:rPr>
                      <w:rFonts w:hint="eastAsia"/>
                      <w:color w:val="auto"/>
                      <w:sz w:val="21"/>
                      <w:szCs w:val="21"/>
                    </w:rPr>
                    <w:t>相符</w:t>
                  </w:r>
                </w:p>
              </w:tc>
            </w:tr>
            <w:tr w14:paraId="68C5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90" w:type="pct"/>
                  <w:vAlign w:val="center"/>
                </w:tcPr>
                <w:p w14:paraId="715BB3D3">
                  <w:pPr>
                    <w:jc w:val="center"/>
                    <w:rPr>
                      <w:color w:val="auto"/>
                      <w:sz w:val="21"/>
                      <w:szCs w:val="21"/>
                    </w:rPr>
                  </w:pPr>
                  <w:r>
                    <w:rPr>
                      <w:rFonts w:hint="eastAsia"/>
                      <w:color w:val="auto"/>
                      <w:sz w:val="21"/>
                      <w:szCs w:val="21"/>
                    </w:rPr>
                    <w:t>10</w:t>
                  </w:r>
                </w:p>
              </w:tc>
              <w:tc>
                <w:tcPr>
                  <w:tcW w:w="2009" w:type="pct"/>
                  <w:vAlign w:val="center"/>
                </w:tcPr>
                <w:p w14:paraId="660E8FF9">
                  <w:pPr>
                    <w:jc w:val="center"/>
                    <w:rPr>
                      <w:color w:val="auto"/>
                      <w:sz w:val="21"/>
                      <w:szCs w:val="21"/>
                    </w:rPr>
                  </w:pPr>
                  <w:r>
                    <w:rPr>
                      <w:rFonts w:hint="eastAsia"/>
                      <w:color w:val="auto"/>
                      <w:sz w:val="21"/>
                      <w:szCs w:val="21"/>
                    </w:rPr>
                    <w:t>油气企业应按照企事业单位环境信息公开办法、环境影响评价公众参与办法等有关要求，主动公开油气开采项目环境信息，保障公众的知情权、参与权、表达权和监督权</w:t>
                  </w:r>
                  <w:r>
                    <w:rPr>
                      <w:color w:val="auto"/>
                      <w:sz w:val="21"/>
                      <w:szCs w:val="21"/>
                    </w:rPr>
                    <w:t>。</w:t>
                  </w:r>
                </w:p>
              </w:tc>
              <w:tc>
                <w:tcPr>
                  <w:tcW w:w="1867" w:type="pct"/>
                  <w:vAlign w:val="center"/>
                </w:tcPr>
                <w:p w14:paraId="57B63A11">
                  <w:pPr>
                    <w:jc w:val="center"/>
                    <w:rPr>
                      <w:color w:val="auto"/>
                      <w:sz w:val="21"/>
                      <w:szCs w:val="21"/>
                    </w:rPr>
                  </w:pPr>
                  <w:r>
                    <w:rPr>
                      <w:rFonts w:hint="eastAsia"/>
                      <w:color w:val="auto"/>
                      <w:sz w:val="21"/>
                      <w:szCs w:val="21"/>
                    </w:rPr>
                    <w:t>建设单位应设置有专门的环境管理部门，对环境信息依法进行公示。</w:t>
                  </w:r>
                </w:p>
              </w:tc>
              <w:tc>
                <w:tcPr>
                  <w:tcW w:w="632" w:type="pct"/>
                  <w:vAlign w:val="center"/>
                </w:tcPr>
                <w:p w14:paraId="04DE8CA0">
                  <w:pPr>
                    <w:jc w:val="center"/>
                    <w:rPr>
                      <w:color w:val="auto"/>
                      <w:sz w:val="21"/>
                      <w:szCs w:val="21"/>
                    </w:rPr>
                  </w:pPr>
                  <w:r>
                    <w:rPr>
                      <w:rFonts w:hint="eastAsia"/>
                      <w:color w:val="auto"/>
                      <w:sz w:val="21"/>
                      <w:szCs w:val="21"/>
                    </w:rPr>
                    <w:t>相符</w:t>
                  </w:r>
                </w:p>
              </w:tc>
            </w:tr>
          </w:tbl>
          <w:p w14:paraId="7BBB7B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根据上述对比分析，项目符合《关于进一步加强石油天然气行业环境影响评价管理的通知》（环办环评函〔2019〕910号）中生态环境保护要求。</w:t>
            </w:r>
          </w:p>
          <w:p w14:paraId="628EDB70">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7、项目与融水县“三区三线”的符合性分析</w:t>
            </w:r>
          </w:p>
          <w:p w14:paraId="1D8540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三区三线”是根据城镇空间、农业空间、生态空间三种类型的空间，分别对应划定的城镇开发边界、永久基本农田保护红线、生态保护红线三条控制线。根据融水苗族自治县自然资源和规划局出具关于《关于恳请确认广西柳城北区块页岩气桂融地4井勘探开发项目用地土地类型的函》的复函，本项目</w:t>
            </w:r>
            <w:r>
              <w:rPr>
                <w:rFonts w:hint="eastAsia"/>
                <w:lang w:val="en-US" w:eastAsia="zh-CN"/>
              </w:rPr>
              <w:t>所在区域</w:t>
            </w:r>
            <w:r>
              <w:rPr>
                <w:rFonts w:hint="eastAsia"/>
              </w:rPr>
              <w:t>不涉及占用永久基本农田，不涉及占用融水县生态环境保护红线，未涉及占用融水县城镇开发边界，见</w:t>
            </w:r>
            <w:r>
              <w:rPr>
                <w:rFonts w:hint="eastAsia"/>
                <w:b/>
                <w:bCs/>
              </w:rPr>
              <w:t>附件7</w:t>
            </w:r>
            <w:r>
              <w:rPr>
                <w:rFonts w:hint="eastAsia"/>
              </w:rPr>
              <w:t>。</w:t>
            </w:r>
          </w:p>
          <w:p w14:paraId="0C61E92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8、项目与饮用水水源划分相符性分析</w:t>
            </w:r>
          </w:p>
          <w:p w14:paraId="2262E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调查，项目周边最近的饮用水水源地为和睦镇融江河水源地，根据广西壮族自治区人民政府关于同意柳州市乡镇集中式饮用水水源保护区划分方案的批复（桂政函〔2016〕266号），和睦镇融江河水源地饮用水水源保护区划分方案见下表。</w:t>
            </w:r>
          </w:p>
          <w:p w14:paraId="4B83A1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color w:val="auto"/>
              </w:rPr>
            </w:pPr>
            <w:r>
              <w:rPr>
                <w:rFonts w:hint="eastAsia"/>
                <w:b/>
                <w:bCs/>
              </w:rPr>
              <w:t>表1-5 和睦镇融江河水源地饮用水水源保护区范围表</w:t>
            </w:r>
          </w:p>
          <w:tbl>
            <w:tblPr>
              <w:tblStyle w:val="19"/>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13"/>
              <w:gridCol w:w="449"/>
              <w:gridCol w:w="671"/>
              <w:gridCol w:w="3491"/>
              <w:gridCol w:w="1136"/>
            </w:tblGrid>
            <w:tr w14:paraId="155D24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749" w:type="pct"/>
                  <w:tcBorders>
                    <w:tl2br w:val="nil"/>
                    <w:tr2bl w:val="nil"/>
                  </w:tcBorders>
                  <w:vAlign w:val="center"/>
                </w:tcPr>
                <w:p w14:paraId="401DEB65">
                  <w:pPr>
                    <w:jc w:val="center"/>
                    <w:rPr>
                      <w:b/>
                      <w:bCs/>
                      <w:color w:val="auto"/>
                      <w:sz w:val="21"/>
                      <w:szCs w:val="21"/>
                    </w:rPr>
                  </w:pPr>
                  <w:r>
                    <w:rPr>
                      <w:b/>
                      <w:bCs/>
                      <w:color w:val="auto"/>
                      <w:sz w:val="21"/>
                      <w:szCs w:val="21"/>
                    </w:rPr>
                    <w:t>水源地名称</w:t>
                  </w:r>
                </w:p>
              </w:tc>
              <w:tc>
                <w:tcPr>
                  <w:tcW w:w="3409" w:type="pct"/>
                  <w:gridSpan w:val="3"/>
                  <w:tcBorders>
                    <w:tl2br w:val="nil"/>
                    <w:tr2bl w:val="nil"/>
                  </w:tcBorders>
                  <w:vAlign w:val="center"/>
                </w:tcPr>
                <w:p w14:paraId="78447E45">
                  <w:pPr>
                    <w:jc w:val="center"/>
                    <w:rPr>
                      <w:b/>
                      <w:bCs/>
                      <w:color w:val="auto"/>
                      <w:sz w:val="21"/>
                      <w:szCs w:val="21"/>
                    </w:rPr>
                  </w:pPr>
                  <w:r>
                    <w:rPr>
                      <w:b/>
                      <w:bCs/>
                      <w:color w:val="auto"/>
                      <w:sz w:val="21"/>
                      <w:szCs w:val="21"/>
                    </w:rPr>
                    <w:t>保护区范围</w:t>
                  </w:r>
                </w:p>
              </w:tc>
              <w:tc>
                <w:tcPr>
                  <w:tcW w:w="840" w:type="pct"/>
                  <w:tcBorders>
                    <w:tl2br w:val="nil"/>
                    <w:tr2bl w:val="nil"/>
                  </w:tcBorders>
                  <w:vAlign w:val="center"/>
                </w:tcPr>
                <w:p w14:paraId="4298C194">
                  <w:pPr>
                    <w:jc w:val="center"/>
                    <w:rPr>
                      <w:b/>
                      <w:bCs/>
                      <w:color w:val="auto"/>
                      <w:sz w:val="21"/>
                      <w:szCs w:val="21"/>
                    </w:rPr>
                  </w:pPr>
                  <w:r>
                    <w:rPr>
                      <w:b/>
                      <w:bCs/>
                      <w:color w:val="auto"/>
                      <w:sz w:val="21"/>
                      <w:szCs w:val="21"/>
                    </w:rPr>
                    <w:t>面积（km</w:t>
                  </w:r>
                  <w:r>
                    <w:rPr>
                      <w:b/>
                      <w:bCs/>
                      <w:color w:val="auto"/>
                      <w:sz w:val="21"/>
                      <w:szCs w:val="21"/>
                      <w:vertAlign w:val="superscript"/>
                    </w:rPr>
                    <w:t>2</w:t>
                  </w:r>
                  <w:r>
                    <w:rPr>
                      <w:b/>
                      <w:bCs/>
                      <w:color w:val="auto"/>
                      <w:sz w:val="21"/>
                      <w:szCs w:val="21"/>
                    </w:rPr>
                    <w:t>）</w:t>
                  </w:r>
                </w:p>
              </w:tc>
            </w:tr>
            <w:tr w14:paraId="008F06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49" w:type="pct"/>
                  <w:vMerge w:val="restart"/>
                  <w:tcBorders>
                    <w:tl2br w:val="nil"/>
                    <w:tr2bl w:val="nil"/>
                  </w:tcBorders>
                  <w:vAlign w:val="center"/>
                </w:tcPr>
                <w:p w14:paraId="582E1E03">
                  <w:pPr>
                    <w:jc w:val="center"/>
                    <w:rPr>
                      <w:color w:val="auto"/>
                      <w:sz w:val="21"/>
                      <w:szCs w:val="21"/>
                    </w:rPr>
                  </w:pPr>
                  <w:r>
                    <w:rPr>
                      <w:rFonts w:hint="eastAsia"/>
                      <w:color w:val="auto"/>
                      <w:sz w:val="21"/>
                      <w:szCs w:val="21"/>
                    </w:rPr>
                    <w:t>和睦镇融江河水源地</w:t>
                  </w:r>
                </w:p>
              </w:tc>
              <w:tc>
                <w:tcPr>
                  <w:tcW w:w="332" w:type="pct"/>
                  <w:vMerge w:val="restart"/>
                  <w:tcBorders>
                    <w:tl2br w:val="nil"/>
                    <w:tr2bl w:val="nil"/>
                  </w:tcBorders>
                  <w:vAlign w:val="center"/>
                </w:tcPr>
                <w:p w14:paraId="5A11CFF8">
                  <w:pPr>
                    <w:jc w:val="center"/>
                    <w:rPr>
                      <w:color w:val="auto"/>
                      <w:sz w:val="21"/>
                      <w:szCs w:val="21"/>
                    </w:rPr>
                  </w:pPr>
                  <w:r>
                    <w:rPr>
                      <w:color w:val="auto"/>
                      <w:sz w:val="21"/>
                      <w:szCs w:val="21"/>
                    </w:rPr>
                    <w:t>一级保护区</w:t>
                  </w:r>
                </w:p>
              </w:tc>
              <w:tc>
                <w:tcPr>
                  <w:tcW w:w="496" w:type="pct"/>
                  <w:tcBorders>
                    <w:tl2br w:val="nil"/>
                    <w:tr2bl w:val="nil"/>
                  </w:tcBorders>
                  <w:vAlign w:val="center"/>
                </w:tcPr>
                <w:p w14:paraId="380DD744">
                  <w:pPr>
                    <w:jc w:val="center"/>
                    <w:rPr>
                      <w:color w:val="auto"/>
                      <w:sz w:val="21"/>
                      <w:szCs w:val="21"/>
                    </w:rPr>
                  </w:pPr>
                  <w:r>
                    <w:rPr>
                      <w:color w:val="auto"/>
                      <w:sz w:val="21"/>
                      <w:szCs w:val="21"/>
                    </w:rPr>
                    <w:t>水域范围</w:t>
                  </w:r>
                </w:p>
              </w:tc>
              <w:tc>
                <w:tcPr>
                  <w:tcW w:w="2581" w:type="pct"/>
                  <w:tcBorders>
                    <w:tl2br w:val="nil"/>
                    <w:tr2bl w:val="nil"/>
                  </w:tcBorders>
                  <w:vAlign w:val="center"/>
                </w:tcPr>
                <w:p w14:paraId="37ACB6EB">
                  <w:pPr>
                    <w:jc w:val="center"/>
                    <w:rPr>
                      <w:color w:val="auto"/>
                      <w:sz w:val="21"/>
                      <w:szCs w:val="21"/>
                    </w:rPr>
                  </w:pPr>
                  <w:r>
                    <w:rPr>
                      <w:color w:val="auto"/>
                      <w:sz w:val="21"/>
                      <w:szCs w:val="21"/>
                    </w:rPr>
                    <w:t>长度为取水口上游1000米至下游100米的水域，宽度为河段航道边界线至取水口侧河岸5年一遇洪水听能淹没的区域。</w:t>
                  </w:r>
                </w:p>
              </w:tc>
              <w:tc>
                <w:tcPr>
                  <w:tcW w:w="840" w:type="pct"/>
                  <w:tcBorders>
                    <w:tl2br w:val="nil"/>
                    <w:tr2bl w:val="nil"/>
                  </w:tcBorders>
                  <w:vAlign w:val="center"/>
                </w:tcPr>
                <w:p w14:paraId="0EB988D4">
                  <w:pPr>
                    <w:jc w:val="center"/>
                    <w:rPr>
                      <w:color w:val="auto"/>
                      <w:sz w:val="21"/>
                      <w:szCs w:val="21"/>
                    </w:rPr>
                  </w:pPr>
                  <w:r>
                    <w:rPr>
                      <w:color w:val="auto"/>
                      <w:sz w:val="21"/>
                      <w:szCs w:val="21"/>
                    </w:rPr>
                    <w:t>0.00</w:t>
                  </w:r>
                  <w:r>
                    <w:rPr>
                      <w:rFonts w:hint="eastAsia"/>
                      <w:color w:val="auto"/>
                      <w:sz w:val="21"/>
                      <w:szCs w:val="21"/>
                    </w:rPr>
                    <w:t>32</w:t>
                  </w:r>
                </w:p>
              </w:tc>
            </w:tr>
            <w:tr w14:paraId="626994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49" w:type="pct"/>
                  <w:vMerge w:val="continue"/>
                  <w:tcBorders>
                    <w:tl2br w:val="nil"/>
                    <w:tr2bl w:val="nil"/>
                  </w:tcBorders>
                  <w:vAlign w:val="center"/>
                </w:tcPr>
                <w:p w14:paraId="040FEC30">
                  <w:pPr>
                    <w:jc w:val="center"/>
                    <w:rPr>
                      <w:color w:val="auto"/>
                      <w:sz w:val="21"/>
                      <w:szCs w:val="21"/>
                    </w:rPr>
                  </w:pPr>
                </w:p>
              </w:tc>
              <w:tc>
                <w:tcPr>
                  <w:tcW w:w="332" w:type="pct"/>
                  <w:vMerge w:val="continue"/>
                  <w:tcBorders>
                    <w:tl2br w:val="nil"/>
                    <w:tr2bl w:val="nil"/>
                  </w:tcBorders>
                  <w:vAlign w:val="center"/>
                </w:tcPr>
                <w:p w14:paraId="11C4028F">
                  <w:pPr>
                    <w:jc w:val="center"/>
                    <w:rPr>
                      <w:color w:val="auto"/>
                      <w:sz w:val="21"/>
                      <w:szCs w:val="21"/>
                    </w:rPr>
                  </w:pPr>
                </w:p>
              </w:tc>
              <w:tc>
                <w:tcPr>
                  <w:tcW w:w="496" w:type="pct"/>
                  <w:tcBorders>
                    <w:tl2br w:val="nil"/>
                    <w:tr2bl w:val="nil"/>
                  </w:tcBorders>
                  <w:vAlign w:val="center"/>
                </w:tcPr>
                <w:p w14:paraId="5A4A28C7">
                  <w:pPr>
                    <w:jc w:val="center"/>
                    <w:rPr>
                      <w:color w:val="auto"/>
                      <w:sz w:val="21"/>
                      <w:szCs w:val="21"/>
                    </w:rPr>
                  </w:pPr>
                  <w:r>
                    <w:rPr>
                      <w:color w:val="auto"/>
                      <w:sz w:val="21"/>
                      <w:szCs w:val="21"/>
                    </w:rPr>
                    <w:t>陆域范围</w:t>
                  </w:r>
                </w:p>
              </w:tc>
              <w:tc>
                <w:tcPr>
                  <w:tcW w:w="2581" w:type="pct"/>
                  <w:tcBorders>
                    <w:tl2br w:val="nil"/>
                    <w:tr2bl w:val="nil"/>
                  </w:tcBorders>
                  <w:vAlign w:val="center"/>
                </w:tcPr>
                <w:p w14:paraId="294D3E45">
                  <w:pPr>
                    <w:jc w:val="center"/>
                    <w:rPr>
                      <w:color w:val="auto"/>
                      <w:sz w:val="21"/>
                      <w:szCs w:val="21"/>
                    </w:rPr>
                  </w:pPr>
                  <w:r>
                    <w:rPr>
                      <w:color w:val="auto"/>
                      <w:sz w:val="21"/>
                      <w:szCs w:val="21"/>
                    </w:rPr>
                    <w:t>一级保护区水域取水口侧河岸纵深50米的陆域。</w:t>
                  </w:r>
                </w:p>
              </w:tc>
              <w:tc>
                <w:tcPr>
                  <w:tcW w:w="840" w:type="pct"/>
                  <w:tcBorders>
                    <w:tl2br w:val="nil"/>
                    <w:tr2bl w:val="nil"/>
                  </w:tcBorders>
                  <w:vAlign w:val="center"/>
                </w:tcPr>
                <w:p w14:paraId="6866CCC3">
                  <w:pPr>
                    <w:jc w:val="center"/>
                    <w:rPr>
                      <w:color w:val="auto"/>
                      <w:sz w:val="21"/>
                      <w:szCs w:val="21"/>
                    </w:rPr>
                  </w:pPr>
                  <w:r>
                    <w:rPr>
                      <w:color w:val="auto"/>
                      <w:sz w:val="21"/>
                      <w:szCs w:val="21"/>
                    </w:rPr>
                    <w:t>0.0</w:t>
                  </w:r>
                  <w:r>
                    <w:rPr>
                      <w:rFonts w:hint="eastAsia"/>
                      <w:color w:val="auto"/>
                      <w:sz w:val="21"/>
                      <w:szCs w:val="21"/>
                    </w:rPr>
                    <w:t>55</w:t>
                  </w:r>
                </w:p>
              </w:tc>
            </w:tr>
            <w:tr w14:paraId="0D8CF2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49" w:type="pct"/>
                  <w:vMerge w:val="continue"/>
                  <w:tcBorders>
                    <w:tl2br w:val="nil"/>
                    <w:tr2bl w:val="nil"/>
                  </w:tcBorders>
                  <w:vAlign w:val="center"/>
                </w:tcPr>
                <w:p w14:paraId="7C1DA831">
                  <w:pPr>
                    <w:jc w:val="center"/>
                    <w:rPr>
                      <w:color w:val="auto"/>
                      <w:sz w:val="21"/>
                      <w:szCs w:val="21"/>
                    </w:rPr>
                  </w:pPr>
                </w:p>
              </w:tc>
              <w:tc>
                <w:tcPr>
                  <w:tcW w:w="332" w:type="pct"/>
                  <w:vMerge w:val="restart"/>
                  <w:tcBorders>
                    <w:tl2br w:val="nil"/>
                    <w:tr2bl w:val="nil"/>
                  </w:tcBorders>
                  <w:vAlign w:val="center"/>
                </w:tcPr>
                <w:p w14:paraId="5B978E78">
                  <w:pPr>
                    <w:jc w:val="center"/>
                    <w:rPr>
                      <w:color w:val="auto"/>
                      <w:sz w:val="21"/>
                      <w:szCs w:val="21"/>
                    </w:rPr>
                  </w:pPr>
                  <w:r>
                    <w:rPr>
                      <w:color w:val="auto"/>
                      <w:sz w:val="21"/>
                      <w:szCs w:val="21"/>
                    </w:rPr>
                    <w:t>二级保护区</w:t>
                  </w:r>
                </w:p>
              </w:tc>
              <w:tc>
                <w:tcPr>
                  <w:tcW w:w="496" w:type="pct"/>
                  <w:tcBorders>
                    <w:tl2br w:val="nil"/>
                    <w:tr2bl w:val="nil"/>
                  </w:tcBorders>
                  <w:vAlign w:val="center"/>
                </w:tcPr>
                <w:p w14:paraId="5442722F">
                  <w:pPr>
                    <w:jc w:val="center"/>
                    <w:rPr>
                      <w:color w:val="auto"/>
                      <w:sz w:val="21"/>
                      <w:szCs w:val="21"/>
                    </w:rPr>
                  </w:pPr>
                  <w:r>
                    <w:rPr>
                      <w:color w:val="auto"/>
                      <w:sz w:val="21"/>
                      <w:szCs w:val="21"/>
                    </w:rPr>
                    <w:t>水域范围</w:t>
                  </w:r>
                </w:p>
              </w:tc>
              <w:tc>
                <w:tcPr>
                  <w:tcW w:w="2581" w:type="pct"/>
                  <w:tcBorders>
                    <w:tl2br w:val="nil"/>
                    <w:tr2bl w:val="nil"/>
                  </w:tcBorders>
                  <w:vAlign w:val="center"/>
                </w:tcPr>
                <w:p w14:paraId="3082EB28">
                  <w:pPr>
                    <w:jc w:val="center"/>
                    <w:rPr>
                      <w:color w:val="auto"/>
                      <w:sz w:val="21"/>
                      <w:szCs w:val="21"/>
                    </w:rPr>
                  </w:pPr>
                  <w:r>
                    <w:rPr>
                      <w:color w:val="auto"/>
                      <w:sz w:val="21"/>
                      <w:szCs w:val="21"/>
                    </w:rPr>
                    <w:t>长度为取水口上游3600米至下游300米，以及右岸人河支流从其汇人口上溯2000米的水域，宽度为10 年一遇洪水所能淹没的区域。一级保护区水域除外</w:t>
                  </w:r>
                  <w:r>
                    <w:rPr>
                      <w:rFonts w:hint="eastAsia"/>
                      <w:color w:val="auto"/>
                      <w:sz w:val="21"/>
                      <w:szCs w:val="21"/>
                    </w:rPr>
                    <w:t>。</w:t>
                  </w:r>
                </w:p>
              </w:tc>
              <w:tc>
                <w:tcPr>
                  <w:tcW w:w="840" w:type="pct"/>
                  <w:tcBorders>
                    <w:tl2br w:val="nil"/>
                    <w:tr2bl w:val="nil"/>
                  </w:tcBorders>
                  <w:vAlign w:val="center"/>
                </w:tcPr>
                <w:p w14:paraId="3E334B3E">
                  <w:pPr>
                    <w:jc w:val="center"/>
                    <w:rPr>
                      <w:color w:val="auto"/>
                      <w:sz w:val="21"/>
                      <w:szCs w:val="21"/>
                    </w:rPr>
                  </w:pPr>
                  <w:r>
                    <w:rPr>
                      <w:rFonts w:hint="eastAsia"/>
                      <w:color w:val="auto"/>
                      <w:sz w:val="21"/>
                      <w:szCs w:val="21"/>
                    </w:rPr>
                    <w:t>1.105</w:t>
                  </w:r>
                </w:p>
              </w:tc>
            </w:tr>
            <w:tr w14:paraId="7EE56A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749" w:type="pct"/>
                  <w:vMerge w:val="continue"/>
                  <w:tcBorders>
                    <w:tl2br w:val="nil"/>
                    <w:tr2bl w:val="nil"/>
                  </w:tcBorders>
                  <w:vAlign w:val="center"/>
                </w:tcPr>
                <w:p w14:paraId="4AA5A3F4">
                  <w:pPr>
                    <w:jc w:val="center"/>
                    <w:rPr>
                      <w:color w:val="auto"/>
                      <w:sz w:val="21"/>
                      <w:szCs w:val="21"/>
                    </w:rPr>
                  </w:pPr>
                </w:p>
              </w:tc>
              <w:tc>
                <w:tcPr>
                  <w:tcW w:w="332" w:type="pct"/>
                  <w:vMerge w:val="continue"/>
                  <w:tcBorders>
                    <w:tl2br w:val="nil"/>
                    <w:tr2bl w:val="nil"/>
                  </w:tcBorders>
                  <w:vAlign w:val="center"/>
                </w:tcPr>
                <w:p w14:paraId="023B93BC">
                  <w:pPr>
                    <w:jc w:val="center"/>
                    <w:rPr>
                      <w:color w:val="auto"/>
                      <w:sz w:val="21"/>
                      <w:szCs w:val="21"/>
                    </w:rPr>
                  </w:pPr>
                </w:p>
              </w:tc>
              <w:tc>
                <w:tcPr>
                  <w:tcW w:w="496" w:type="pct"/>
                  <w:tcBorders>
                    <w:tl2br w:val="nil"/>
                    <w:tr2bl w:val="nil"/>
                  </w:tcBorders>
                  <w:vAlign w:val="center"/>
                </w:tcPr>
                <w:p w14:paraId="47D506E6">
                  <w:pPr>
                    <w:jc w:val="center"/>
                    <w:rPr>
                      <w:color w:val="auto"/>
                      <w:sz w:val="21"/>
                      <w:szCs w:val="21"/>
                    </w:rPr>
                  </w:pPr>
                  <w:r>
                    <w:rPr>
                      <w:color w:val="auto"/>
                      <w:sz w:val="21"/>
                      <w:szCs w:val="21"/>
                    </w:rPr>
                    <w:t>陆域范围</w:t>
                  </w:r>
                </w:p>
              </w:tc>
              <w:tc>
                <w:tcPr>
                  <w:tcW w:w="2581" w:type="pct"/>
                  <w:tcBorders>
                    <w:tl2br w:val="nil"/>
                    <w:tr2bl w:val="nil"/>
                  </w:tcBorders>
                  <w:vAlign w:val="center"/>
                </w:tcPr>
                <w:p w14:paraId="37C41ACC">
                  <w:pPr>
                    <w:jc w:val="center"/>
                    <w:rPr>
                      <w:color w:val="auto"/>
                      <w:sz w:val="21"/>
                      <w:szCs w:val="21"/>
                    </w:rPr>
                  </w:pPr>
                  <w:r>
                    <w:rPr>
                      <w:color w:val="auto"/>
                      <w:sz w:val="21"/>
                      <w:szCs w:val="21"/>
                    </w:rPr>
                    <w:t>一、二级保护区水域两岸各纵深不小于1000米的汇水区陆域。一级保护区陆域除外。</w:t>
                  </w:r>
                </w:p>
              </w:tc>
              <w:tc>
                <w:tcPr>
                  <w:tcW w:w="840" w:type="pct"/>
                  <w:tcBorders>
                    <w:tl2br w:val="nil"/>
                    <w:tr2bl w:val="nil"/>
                  </w:tcBorders>
                  <w:vAlign w:val="center"/>
                </w:tcPr>
                <w:p w14:paraId="2C097D19">
                  <w:pPr>
                    <w:jc w:val="center"/>
                    <w:rPr>
                      <w:color w:val="auto"/>
                      <w:sz w:val="21"/>
                      <w:szCs w:val="21"/>
                    </w:rPr>
                  </w:pPr>
                  <w:r>
                    <w:rPr>
                      <w:rFonts w:hint="eastAsia"/>
                      <w:color w:val="auto"/>
                      <w:sz w:val="21"/>
                      <w:szCs w:val="21"/>
                    </w:rPr>
                    <w:t>9.2403</w:t>
                  </w:r>
                </w:p>
              </w:tc>
            </w:tr>
            <w:tr w14:paraId="2AC4D8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749" w:type="pct"/>
                  <w:vMerge w:val="continue"/>
                  <w:tcBorders>
                    <w:tl2br w:val="nil"/>
                    <w:tr2bl w:val="nil"/>
                  </w:tcBorders>
                  <w:vAlign w:val="center"/>
                </w:tcPr>
                <w:p w14:paraId="20642375">
                  <w:pPr>
                    <w:jc w:val="center"/>
                    <w:rPr>
                      <w:color w:val="auto"/>
                      <w:sz w:val="21"/>
                      <w:szCs w:val="21"/>
                    </w:rPr>
                  </w:pPr>
                </w:p>
              </w:tc>
              <w:tc>
                <w:tcPr>
                  <w:tcW w:w="3409" w:type="pct"/>
                  <w:gridSpan w:val="3"/>
                  <w:tcBorders>
                    <w:tl2br w:val="nil"/>
                    <w:tr2bl w:val="nil"/>
                  </w:tcBorders>
                  <w:vAlign w:val="center"/>
                </w:tcPr>
                <w:p w14:paraId="67BC3BEE">
                  <w:pPr>
                    <w:jc w:val="center"/>
                    <w:rPr>
                      <w:color w:val="auto"/>
                      <w:sz w:val="21"/>
                      <w:szCs w:val="21"/>
                    </w:rPr>
                  </w:pPr>
                  <w:r>
                    <w:rPr>
                      <w:color w:val="auto"/>
                      <w:sz w:val="21"/>
                      <w:szCs w:val="21"/>
                    </w:rPr>
                    <w:t>小计</w:t>
                  </w:r>
                </w:p>
              </w:tc>
              <w:tc>
                <w:tcPr>
                  <w:tcW w:w="840" w:type="pct"/>
                  <w:tcBorders>
                    <w:tl2br w:val="nil"/>
                    <w:tr2bl w:val="nil"/>
                  </w:tcBorders>
                  <w:vAlign w:val="center"/>
                </w:tcPr>
                <w:p w14:paraId="0C8CA7D3">
                  <w:pPr>
                    <w:jc w:val="center"/>
                    <w:rPr>
                      <w:color w:val="auto"/>
                      <w:sz w:val="21"/>
                      <w:szCs w:val="21"/>
                    </w:rPr>
                  </w:pPr>
                  <w:r>
                    <w:rPr>
                      <w:rFonts w:hint="eastAsia"/>
                      <w:color w:val="auto"/>
                      <w:sz w:val="21"/>
                      <w:szCs w:val="21"/>
                    </w:rPr>
                    <w:t>10.4035</w:t>
                  </w:r>
                </w:p>
              </w:tc>
            </w:tr>
          </w:tbl>
          <w:p w14:paraId="0AA523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rFonts w:hint="eastAsia"/>
              </w:rPr>
              <w:t>本项目位于融水苗族自治县和睦镇伏虎华侨农场二队，距离和睦镇融江河饮用水水源地保护区边界4.4km，项目也不属于对水体污染严重的建设项目，符合相关法律要求。</w:t>
            </w:r>
          </w:p>
        </w:tc>
      </w:tr>
    </w:tbl>
    <w:p w14:paraId="325C53CB">
      <w:pPr>
        <w:rPr>
          <w:color w:val="auto"/>
        </w:rPr>
        <w:sectPr>
          <w:footerReference r:id="rId6" w:type="default"/>
          <w:pgSz w:w="11906" w:h="16838"/>
          <w:pgMar w:top="1417" w:right="1417" w:bottom="1417" w:left="1417" w:header="851" w:footer="992" w:gutter="0"/>
          <w:pgNumType w:start="1"/>
          <w:cols w:space="425" w:num="1"/>
          <w:docGrid w:type="lines" w:linePitch="312" w:charSpace="0"/>
        </w:sectPr>
      </w:pPr>
    </w:p>
    <w:p w14:paraId="1B0750B7">
      <w:pPr>
        <w:pStyle w:val="2"/>
        <w:rPr>
          <w:color w:val="auto"/>
        </w:rPr>
      </w:pPr>
      <w:bookmarkStart w:id="7" w:name="_Toc19997"/>
      <w:r>
        <w:rPr>
          <w:rFonts w:hint="eastAsia"/>
          <w:color w:val="auto"/>
        </w:rPr>
        <w:t>二、建设内容</w:t>
      </w:r>
      <w:bookmarkEnd w:id="7"/>
    </w:p>
    <w:tbl>
      <w:tblPr>
        <w:tblStyle w:val="19"/>
        <w:tblW w:w="909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9101"/>
      </w:tblGrid>
      <w:tr w14:paraId="66E4FF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710" w:type="dxa"/>
            <w:vAlign w:val="center"/>
          </w:tcPr>
          <w:p w14:paraId="02B03847">
            <w:pPr>
              <w:adjustRightInd w:val="0"/>
              <w:snapToGrid w:val="0"/>
              <w:jc w:val="center"/>
              <w:rPr>
                <w:color w:val="auto"/>
                <w:kern w:val="0"/>
                <w:szCs w:val="21"/>
              </w:rPr>
            </w:pPr>
            <w:r>
              <w:rPr>
                <w:color w:val="auto"/>
                <w:kern w:val="0"/>
                <w:szCs w:val="21"/>
              </w:rPr>
              <w:t>地理位置</w:t>
            </w:r>
          </w:p>
        </w:tc>
        <w:tc>
          <w:tcPr>
            <w:tcW w:w="8380" w:type="dxa"/>
            <w:vAlign w:val="center"/>
          </w:tcPr>
          <w:p w14:paraId="3D6BAD5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kern w:val="0"/>
                <w:szCs w:val="21"/>
              </w:rPr>
            </w:pPr>
            <w:r>
              <w:t>项目位于</w:t>
            </w:r>
            <w:r>
              <w:rPr>
                <w:u w:val="single"/>
              </w:rPr>
              <w:t>广西柳州</w:t>
            </w:r>
            <w:r>
              <w:t>市</w:t>
            </w:r>
            <w:r>
              <w:rPr>
                <w:u w:val="single"/>
              </w:rPr>
              <w:t>融水</w:t>
            </w:r>
            <w:r>
              <w:rPr>
                <w:rFonts w:hint="eastAsia"/>
                <w:u w:val="single"/>
              </w:rPr>
              <w:t>苗族自治</w:t>
            </w:r>
            <w:r>
              <w:t>县</w:t>
            </w:r>
            <w:r>
              <w:rPr>
                <w:u w:val="single"/>
              </w:rPr>
              <w:t>和睦镇伏虎华侨农场</w:t>
            </w:r>
            <w:r>
              <w:rPr>
                <w:rFonts w:hint="eastAsia"/>
                <w:u w:val="single"/>
                <w:lang w:val="en-US" w:eastAsia="zh-CN"/>
              </w:rPr>
              <w:t>二</w:t>
            </w:r>
            <w:r>
              <w:rPr>
                <w:u w:val="single"/>
              </w:rPr>
              <w:t>队</w:t>
            </w:r>
            <w:r>
              <w:rPr>
                <w:rFonts w:hint="eastAsia"/>
              </w:rPr>
              <w:t>。</w:t>
            </w:r>
            <w:r>
              <w:t>中心地理坐标：E109°1</w:t>
            </w:r>
            <w:r>
              <w:rPr>
                <w:rFonts w:hint="eastAsia"/>
              </w:rPr>
              <w:t>2</w:t>
            </w:r>
            <w:r>
              <w:t>′</w:t>
            </w:r>
            <w:r>
              <w:rPr>
                <w:rFonts w:hint="eastAsia"/>
              </w:rPr>
              <w:t>45.470</w:t>
            </w:r>
            <w:r>
              <w:t>″，N24°49′</w:t>
            </w:r>
            <w:r>
              <w:rPr>
                <w:rFonts w:hint="eastAsia"/>
              </w:rPr>
              <w:t>55.980</w:t>
            </w:r>
            <w:r>
              <w:t>″</w:t>
            </w:r>
            <w:r>
              <w:rPr>
                <w:rFonts w:hint="eastAsia"/>
              </w:rPr>
              <w:t>。项目井场附近有乡村道路与外部道路连接，交通便利。</w:t>
            </w:r>
            <w:r>
              <w:t>地理位置见</w:t>
            </w:r>
            <w:r>
              <w:rPr>
                <w:b/>
                <w:bCs/>
              </w:rPr>
              <w:t>附图1</w:t>
            </w:r>
            <w:r>
              <w:t>。</w:t>
            </w:r>
          </w:p>
        </w:tc>
      </w:tr>
      <w:tr w14:paraId="4C06A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vAlign w:val="center"/>
          </w:tcPr>
          <w:p w14:paraId="7A1B70E4">
            <w:pPr>
              <w:adjustRightInd w:val="0"/>
              <w:snapToGrid w:val="0"/>
              <w:jc w:val="center"/>
              <w:rPr>
                <w:color w:val="auto"/>
                <w:kern w:val="0"/>
                <w:szCs w:val="21"/>
              </w:rPr>
            </w:pPr>
            <w:r>
              <w:rPr>
                <w:color w:val="auto"/>
                <w:kern w:val="0"/>
                <w:szCs w:val="21"/>
              </w:rPr>
              <w:t>项目组成及规模</w:t>
            </w:r>
          </w:p>
        </w:tc>
        <w:tc>
          <w:tcPr>
            <w:tcW w:w="8380" w:type="dxa"/>
            <w:vAlign w:val="center"/>
          </w:tcPr>
          <w:p w14:paraId="09C6E2FA">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1、项目概括</w:t>
            </w:r>
          </w:p>
          <w:p w14:paraId="2DFE45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项目名称：桂融页4平台页岩气勘探开发项目</w:t>
            </w:r>
          </w:p>
          <w:p w14:paraId="0ECE26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建设单位：广西页岩气勘探开发有限公司</w:t>
            </w:r>
          </w:p>
          <w:p w14:paraId="15A562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建设地点：广西壮族自治区柳州市融水县苗族自治县和睦镇伏虎华侨农场二队</w:t>
            </w:r>
          </w:p>
          <w:p w14:paraId="04B2D58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建设性质：扩建</w:t>
            </w:r>
          </w:p>
          <w:p w14:paraId="5BB726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占地面积：</w:t>
            </w:r>
            <w:r>
              <w:rPr>
                <w:rFonts w:hint="eastAsia"/>
              </w:rPr>
              <w:t>项目位于现有用地范围内，无新增用地。</w:t>
            </w:r>
          </w:p>
          <w:p w14:paraId="1C5ABF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井号：桂融地4井</w:t>
            </w:r>
          </w:p>
          <w:p w14:paraId="6069F7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井别：评价井</w:t>
            </w:r>
          </w:p>
          <w:p w14:paraId="5C3817F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井型：水平井（桂融地4井侧钻）</w:t>
            </w:r>
          </w:p>
          <w:p w14:paraId="6EFB97C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井位：详见下表</w:t>
            </w:r>
          </w:p>
          <w:p w14:paraId="44FA60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b/>
                <w:bCs/>
              </w:rPr>
              <w:t>表</w:t>
            </w:r>
            <w:r>
              <w:rPr>
                <w:rFonts w:hint="eastAsia"/>
                <w:b/>
                <w:bCs/>
              </w:rPr>
              <w:t xml:space="preserve">2-1 </w:t>
            </w:r>
            <w:r>
              <w:rPr>
                <w:b/>
                <w:bCs/>
              </w:rPr>
              <w:t>井位参数表</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7"/>
              <w:gridCol w:w="1324"/>
              <w:gridCol w:w="1623"/>
              <w:gridCol w:w="1631"/>
              <w:gridCol w:w="1134"/>
              <w:gridCol w:w="1162"/>
            </w:tblGrid>
            <w:tr w14:paraId="2755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exact"/>
              </w:trPr>
              <w:tc>
                <w:tcPr>
                  <w:tcW w:w="1125" w:type="pct"/>
                  <w:vAlign w:val="center"/>
                </w:tcPr>
                <w:p w14:paraId="544B1825">
                  <w:pPr>
                    <w:jc w:val="center"/>
                    <w:rPr>
                      <w:sz w:val="21"/>
                      <w:szCs w:val="21"/>
                    </w:rPr>
                  </w:pPr>
                  <w:r>
                    <w:rPr>
                      <w:sz w:val="21"/>
                      <w:szCs w:val="21"/>
                    </w:rPr>
                    <w:t>参数井号</w:t>
                  </w:r>
                </w:p>
              </w:tc>
              <w:tc>
                <w:tcPr>
                  <w:tcW w:w="746" w:type="pct"/>
                  <w:vAlign w:val="center"/>
                </w:tcPr>
                <w:p w14:paraId="5FEA1350">
                  <w:pPr>
                    <w:jc w:val="center"/>
                    <w:rPr>
                      <w:sz w:val="21"/>
                      <w:szCs w:val="21"/>
                    </w:rPr>
                  </w:pPr>
                  <w:r>
                    <w:rPr>
                      <w:sz w:val="21"/>
                      <w:szCs w:val="21"/>
                    </w:rPr>
                    <w:t>设计坐标</w:t>
                  </w:r>
                </w:p>
              </w:tc>
              <w:tc>
                <w:tcPr>
                  <w:tcW w:w="914" w:type="pct"/>
                  <w:vAlign w:val="center"/>
                </w:tcPr>
                <w:p w14:paraId="31F3D608">
                  <w:pPr>
                    <w:jc w:val="center"/>
                    <w:rPr>
                      <w:sz w:val="21"/>
                      <w:szCs w:val="21"/>
                    </w:rPr>
                  </w:pPr>
                  <w:r>
                    <w:rPr>
                      <w:sz w:val="21"/>
                      <w:szCs w:val="21"/>
                    </w:rPr>
                    <w:t>纵坐标（X）</w:t>
                  </w:r>
                </w:p>
                <w:p w14:paraId="7266AEF2">
                  <w:pPr>
                    <w:jc w:val="center"/>
                    <w:rPr>
                      <w:sz w:val="21"/>
                      <w:szCs w:val="21"/>
                    </w:rPr>
                  </w:pPr>
                  <w:r>
                    <w:rPr>
                      <w:sz w:val="21"/>
                      <w:szCs w:val="21"/>
                    </w:rPr>
                    <w:t>（m）</w:t>
                  </w:r>
                </w:p>
              </w:tc>
              <w:tc>
                <w:tcPr>
                  <w:tcW w:w="919" w:type="pct"/>
                  <w:vAlign w:val="center"/>
                </w:tcPr>
                <w:p w14:paraId="68526309">
                  <w:pPr>
                    <w:jc w:val="center"/>
                    <w:rPr>
                      <w:sz w:val="21"/>
                      <w:szCs w:val="21"/>
                    </w:rPr>
                  </w:pPr>
                  <w:r>
                    <w:rPr>
                      <w:sz w:val="21"/>
                      <w:szCs w:val="21"/>
                    </w:rPr>
                    <w:t>横坐标（Y）</w:t>
                  </w:r>
                </w:p>
                <w:p w14:paraId="3BAE4A7A">
                  <w:pPr>
                    <w:jc w:val="center"/>
                    <w:rPr>
                      <w:sz w:val="21"/>
                      <w:szCs w:val="21"/>
                    </w:rPr>
                  </w:pPr>
                  <w:r>
                    <w:rPr>
                      <w:sz w:val="21"/>
                      <w:szCs w:val="21"/>
                    </w:rPr>
                    <w:t>（m）</w:t>
                  </w:r>
                </w:p>
              </w:tc>
              <w:tc>
                <w:tcPr>
                  <w:tcW w:w="639" w:type="pct"/>
                  <w:vAlign w:val="center"/>
                </w:tcPr>
                <w:p w14:paraId="286C0DFA">
                  <w:pPr>
                    <w:jc w:val="center"/>
                    <w:rPr>
                      <w:sz w:val="21"/>
                      <w:szCs w:val="21"/>
                    </w:rPr>
                  </w:pPr>
                  <w:r>
                    <w:rPr>
                      <w:rFonts w:hint="eastAsia"/>
                      <w:sz w:val="21"/>
                      <w:szCs w:val="21"/>
                    </w:rPr>
                    <w:t>地面海拔</w:t>
                  </w:r>
                  <w:r>
                    <w:rPr>
                      <w:sz w:val="21"/>
                      <w:szCs w:val="21"/>
                    </w:rPr>
                    <w:t>（m）</w:t>
                  </w:r>
                </w:p>
              </w:tc>
              <w:tc>
                <w:tcPr>
                  <w:tcW w:w="654" w:type="pct"/>
                  <w:vAlign w:val="center"/>
                </w:tcPr>
                <w:p w14:paraId="5460F9A0">
                  <w:pPr>
                    <w:jc w:val="center"/>
                    <w:rPr>
                      <w:sz w:val="21"/>
                      <w:szCs w:val="21"/>
                    </w:rPr>
                  </w:pPr>
                  <w:r>
                    <w:rPr>
                      <w:rFonts w:hint="eastAsia"/>
                      <w:sz w:val="21"/>
                      <w:szCs w:val="21"/>
                    </w:rPr>
                    <w:t>设计井深</w:t>
                  </w:r>
                  <w:r>
                    <w:rPr>
                      <w:sz w:val="21"/>
                      <w:szCs w:val="21"/>
                    </w:rPr>
                    <w:t>（m）</w:t>
                  </w:r>
                </w:p>
              </w:tc>
            </w:tr>
            <w:tr w14:paraId="579DA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0D6162F7">
                  <w:pPr>
                    <w:jc w:val="center"/>
                    <w:rPr>
                      <w:sz w:val="21"/>
                      <w:szCs w:val="21"/>
                    </w:rPr>
                  </w:pPr>
                  <w:r>
                    <w:rPr>
                      <w:rFonts w:hint="eastAsia"/>
                      <w:sz w:val="21"/>
                      <w:szCs w:val="21"/>
                    </w:rPr>
                    <w:t>桂融页4-1</w:t>
                  </w:r>
                  <w:r>
                    <w:rPr>
                      <w:rFonts w:hint="eastAsia"/>
                      <w:sz w:val="21"/>
                      <w:szCs w:val="21"/>
                      <w:lang w:val="en-US" w:eastAsia="zh-CN"/>
                    </w:rPr>
                    <w:t>HF</w:t>
                  </w:r>
                  <w:r>
                    <w:rPr>
                      <w:rFonts w:hint="eastAsia"/>
                      <w:sz w:val="21"/>
                      <w:szCs w:val="21"/>
                    </w:rPr>
                    <w:t>井</w:t>
                  </w:r>
                </w:p>
              </w:tc>
              <w:tc>
                <w:tcPr>
                  <w:tcW w:w="746" w:type="pct"/>
                  <w:vAlign w:val="center"/>
                </w:tcPr>
                <w:p w14:paraId="6C1E6882">
                  <w:pPr>
                    <w:jc w:val="center"/>
                    <w:rPr>
                      <w:sz w:val="21"/>
                      <w:szCs w:val="21"/>
                    </w:rPr>
                  </w:pPr>
                  <w:r>
                    <w:rPr>
                      <w:sz w:val="21"/>
                      <w:szCs w:val="21"/>
                    </w:rPr>
                    <w:t>井口</w:t>
                  </w:r>
                </w:p>
              </w:tc>
              <w:tc>
                <w:tcPr>
                  <w:tcW w:w="914" w:type="pct"/>
                  <w:vAlign w:val="center"/>
                </w:tcPr>
                <w:p w14:paraId="659C27B4">
                  <w:pPr>
                    <w:jc w:val="center"/>
                    <w:rPr>
                      <w:sz w:val="21"/>
                      <w:szCs w:val="21"/>
                    </w:rPr>
                  </w:pPr>
                  <w:r>
                    <w:rPr>
                      <w:rFonts w:hint="eastAsia"/>
                      <w:sz w:val="21"/>
                      <w:szCs w:val="21"/>
                    </w:rPr>
                    <w:t>2748645.32</w:t>
                  </w:r>
                </w:p>
              </w:tc>
              <w:tc>
                <w:tcPr>
                  <w:tcW w:w="919" w:type="pct"/>
                  <w:vAlign w:val="center"/>
                </w:tcPr>
                <w:p w14:paraId="32AC148F">
                  <w:pPr>
                    <w:jc w:val="center"/>
                    <w:rPr>
                      <w:sz w:val="21"/>
                      <w:szCs w:val="21"/>
                    </w:rPr>
                  </w:pPr>
                  <w:r>
                    <w:rPr>
                      <w:rFonts w:hint="eastAsia"/>
                      <w:sz w:val="21"/>
                      <w:szCs w:val="21"/>
                    </w:rPr>
                    <w:t>19319293.68</w:t>
                  </w:r>
                </w:p>
              </w:tc>
              <w:tc>
                <w:tcPr>
                  <w:tcW w:w="639" w:type="pct"/>
                  <w:vAlign w:val="center"/>
                </w:tcPr>
                <w:p w14:paraId="0E9D8892">
                  <w:pPr>
                    <w:jc w:val="center"/>
                    <w:rPr>
                      <w:sz w:val="21"/>
                      <w:szCs w:val="21"/>
                    </w:rPr>
                  </w:pPr>
                  <w:r>
                    <w:rPr>
                      <w:rFonts w:hint="eastAsia"/>
                      <w:sz w:val="21"/>
                      <w:szCs w:val="21"/>
                    </w:rPr>
                    <w:t>150</w:t>
                  </w:r>
                </w:p>
              </w:tc>
              <w:tc>
                <w:tcPr>
                  <w:tcW w:w="654" w:type="pct"/>
                  <w:vAlign w:val="center"/>
                </w:tcPr>
                <w:p w14:paraId="4C8CFB9D">
                  <w:pPr>
                    <w:jc w:val="center"/>
                    <w:rPr>
                      <w:sz w:val="21"/>
                      <w:szCs w:val="21"/>
                    </w:rPr>
                  </w:pPr>
                  <w:r>
                    <w:rPr>
                      <w:rFonts w:hint="eastAsia"/>
                      <w:sz w:val="21"/>
                      <w:szCs w:val="21"/>
                    </w:rPr>
                    <w:t>3698</w:t>
                  </w:r>
                </w:p>
              </w:tc>
            </w:tr>
            <w:tr w14:paraId="294E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56234DD3">
                  <w:pPr>
                    <w:jc w:val="center"/>
                    <w:rPr>
                      <w:sz w:val="21"/>
                      <w:szCs w:val="21"/>
                    </w:rPr>
                  </w:pPr>
                  <w:r>
                    <w:rPr>
                      <w:rFonts w:hint="eastAsia"/>
                      <w:sz w:val="21"/>
                      <w:szCs w:val="21"/>
                    </w:rPr>
                    <w:t>桂融页4-2</w:t>
                  </w:r>
                  <w:r>
                    <w:rPr>
                      <w:rFonts w:hint="eastAsia"/>
                      <w:sz w:val="21"/>
                      <w:szCs w:val="21"/>
                      <w:lang w:val="en-US" w:eastAsia="zh-CN"/>
                    </w:rPr>
                    <w:t>HF</w:t>
                  </w:r>
                  <w:r>
                    <w:rPr>
                      <w:rFonts w:hint="eastAsia"/>
                      <w:sz w:val="21"/>
                      <w:szCs w:val="21"/>
                    </w:rPr>
                    <w:t>井</w:t>
                  </w:r>
                </w:p>
              </w:tc>
              <w:tc>
                <w:tcPr>
                  <w:tcW w:w="746" w:type="pct"/>
                  <w:vAlign w:val="center"/>
                </w:tcPr>
                <w:p w14:paraId="236D87BF">
                  <w:pPr>
                    <w:jc w:val="center"/>
                    <w:rPr>
                      <w:sz w:val="21"/>
                      <w:szCs w:val="21"/>
                    </w:rPr>
                  </w:pPr>
                  <w:r>
                    <w:rPr>
                      <w:sz w:val="21"/>
                      <w:szCs w:val="21"/>
                    </w:rPr>
                    <w:t>井口</w:t>
                  </w:r>
                </w:p>
              </w:tc>
              <w:tc>
                <w:tcPr>
                  <w:tcW w:w="914" w:type="pct"/>
                  <w:vAlign w:val="center"/>
                </w:tcPr>
                <w:p w14:paraId="3BFD7A09">
                  <w:pPr>
                    <w:jc w:val="center"/>
                    <w:rPr>
                      <w:sz w:val="21"/>
                      <w:szCs w:val="21"/>
                    </w:rPr>
                  </w:pPr>
                  <w:r>
                    <w:rPr>
                      <w:sz w:val="21"/>
                      <w:szCs w:val="21"/>
                    </w:rPr>
                    <w:t>2748634.86</w:t>
                  </w:r>
                </w:p>
              </w:tc>
              <w:tc>
                <w:tcPr>
                  <w:tcW w:w="919" w:type="pct"/>
                  <w:vAlign w:val="center"/>
                </w:tcPr>
                <w:p w14:paraId="063F8856">
                  <w:pPr>
                    <w:jc w:val="center"/>
                    <w:rPr>
                      <w:sz w:val="21"/>
                      <w:szCs w:val="21"/>
                    </w:rPr>
                  </w:pPr>
                  <w:r>
                    <w:rPr>
                      <w:rFonts w:hint="eastAsia"/>
                      <w:sz w:val="21"/>
                      <w:szCs w:val="21"/>
                    </w:rPr>
                    <w:t>19319304.33</w:t>
                  </w:r>
                </w:p>
              </w:tc>
              <w:tc>
                <w:tcPr>
                  <w:tcW w:w="639" w:type="pct"/>
                  <w:vAlign w:val="center"/>
                </w:tcPr>
                <w:p w14:paraId="4E5DEF48">
                  <w:pPr>
                    <w:jc w:val="center"/>
                    <w:rPr>
                      <w:sz w:val="21"/>
                      <w:szCs w:val="21"/>
                    </w:rPr>
                  </w:pPr>
                  <w:r>
                    <w:rPr>
                      <w:rFonts w:hint="eastAsia"/>
                      <w:sz w:val="21"/>
                      <w:szCs w:val="21"/>
                    </w:rPr>
                    <w:t>150</w:t>
                  </w:r>
                </w:p>
              </w:tc>
              <w:tc>
                <w:tcPr>
                  <w:tcW w:w="654" w:type="pct"/>
                  <w:vAlign w:val="center"/>
                </w:tcPr>
                <w:p w14:paraId="04B18529">
                  <w:pPr>
                    <w:jc w:val="center"/>
                    <w:rPr>
                      <w:sz w:val="21"/>
                      <w:szCs w:val="21"/>
                    </w:rPr>
                  </w:pPr>
                  <w:r>
                    <w:rPr>
                      <w:rFonts w:hint="eastAsia"/>
                      <w:sz w:val="21"/>
                      <w:szCs w:val="21"/>
                    </w:rPr>
                    <w:t>3698</w:t>
                  </w:r>
                </w:p>
              </w:tc>
            </w:tr>
            <w:tr w14:paraId="5A4A6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37426B6D">
                  <w:pPr>
                    <w:jc w:val="center"/>
                    <w:rPr>
                      <w:sz w:val="21"/>
                      <w:szCs w:val="21"/>
                    </w:rPr>
                  </w:pPr>
                  <w:r>
                    <w:rPr>
                      <w:rFonts w:hint="eastAsia"/>
                      <w:sz w:val="21"/>
                      <w:szCs w:val="21"/>
                    </w:rPr>
                    <w:t>桂融页4-3</w:t>
                  </w:r>
                  <w:r>
                    <w:rPr>
                      <w:rFonts w:hint="eastAsia"/>
                      <w:sz w:val="21"/>
                      <w:szCs w:val="21"/>
                      <w:lang w:val="en-US" w:eastAsia="zh-CN"/>
                    </w:rPr>
                    <w:t>HF</w:t>
                  </w:r>
                  <w:r>
                    <w:rPr>
                      <w:rFonts w:hint="eastAsia"/>
                      <w:sz w:val="21"/>
                      <w:szCs w:val="21"/>
                    </w:rPr>
                    <w:t>井</w:t>
                  </w:r>
                </w:p>
              </w:tc>
              <w:tc>
                <w:tcPr>
                  <w:tcW w:w="746" w:type="pct"/>
                  <w:vAlign w:val="center"/>
                </w:tcPr>
                <w:p w14:paraId="0A1FFCE8">
                  <w:pPr>
                    <w:jc w:val="center"/>
                    <w:rPr>
                      <w:sz w:val="21"/>
                      <w:szCs w:val="21"/>
                    </w:rPr>
                  </w:pPr>
                  <w:r>
                    <w:rPr>
                      <w:sz w:val="21"/>
                      <w:szCs w:val="21"/>
                    </w:rPr>
                    <w:t>井口</w:t>
                  </w:r>
                </w:p>
              </w:tc>
              <w:tc>
                <w:tcPr>
                  <w:tcW w:w="914" w:type="pct"/>
                  <w:vAlign w:val="center"/>
                </w:tcPr>
                <w:p w14:paraId="08360EA0">
                  <w:pPr>
                    <w:jc w:val="center"/>
                    <w:rPr>
                      <w:sz w:val="21"/>
                      <w:szCs w:val="21"/>
                    </w:rPr>
                  </w:pPr>
                  <w:r>
                    <w:rPr>
                      <w:sz w:val="21"/>
                      <w:szCs w:val="21"/>
                    </w:rPr>
                    <w:t>2748628.67</w:t>
                  </w:r>
                </w:p>
              </w:tc>
              <w:tc>
                <w:tcPr>
                  <w:tcW w:w="919" w:type="pct"/>
                  <w:vAlign w:val="center"/>
                </w:tcPr>
                <w:p w14:paraId="1CDBC866">
                  <w:pPr>
                    <w:jc w:val="center"/>
                    <w:rPr>
                      <w:sz w:val="21"/>
                      <w:szCs w:val="21"/>
                    </w:rPr>
                  </w:pPr>
                  <w:r>
                    <w:rPr>
                      <w:rFonts w:hint="eastAsia"/>
                      <w:sz w:val="21"/>
                      <w:szCs w:val="21"/>
                    </w:rPr>
                    <w:t>19319313.47</w:t>
                  </w:r>
                </w:p>
              </w:tc>
              <w:tc>
                <w:tcPr>
                  <w:tcW w:w="639" w:type="pct"/>
                  <w:vAlign w:val="center"/>
                </w:tcPr>
                <w:p w14:paraId="36A3B457">
                  <w:pPr>
                    <w:jc w:val="center"/>
                    <w:rPr>
                      <w:sz w:val="21"/>
                      <w:szCs w:val="21"/>
                    </w:rPr>
                  </w:pPr>
                  <w:r>
                    <w:rPr>
                      <w:rFonts w:hint="eastAsia"/>
                      <w:sz w:val="21"/>
                      <w:szCs w:val="21"/>
                    </w:rPr>
                    <w:t>150</w:t>
                  </w:r>
                </w:p>
              </w:tc>
              <w:tc>
                <w:tcPr>
                  <w:tcW w:w="654" w:type="pct"/>
                  <w:vAlign w:val="center"/>
                </w:tcPr>
                <w:p w14:paraId="414A4BCA">
                  <w:pPr>
                    <w:jc w:val="center"/>
                    <w:rPr>
                      <w:sz w:val="21"/>
                      <w:szCs w:val="21"/>
                    </w:rPr>
                  </w:pPr>
                  <w:r>
                    <w:rPr>
                      <w:rFonts w:hint="eastAsia"/>
                      <w:sz w:val="21"/>
                      <w:szCs w:val="21"/>
                    </w:rPr>
                    <w:t>3698</w:t>
                  </w:r>
                </w:p>
              </w:tc>
            </w:tr>
            <w:tr w14:paraId="60F9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73E7CD0A">
                  <w:pPr>
                    <w:jc w:val="center"/>
                    <w:rPr>
                      <w:sz w:val="21"/>
                      <w:szCs w:val="21"/>
                    </w:rPr>
                  </w:pPr>
                  <w:r>
                    <w:rPr>
                      <w:rFonts w:hint="eastAsia"/>
                      <w:sz w:val="21"/>
                      <w:szCs w:val="21"/>
                    </w:rPr>
                    <w:t>桂融页4-4</w:t>
                  </w:r>
                  <w:r>
                    <w:rPr>
                      <w:rFonts w:hint="eastAsia"/>
                      <w:sz w:val="21"/>
                      <w:szCs w:val="21"/>
                      <w:lang w:val="en-US" w:eastAsia="zh-CN"/>
                    </w:rPr>
                    <w:t>HF</w:t>
                  </w:r>
                  <w:r>
                    <w:rPr>
                      <w:rFonts w:hint="eastAsia"/>
                      <w:sz w:val="21"/>
                      <w:szCs w:val="21"/>
                    </w:rPr>
                    <w:t>井</w:t>
                  </w:r>
                </w:p>
              </w:tc>
              <w:tc>
                <w:tcPr>
                  <w:tcW w:w="746" w:type="pct"/>
                  <w:vAlign w:val="center"/>
                </w:tcPr>
                <w:p w14:paraId="1EB1DC97">
                  <w:pPr>
                    <w:jc w:val="center"/>
                    <w:rPr>
                      <w:sz w:val="21"/>
                      <w:szCs w:val="21"/>
                    </w:rPr>
                  </w:pPr>
                  <w:r>
                    <w:rPr>
                      <w:sz w:val="21"/>
                      <w:szCs w:val="21"/>
                    </w:rPr>
                    <w:t>井口</w:t>
                  </w:r>
                </w:p>
              </w:tc>
              <w:tc>
                <w:tcPr>
                  <w:tcW w:w="914" w:type="pct"/>
                  <w:vAlign w:val="center"/>
                </w:tcPr>
                <w:p w14:paraId="28684C52">
                  <w:pPr>
                    <w:jc w:val="center"/>
                    <w:rPr>
                      <w:sz w:val="21"/>
                      <w:szCs w:val="21"/>
                    </w:rPr>
                  </w:pPr>
                  <w:r>
                    <w:rPr>
                      <w:sz w:val="21"/>
                      <w:szCs w:val="21"/>
                    </w:rPr>
                    <w:t>2748664.87</w:t>
                  </w:r>
                </w:p>
              </w:tc>
              <w:tc>
                <w:tcPr>
                  <w:tcW w:w="919" w:type="pct"/>
                  <w:vAlign w:val="center"/>
                </w:tcPr>
                <w:p w14:paraId="4444B9DC">
                  <w:pPr>
                    <w:jc w:val="center"/>
                    <w:rPr>
                      <w:sz w:val="21"/>
                      <w:szCs w:val="21"/>
                    </w:rPr>
                  </w:pPr>
                  <w:r>
                    <w:rPr>
                      <w:rFonts w:hint="eastAsia"/>
                      <w:sz w:val="21"/>
                      <w:szCs w:val="21"/>
                    </w:rPr>
                    <w:t>19</w:t>
                  </w:r>
                  <w:r>
                    <w:rPr>
                      <w:sz w:val="21"/>
                      <w:szCs w:val="21"/>
                    </w:rPr>
                    <w:t>319317.38</w:t>
                  </w:r>
                </w:p>
              </w:tc>
              <w:tc>
                <w:tcPr>
                  <w:tcW w:w="639" w:type="pct"/>
                  <w:vAlign w:val="center"/>
                </w:tcPr>
                <w:p w14:paraId="1B9AFF1F">
                  <w:pPr>
                    <w:jc w:val="center"/>
                    <w:rPr>
                      <w:sz w:val="21"/>
                      <w:szCs w:val="21"/>
                    </w:rPr>
                  </w:pPr>
                  <w:r>
                    <w:rPr>
                      <w:rFonts w:hint="eastAsia"/>
                      <w:sz w:val="21"/>
                      <w:szCs w:val="21"/>
                    </w:rPr>
                    <w:t>150</w:t>
                  </w:r>
                </w:p>
              </w:tc>
              <w:tc>
                <w:tcPr>
                  <w:tcW w:w="654" w:type="pct"/>
                  <w:vAlign w:val="center"/>
                </w:tcPr>
                <w:p w14:paraId="243A05B4">
                  <w:pPr>
                    <w:jc w:val="center"/>
                    <w:rPr>
                      <w:sz w:val="21"/>
                      <w:szCs w:val="21"/>
                    </w:rPr>
                  </w:pPr>
                  <w:r>
                    <w:rPr>
                      <w:rFonts w:hint="eastAsia"/>
                      <w:sz w:val="21"/>
                      <w:szCs w:val="21"/>
                    </w:rPr>
                    <w:t>3698</w:t>
                  </w:r>
                </w:p>
              </w:tc>
            </w:tr>
            <w:tr w14:paraId="32E1F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63CDC0BA">
                  <w:pPr>
                    <w:jc w:val="center"/>
                    <w:rPr>
                      <w:sz w:val="21"/>
                      <w:szCs w:val="21"/>
                    </w:rPr>
                  </w:pPr>
                  <w:r>
                    <w:rPr>
                      <w:rFonts w:hint="eastAsia"/>
                      <w:sz w:val="21"/>
                      <w:szCs w:val="21"/>
                    </w:rPr>
                    <w:t>桂融页4-5</w:t>
                  </w:r>
                  <w:r>
                    <w:rPr>
                      <w:rFonts w:hint="eastAsia"/>
                      <w:sz w:val="21"/>
                      <w:szCs w:val="21"/>
                      <w:lang w:val="en-US" w:eastAsia="zh-CN"/>
                    </w:rPr>
                    <w:t>HF</w:t>
                  </w:r>
                  <w:r>
                    <w:rPr>
                      <w:rFonts w:hint="eastAsia"/>
                      <w:sz w:val="21"/>
                      <w:szCs w:val="21"/>
                    </w:rPr>
                    <w:t>井</w:t>
                  </w:r>
                </w:p>
              </w:tc>
              <w:tc>
                <w:tcPr>
                  <w:tcW w:w="746" w:type="pct"/>
                  <w:vAlign w:val="center"/>
                </w:tcPr>
                <w:p w14:paraId="67677942">
                  <w:pPr>
                    <w:jc w:val="center"/>
                    <w:rPr>
                      <w:sz w:val="21"/>
                      <w:szCs w:val="21"/>
                    </w:rPr>
                  </w:pPr>
                  <w:r>
                    <w:rPr>
                      <w:sz w:val="21"/>
                      <w:szCs w:val="21"/>
                    </w:rPr>
                    <w:t>井口</w:t>
                  </w:r>
                </w:p>
              </w:tc>
              <w:tc>
                <w:tcPr>
                  <w:tcW w:w="914" w:type="pct"/>
                  <w:vAlign w:val="center"/>
                </w:tcPr>
                <w:p w14:paraId="07A3C314">
                  <w:pPr>
                    <w:jc w:val="center"/>
                    <w:rPr>
                      <w:sz w:val="21"/>
                      <w:szCs w:val="21"/>
                    </w:rPr>
                  </w:pPr>
                  <w:r>
                    <w:rPr>
                      <w:sz w:val="21"/>
                      <w:szCs w:val="21"/>
                    </w:rPr>
                    <w:t>2748659.01</w:t>
                  </w:r>
                </w:p>
              </w:tc>
              <w:tc>
                <w:tcPr>
                  <w:tcW w:w="919" w:type="pct"/>
                  <w:vAlign w:val="center"/>
                </w:tcPr>
                <w:p w14:paraId="307F9189">
                  <w:pPr>
                    <w:jc w:val="center"/>
                    <w:rPr>
                      <w:sz w:val="21"/>
                      <w:szCs w:val="21"/>
                    </w:rPr>
                  </w:pPr>
                  <w:r>
                    <w:rPr>
                      <w:rFonts w:hint="eastAsia"/>
                      <w:sz w:val="21"/>
                      <w:szCs w:val="21"/>
                    </w:rPr>
                    <w:t>19</w:t>
                  </w:r>
                  <w:r>
                    <w:rPr>
                      <w:sz w:val="21"/>
                      <w:szCs w:val="21"/>
                    </w:rPr>
                    <w:t>319324.72</w:t>
                  </w:r>
                </w:p>
              </w:tc>
              <w:tc>
                <w:tcPr>
                  <w:tcW w:w="639" w:type="pct"/>
                  <w:vAlign w:val="center"/>
                </w:tcPr>
                <w:p w14:paraId="28FF023F">
                  <w:pPr>
                    <w:jc w:val="center"/>
                    <w:rPr>
                      <w:sz w:val="21"/>
                      <w:szCs w:val="21"/>
                    </w:rPr>
                  </w:pPr>
                  <w:r>
                    <w:rPr>
                      <w:rFonts w:hint="eastAsia"/>
                      <w:sz w:val="21"/>
                      <w:szCs w:val="21"/>
                    </w:rPr>
                    <w:t>150</w:t>
                  </w:r>
                </w:p>
              </w:tc>
              <w:tc>
                <w:tcPr>
                  <w:tcW w:w="654" w:type="pct"/>
                  <w:vAlign w:val="center"/>
                </w:tcPr>
                <w:p w14:paraId="5A05FDAE">
                  <w:pPr>
                    <w:jc w:val="center"/>
                    <w:rPr>
                      <w:sz w:val="21"/>
                      <w:szCs w:val="21"/>
                    </w:rPr>
                  </w:pPr>
                  <w:r>
                    <w:rPr>
                      <w:rFonts w:hint="eastAsia"/>
                      <w:sz w:val="21"/>
                      <w:szCs w:val="21"/>
                    </w:rPr>
                    <w:t>3698</w:t>
                  </w:r>
                </w:p>
              </w:tc>
            </w:tr>
            <w:tr w14:paraId="5A89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exact"/>
              </w:trPr>
              <w:tc>
                <w:tcPr>
                  <w:tcW w:w="1125" w:type="pct"/>
                  <w:vAlign w:val="center"/>
                </w:tcPr>
                <w:p w14:paraId="20F6B331">
                  <w:pPr>
                    <w:jc w:val="center"/>
                    <w:rPr>
                      <w:sz w:val="21"/>
                      <w:szCs w:val="21"/>
                    </w:rPr>
                  </w:pPr>
                  <w:r>
                    <w:rPr>
                      <w:rFonts w:hint="eastAsia"/>
                      <w:sz w:val="21"/>
                      <w:szCs w:val="21"/>
                    </w:rPr>
                    <w:t>桂融页4-6</w:t>
                  </w:r>
                  <w:r>
                    <w:rPr>
                      <w:rFonts w:hint="eastAsia"/>
                      <w:sz w:val="21"/>
                      <w:szCs w:val="21"/>
                      <w:lang w:val="en-US" w:eastAsia="zh-CN"/>
                    </w:rPr>
                    <w:t>HF</w:t>
                  </w:r>
                  <w:r>
                    <w:rPr>
                      <w:rFonts w:hint="eastAsia"/>
                      <w:sz w:val="21"/>
                      <w:szCs w:val="21"/>
                    </w:rPr>
                    <w:t>井</w:t>
                  </w:r>
                </w:p>
              </w:tc>
              <w:tc>
                <w:tcPr>
                  <w:tcW w:w="746" w:type="pct"/>
                  <w:vAlign w:val="center"/>
                </w:tcPr>
                <w:p w14:paraId="3345302D">
                  <w:pPr>
                    <w:jc w:val="center"/>
                    <w:rPr>
                      <w:sz w:val="21"/>
                      <w:szCs w:val="21"/>
                    </w:rPr>
                  </w:pPr>
                  <w:r>
                    <w:rPr>
                      <w:sz w:val="21"/>
                      <w:szCs w:val="21"/>
                    </w:rPr>
                    <w:t>井口</w:t>
                  </w:r>
                </w:p>
              </w:tc>
              <w:tc>
                <w:tcPr>
                  <w:tcW w:w="914" w:type="pct"/>
                  <w:vAlign w:val="center"/>
                </w:tcPr>
                <w:p w14:paraId="0055EBDE">
                  <w:pPr>
                    <w:jc w:val="center"/>
                    <w:rPr>
                      <w:sz w:val="21"/>
                      <w:szCs w:val="21"/>
                    </w:rPr>
                  </w:pPr>
                  <w:r>
                    <w:rPr>
                      <w:sz w:val="21"/>
                      <w:szCs w:val="21"/>
                    </w:rPr>
                    <w:t>2748652.98</w:t>
                  </w:r>
                </w:p>
              </w:tc>
              <w:tc>
                <w:tcPr>
                  <w:tcW w:w="919" w:type="pct"/>
                  <w:vAlign w:val="center"/>
                </w:tcPr>
                <w:p w14:paraId="7B465BFE">
                  <w:pPr>
                    <w:jc w:val="center"/>
                    <w:rPr>
                      <w:sz w:val="21"/>
                      <w:szCs w:val="21"/>
                    </w:rPr>
                  </w:pPr>
                  <w:r>
                    <w:rPr>
                      <w:rFonts w:hint="eastAsia"/>
                      <w:sz w:val="21"/>
                      <w:szCs w:val="21"/>
                    </w:rPr>
                    <w:t>19</w:t>
                  </w:r>
                  <w:r>
                    <w:rPr>
                      <w:sz w:val="21"/>
                      <w:szCs w:val="21"/>
                    </w:rPr>
                    <w:t>319331.56</w:t>
                  </w:r>
                </w:p>
              </w:tc>
              <w:tc>
                <w:tcPr>
                  <w:tcW w:w="639" w:type="pct"/>
                  <w:vAlign w:val="center"/>
                </w:tcPr>
                <w:p w14:paraId="55440FE4">
                  <w:pPr>
                    <w:jc w:val="center"/>
                    <w:rPr>
                      <w:sz w:val="21"/>
                      <w:szCs w:val="21"/>
                    </w:rPr>
                  </w:pPr>
                  <w:r>
                    <w:rPr>
                      <w:rFonts w:hint="eastAsia"/>
                      <w:sz w:val="21"/>
                      <w:szCs w:val="21"/>
                    </w:rPr>
                    <w:t>150</w:t>
                  </w:r>
                </w:p>
              </w:tc>
              <w:tc>
                <w:tcPr>
                  <w:tcW w:w="654" w:type="pct"/>
                  <w:vAlign w:val="center"/>
                </w:tcPr>
                <w:p w14:paraId="2F22865B">
                  <w:pPr>
                    <w:jc w:val="center"/>
                    <w:rPr>
                      <w:sz w:val="21"/>
                      <w:szCs w:val="21"/>
                    </w:rPr>
                  </w:pPr>
                  <w:r>
                    <w:rPr>
                      <w:rFonts w:hint="eastAsia"/>
                      <w:sz w:val="21"/>
                      <w:szCs w:val="21"/>
                    </w:rPr>
                    <w:t>3698</w:t>
                  </w:r>
                </w:p>
              </w:tc>
            </w:tr>
          </w:tbl>
          <w:p w14:paraId="57BBD3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构造位置：桂中坳陷柳城斜坡柳城北区块伏虎断裂西</w:t>
            </w:r>
          </w:p>
          <w:p w14:paraId="5BB591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设计完钻井深：斜深3698m、垂深1977.13m，其中水平位移1500m。</w:t>
            </w:r>
          </w:p>
          <w:p w14:paraId="5FA2B2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目的层：石炭系下统鹿寨组一段。</w:t>
            </w:r>
          </w:p>
          <w:p w14:paraId="7FAB8B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8" w:name="_Toc290045716"/>
            <w:bookmarkStart w:id="9" w:name="_Toc289896965"/>
            <w:bookmarkStart w:id="10" w:name="_Toc289894995"/>
            <w:bookmarkStart w:id="11" w:name="_Toc290042062"/>
            <w:bookmarkStart w:id="12" w:name="_Toc492614281"/>
            <w:bookmarkStart w:id="13" w:name="_Toc290042346"/>
            <w:bookmarkStart w:id="14" w:name="_Toc289892816"/>
            <w:bookmarkStart w:id="15" w:name="_Toc239676431"/>
            <w:r>
              <w:rPr>
                <w:rFonts w:hint="eastAsia"/>
              </w:rPr>
              <w:t>水平段</w:t>
            </w:r>
            <w:bookmarkEnd w:id="8"/>
            <w:bookmarkEnd w:id="9"/>
            <w:bookmarkEnd w:id="10"/>
            <w:bookmarkEnd w:id="11"/>
            <w:bookmarkEnd w:id="12"/>
            <w:bookmarkEnd w:id="13"/>
            <w:bookmarkEnd w:id="14"/>
            <w:bookmarkEnd w:id="15"/>
            <w:r>
              <w:rPr>
                <w:rFonts w:hint="eastAsia"/>
              </w:rPr>
              <w:t>：水平段长1500m，方位164.53°，井斜角89.54°。</w:t>
            </w:r>
          </w:p>
          <w:p w14:paraId="7325C6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靶窗要求：对应桂融地4井1935-1950m，靶体15m×20m（高度×宽度），井眼轨迹垂直方向中靶半高控制在7.5m以内；水平段水平方向中靶半宽控制在10m以内。</w:t>
            </w:r>
          </w:p>
          <w:p w14:paraId="0B3228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完钻层位：石炭系下统鹿寨组一段。</w:t>
            </w:r>
          </w:p>
          <w:p w14:paraId="1E461F4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完钻原则：</w:t>
            </w:r>
            <w:r>
              <w:rPr>
                <w:rFonts w:hint="eastAsia"/>
                <w:lang w:val="en-GB"/>
              </w:rPr>
              <w:t>钻完设计水平井段，留足</w:t>
            </w:r>
            <w:r>
              <w:rPr>
                <w:rFonts w:hint="eastAsia"/>
              </w:rPr>
              <w:t>50m</w:t>
            </w:r>
            <w:r>
              <w:rPr>
                <w:rFonts w:hint="eastAsia"/>
                <w:lang w:val="en-GB"/>
              </w:rPr>
              <w:t>口袋完钻；若钻遇复杂情况，则上报甲方。</w:t>
            </w:r>
          </w:p>
          <w:p w14:paraId="032B22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bookmarkStart w:id="16" w:name="_Toc290042065"/>
            <w:bookmarkStart w:id="17" w:name="_Toc290042349"/>
            <w:bookmarkStart w:id="18" w:name="_Toc492614284"/>
            <w:bookmarkStart w:id="19" w:name="_Toc239676434"/>
            <w:bookmarkStart w:id="20" w:name="_Toc290045719"/>
            <w:bookmarkStart w:id="21" w:name="_Toc289896968"/>
            <w:bookmarkStart w:id="22" w:name="_Toc289894998"/>
            <w:bookmarkStart w:id="23" w:name="_Toc289892819"/>
            <w:r>
              <w:rPr>
                <w:rFonts w:hint="eastAsia"/>
              </w:rPr>
              <w:t>完井方式</w:t>
            </w:r>
            <w:bookmarkEnd w:id="16"/>
            <w:bookmarkEnd w:id="17"/>
            <w:bookmarkEnd w:id="18"/>
            <w:bookmarkEnd w:id="19"/>
            <w:bookmarkEnd w:id="20"/>
            <w:bookmarkEnd w:id="21"/>
            <w:bookmarkEnd w:id="22"/>
            <w:bookmarkEnd w:id="23"/>
            <w:r>
              <w:rPr>
                <w:rFonts w:hint="eastAsia"/>
              </w:rPr>
              <w:t>：套管完井。</w:t>
            </w:r>
          </w:p>
          <w:p w14:paraId="28C890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地址任务：（1）力争伏虎断裂西获得工业产能，实现效益开发突破；</w:t>
            </w:r>
          </w:p>
          <w:p w14:paraId="315389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（2）获取地层压力、温度、流体性质等相关资料，评价伏虎断裂西鹿寨组一段页岩储层特征；</w:t>
            </w:r>
          </w:p>
          <w:p w14:paraId="6CDB3D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（3）开展钻完井及压裂改造工艺技术适应性评价，支撑桂融页4平台井组开发。</w:t>
            </w:r>
          </w:p>
          <w:p w14:paraId="31D5BC51">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2、项目建设内容及组成</w:t>
            </w:r>
          </w:p>
          <w:p w14:paraId="22C112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项目现已完成工程的基础上进行扩建，由原来的一口</w:t>
            </w:r>
            <w:r>
              <w:t>勘探井</w:t>
            </w:r>
            <w:r>
              <w:rPr>
                <w:rFonts w:hint="eastAsia"/>
              </w:rPr>
              <w:t>增加至六口</w:t>
            </w:r>
            <w:r>
              <w:t>勘探井</w:t>
            </w:r>
            <w:r>
              <w:rPr>
                <w:rFonts w:hint="eastAsia"/>
              </w:rPr>
              <w:t>。根据《石油天然气勘探规范》(GB/T39537-2020)，“7.3.7按照探明储量规范开展试油试采，确定油气井产能”属于石油天然气勘探中油气藏评价阶段主要工作内容。本</w:t>
            </w:r>
            <w:r>
              <w:t>工程不涉及运营期进行油气的采输生产问题，因此不对运营期工程进行分析。</w:t>
            </w:r>
          </w:p>
          <w:p w14:paraId="58A90F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本次扩建工程内容主要为新增钻井建设、对现有钻井进行改造试采，以及</w:t>
            </w:r>
            <w:r>
              <w:rPr>
                <w:rFonts w:hint="eastAsia"/>
                <w:lang w:val="en-US" w:eastAsia="zh-CN"/>
              </w:rPr>
              <w:t>在</w:t>
            </w:r>
            <w:r>
              <w:rPr>
                <w:rFonts w:hint="eastAsia"/>
              </w:rPr>
              <w:t>钻井三开开次</w:t>
            </w:r>
            <w:r>
              <w:rPr>
                <w:rFonts w:hint="eastAsia"/>
                <w:lang w:val="en-US" w:eastAsia="zh-CN"/>
              </w:rPr>
              <w:t>时</w:t>
            </w:r>
            <w:r>
              <w:rPr>
                <w:rFonts w:hint="eastAsia"/>
              </w:rPr>
              <w:t>新增危废暂存间和压裂施工时盐酸罐的建设，其他辅助工程、公用工程等均依托现有设施。钻井工程主要是在平台井场内部署勘探井，包括钻井作业、固井作业，以及完钻后钻井设备离场拆除等；钻井工程结束后进行储层改造</w:t>
            </w:r>
            <w:r>
              <w:t>工程</w:t>
            </w:r>
            <w:r>
              <w:rPr>
                <w:rFonts w:hint="eastAsia"/>
              </w:rPr>
              <w:t>，下套管完井，在井场内对井实施</w:t>
            </w:r>
            <w:r>
              <w:t>分段射孔压裂</w:t>
            </w:r>
            <w:r>
              <w:rPr>
                <w:rFonts w:hint="eastAsia"/>
              </w:rPr>
              <w:t>；储层改造结束后进行试采作业；拟建井井别为评价井，此次不进行页岩气生产，若后续进行开采，须另行开展环评。项目建设情况具体见下表。</w:t>
            </w:r>
          </w:p>
          <w:p w14:paraId="68B675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 xml:space="preserve">表2-2 </w:t>
            </w:r>
            <w:r>
              <w:rPr>
                <w:b/>
                <w:bCs/>
              </w:rPr>
              <w:t>项目</w:t>
            </w:r>
            <w:r>
              <w:rPr>
                <w:rFonts w:hint="eastAsia"/>
                <w:b/>
                <w:bCs/>
              </w:rPr>
              <w:t>组成</w:t>
            </w:r>
            <w:r>
              <w:rPr>
                <w:b/>
                <w:bCs/>
              </w:rPr>
              <w:t>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3"/>
              <w:gridCol w:w="568"/>
              <w:gridCol w:w="758"/>
              <w:gridCol w:w="2699"/>
              <w:gridCol w:w="2553"/>
              <w:gridCol w:w="1174"/>
            </w:tblGrid>
            <w:tr w14:paraId="27C03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0" w:type="pct"/>
                  <w:gridSpan w:val="3"/>
                  <w:vAlign w:val="center"/>
                </w:tcPr>
                <w:p w14:paraId="27A6B7DD">
                  <w:pPr>
                    <w:jc w:val="center"/>
                    <w:rPr>
                      <w:b/>
                      <w:bCs/>
                      <w:sz w:val="21"/>
                      <w:szCs w:val="21"/>
                    </w:rPr>
                  </w:pPr>
                  <w:r>
                    <w:rPr>
                      <w:b/>
                      <w:bCs/>
                      <w:sz w:val="21"/>
                      <w:szCs w:val="21"/>
                    </w:rPr>
                    <w:t>组成</w:t>
                  </w:r>
                </w:p>
              </w:tc>
              <w:tc>
                <w:tcPr>
                  <w:tcW w:w="2958" w:type="pct"/>
                  <w:gridSpan w:val="2"/>
                  <w:vAlign w:val="center"/>
                </w:tcPr>
                <w:p w14:paraId="41E86749">
                  <w:pPr>
                    <w:jc w:val="center"/>
                    <w:rPr>
                      <w:b/>
                      <w:bCs/>
                      <w:sz w:val="21"/>
                      <w:szCs w:val="21"/>
                    </w:rPr>
                  </w:pPr>
                  <w:r>
                    <w:rPr>
                      <w:b/>
                      <w:bCs/>
                      <w:sz w:val="21"/>
                      <w:szCs w:val="21"/>
                    </w:rPr>
                    <w:t>项目内容</w:t>
                  </w:r>
                </w:p>
              </w:tc>
              <w:tc>
                <w:tcPr>
                  <w:tcW w:w="661" w:type="pct"/>
                  <w:vMerge w:val="restart"/>
                  <w:vAlign w:val="center"/>
                </w:tcPr>
                <w:p w14:paraId="7C1A2D99">
                  <w:pPr>
                    <w:jc w:val="center"/>
                    <w:rPr>
                      <w:b/>
                      <w:bCs/>
                      <w:sz w:val="21"/>
                      <w:szCs w:val="21"/>
                    </w:rPr>
                  </w:pPr>
                  <w:r>
                    <w:rPr>
                      <w:b/>
                      <w:bCs/>
                      <w:sz w:val="21"/>
                      <w:szCs w:val="21"/>
                    </w:rPr>
                    <w:t>备注</w:t>
                  </w:r>
                </w:p>
              </w:tc>
            </w:tr>
            <w:tr w14:paraId="5F28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Align w:val="center"/>
                </w:tcPr>
                <w:p w14:paraId="13EEFB31">
                  <w:pPr>
                    <w:jc w:val="center"/>
                    <w:rPr>
                      <w:b/>
                      <w:bCs/>
                      <w:sz w:val="21"/>
                      <w:szCs w:val="21"/>
                    </w:rPr>
                  </w:pPr>
                  <w:r>
                    <w:rPr>
                      <w:b/>
                      <w:bCs/>
                      <w:sz w:val="21"/>
                      <w:szCs w:val="21"/>
                    </w:rPr>
                    <w:t>类别</w:t>
                  </w:r>
                </w:p>
              </w:tc>
              <w:tc>
                <w:tcPr>
                  <w:tcW w:w="747" w:type="pct"/>
                  <w:gridSpan w:val="2"/>
                  <w:vAlign w:val="center"/>
                </w:tcPr>
                <w:p w14:paraId="52273F85">
                  <w:pPr>
                    <w:jc w:val="center"/>
                    <w:rPr>
                      <w:b/>
                      <w:bCs/>
                      <w:sz w:val="21"/>
                      <w:szCs w:val="21"/>
                    </w:rPr>
                  </w:pPr>
                  <w:r>
                    <w:rPr>
                      <w:b/>
                      <w:bCs/>
                      <w:sz w:val="21"/>
                      <w:szCs w:val="21"/>
                    </w:rPr>
                    <w:t>工程名称</w:t>
                  </w:r>
                </w:p>
              </w:tc>
              <w:tc>
                <w:tcPr>
                  <w:tcW w:w="1520" w:type="pct"/>
                  <w:vAlign w:val="center"/>
                </w:tcPr>
                <w:p w14:paraId="46BCBE69">
                  <w:pPr>
                    <w:jc w:val="center"/>
                    <w:rPr>
                      <w:b/>
                      <w:bCs/>
                      <w:sz w:val="21"/>
                      <w:szCs w:val="21"/>
                    </w:rPr>
                  </w:pPr>
                  <w:r>
                    <w:rPr>
                      <w:b/>
                      <w:bCs/>
                      <w:sz w:val="21"/>
                      <w:szCs w:val="21"/>
                    </w:rPr>
                    <w:t>现有工程</w:t>
                  </w:r>
                </w:p>
              </w:tc>
              <w:tc>
                <w:tcPr>
                  <w:tcW w:w="1438" w:type="pct"/>
                  <w:vAlign w:val="center"/>
                </w:tcPr>
                <w:p w14:paraId="51E1ADF7">
                  <w:pPr>
                    <w:jc w:val="center"/>
                    <w:rPr>
                      <w:b/>
                      <w:bCs/>
                      <w:sz w:val="21"/>
                      <w:szCs w:val="21"/>
                    </w:rPr>
                  </w:pPr>
                  <w:r>
                    <w:rPr>
                      <w:rFonts w:hint="eastAsia"/>
                      <w:b/>
                      <w:bCs/>
                      <w:sz w:val="21"/>
                      <w:szCs w:val="21"/>
                    </w:rPr>
                    <w:t>本工程</w:t>
                  </w:r>
                </w:p>
              </w:tc>
              <w:tc>
                <w:tcPr>
                  <w:tcW w:w="661" w:type="pct"/>
                  <w:vMerge w:val="continue"/>
                  <w:vAlign w:val="center"/>
                </w:tcPr>
                <w:p w14:paraId="59DBC52E">
                  <w:pPr>
                    <w:jc w:val="center"/>
                    <w:rPr>
                      <w:b/>
                      <w:bCs/>
                      <w:sz w:val="21"/>
                      <w:szCs w:val="21"/>
                    </w:rPr>
                  </w:pPr>
                </w:p>
              </w:tc>
            </w:tr>
            <w:tr w14:paraId="08C8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3" w:type="pct"/>
                  <w:vMerge w:val="restart"/>
                  <w:vAlign w:val="center"/>
                </w:tcPr>
                <w:p w14:paraId="29B15830">
                  <w:pPr>
                    <w:jc w:val="center"/>
                    <w:rPr>
                      <w:sz w:val="21"/>
                      <w:szCs w:val="21"/>
                    </w:rPr>
                  </w:pPr>
                  <w:r>
                    <w:rPr>
                      <w:sz w:val="21"/>
                      <w:szCs w:val="21"/>
                    </w:rPr>
                    <w:t>主体工程</w:t>
                  </w:r>
                </w:p>
              </w:tc>
              <w:tc>
                <w:tcPr>
                  <w:tcW w:w="320" w:type="pct"/>
                  <w:vMerge w:val="restart"/>
                  <w:vAlign w:val="center"/>
                </w:tcPr>
                <w:p w14:paraId="1390F3FF">
                  <w:pPr>
                    <w:jc w:val="center"/>
                    <w:rPr>
                      <w:sz w:val="21"/>
                      <w:szCs w:val="21"/>
                    </w:rPr>
                  </w:pPr>
                  <w:r>
                    <w:rPr>
                      <w:sz w:val="21"/>
                      <w:szCs w:val="21"/>
                    </w:rPr>
                    <w:t>钻前工程</w:t>
                  </w:r>
                </w:p>
              </w:tc>
              <w:tc>
                <w:tcPr>
                  <w:tcW w:w="426" w:type="pct"/>
                  <w:vAlign w:val="center"/>
                </w:tcPr>
                <w:p w14:paraId="3AED26D9">
                  <w:pPr>
                    <w:jc w:val="center"/>
                    <w:rPr>
                      <w:sz w:val="21"/>
                      <w:szCs w:val="21"/>
                    </w:rPr>
                  </w:pPr>
                  <w:r>
                    <w:rPr>
                      <w:sz w:val="21"/>
                      <w:szCs w:val="21"/>
                    </w:rPr>
                    <w:t>井场</w:t>
                  </w:r>
                </w:p>
              </w:tc>
              <w:tc>
                <w:tcPr>
                  <w:tcW w:w="1520" w:type="pct"/>
                  <w:shd w:val="clear" w:color="auto" w:fill="auto"/>
                  <w:vAlign w:val="center"/>
                </w:tcPr>
                <w:p w14:paraId="36F828ED">
                  <w:pPr>
                    <w:jc w:val="center"/>
                    <w:rPr>
                      <w:sz w:val="21"/>
                      <w:szCs w:val="21"/>
                    </w:rPr>
                  </w:pPr>
                  <w:r>
                    <w:rPr>
                      <w:rFonts w:hint="eastAsia"/>
                      <w:sz w:val="21"/>
                      <w:szCs w:val="21"/>
                    </w:rPr>
                    <w:t>一座井场占地面积约8700m</w:t>
                  </w:r>
                  <w:r>
                    <w:rPr>
                      <w:rFonts w:hint="eastAsia"/>
                      <w:sz w:val="21"/>
                      <w:szCs w:val="21"/>
                      <w:vertAlign w:val="superscript"/>
                    </w:rPr>
                    <w:t>2</w:t>
                  </w:r>
                  <w:r>
                    <w:rPr>
                      <w:rFonts w:hint="eastAsia"/>
                      <w:sz w:val="21"/>
                      <w:szCs w:val="21"/>
                    </w:rPr>
                    <w:t>，井场尺寸长约100m、宽约87m，设置一座方井</w:t>
                  </w:r>
                  <w:r>
                    <w:rPr>
                      <w:sz w:val="21"/>
                      <w:szCs w:val="21"/>
                    </w:rPr>
                    <w:t>井口</w:t>
                  </w:r>
                  <w:r>
                    <w:rPr>
                      <w:rFonts w:hint="eastAsia"/>
                      <w:sz w:val="21"/>
                      <w:szCs w:val="21"/>
                    </w:rPr>
                    <w:t>，一口长4000mm×宽4000mm×深3500mm砖砌混凝土方井，留排水沟，以便安装套管头和井控装置，同时设置钻井摆放区。钻井井型为直井。</w:t>
                  </w:r>
                </w:p>
              </w:tc>
              <w:tc>
                <w:tcPr>
                  <w:tcW w:w="1438" w:type="pct"/>
                  <w:vAlign w:val="center"/>
                </w:tcPr>
                <w:p w14:paraId="6946DA9F">
                  <w:pPr>
                    <w:jc w:val="center"/>
                    <w:rPr>
                      <w:sz w:val="21"/>
                      <w:szCs w:val="21"/>
                    </w:rPr>
                  </w:pPr>
                  <w:r>
                    <w:rPr>
                      <w:rFonts w:hint="eastAsia"/>
                      <w:sz w:val="21"/>
                      <w:szCs w:val="21"/>
                    </w:rPr>
                    <w:t>新增桂融页4-2HF井~桂融页4-6HF井的5座方井</w:t>
                  </w:r>
                  <w:r>
                    <w:rPr>
                      <w:sz w:val="21"/>
                      <w:szCs w:val="21"/>
                    </w:rPr>
                    <w:t>井口</w:t>
                  </w:r>
                  <w:r>
                    <w:rPr>
                      <w:rFonts w:hint="eastAsia"/>
                      <w:sz w:val="21"/>
                      <w:szCs w:val="21"/>
                    </w:rPr>
                    <w:t>，尺寸：4000mm×宽4000mm×深3500mm砖砌混凝土方井，留排水沟，以便安装套管头和井控装置，同时设置钻井摆放区。桂融页4-1HF井钻井井型由直井改为水平井，桂融页4-2HF井~桂融页4-6HF井设计为水平井。</w:t>
                  </w:r>
                </w:p>
              </w:tc>
              <w:tc>
                <w:tcPr>
                  <w:tcW w:w="661" w:type="pct"/>
                  <w:vAlign w:val="center"/>
                </w:tcPr>
                <w:p w14:paraId="5E3DED63">
                  <w:pPr>
                    <w:jc w:val="center"/>
                    <w:rPr>
                      <w:sz w:val="21"/>
                      <w:szCs w:val="21"/>
                    </w:rPr>
                  </w:pPr>
                  <w:r>
                    <w:rPr>
                      <w:rFonts w:hint="eastAsia"/>
                      <w:sz w:val="21"/>
                      <w:szCs w:val="21"/>
                    </w:rPr>
                    <w:t>新增对应桂融页4-2HF~桂融页4-6HF的5座方井</w:t>
                  </w:r>
                  <w:r>
                    <w:rPr>
                      <w:sz w:val="21"/>
                      <w:szCs w:val="21"/>
                    </w:rPr>
                    <w:t>井口</w:t>
                  </w:r>
                  <w:r>
                    <w:rPr>
                      <w:rFonts w:hint="eastAsia"/>
                      <w:sz w:val="21"/>
                      <w:szCs w:val="21"/>
                    </w:rPr>
                    <w:t>。桂融页4-2HF井~桂融页4-6HF井设计为水平井，桂融页4-1HF井钻井井型由直井改为水平井。</w:t>
                  </w:r>
                </w:p>
              </w:tc>
            </w:tr>
            <w:tr w14:paraId="4CED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1AFFEAAC">
                  <w:pPr>
                    <w:jc w:val="center"/>
                    <w:rPr>
                      <w:sz w:val="21"/>
                      <w:szCs w:val="21"/>
                    </w:rPr>
                  </w:pPr>
                </w:p>
              </w:tc>
              <w:tc>
                <w:tcPr>
                  <w:tcW w:w="320" w:type="pct"/>
                  <w:vMerge w:val="continue"/>
                  <w:vAlign w:val="center"/>
                </w:tcPr>
                <w:p w14:paraId="66DA8EEA">
                  <w:pPr>
                    <w:jc w:val="center"/>
                    <w:rPr>
                      <w:sz w:val="21"/>
                      <w:szCs w:val="21"/>
                    </w:rPr>
                  </w:pPr>
                </w:p>
              </w:tc>
              <w:tc>
                <w:tcPr>
                  <w:tcW w:w="426" w:type="pct"/>
                  <w:vAlign w:val="center"/>
                </w:tcPr>
                <w:p w14:paraId="69A99D51">
                  <w:pPr>
                    <w:jc w:val="center"/>
                    <w:rPr>
                      <w:sz w:val="21"/>
                      <w:szCs w:val="21"/>
                    </w:rPr>
                  </w:pPr>
                  <w:r>
                    <w:rPr>
                      <w:sz w:val="21"/>
                      <w:szCs w:val="21"/>
                    </w:rPr>
                    <w:t>清洁操作平台岩屑暂存区</w:t>
                  </w:r>
                </w:p>
              </w:tc>
              <w:tc>
                <w:tcPr>
                  <w:tcW w:w="1520" w:type="pct"/>
                  <w:shd w:val="clear" w:color="auto" w:fill="auto"/>
                  <w:vAlign w:val="center"/>
                </w:tcPr>
                <w:p w14:paraId="2B05255D">
                  <w:pPr>
                    <w:jc w:val="center"/>
                    <w:rPr>
                      <w:sz w:val="21"/>
                      <w:szCs w:val="21"/>
                    </w:rPr>
                  </w:pPr>
                  <w:r>
                    <w:rPr>
                      <w:rFonts w:hint="eastAsia"/>
                      <w:sz w:val="21"/>
                      <w:szCs w:val="21"/>
                    </w:rPr>
                    <w:t>清洁化操作平台岩屑暂存区面积为50m</w:t>
                  </w:r>
                  <w:r>
                    <w:rPr>
                      <w:rFonts w:hint="eastAsia"/>
                      <w:sz w:val="21"/>
                      <w:szCs w:val="21"/>
                      <w:vertAlign w:val="superscript"/>
                    </w:rPr>
                    <w:t>2</w:t>
                  </w:r>
                  <w:r>
                    <w:rPr>
                      <w:rFonts w:hint="eastAsia"/>
                      <w:sz w:val="21"/>
                      <w:szCs w:val="21"/>
                    </w:rPr>
                    <w:t>。</w:t>
                  </w:r>
                </w:p>
              </w:tc>
              <w:tc>
                <w:tcPr>
                  <w:tcW w:w="1438" w:type="pct"/>
                  <w:vAlign w:val="center"/>
                </w:tcPr>
                <w:p w14:paraId="7F771AB4">
                  <w:pPr>
                    <w:jc w:val="center"/>
                    <w:rPr>
                      <w:sz w:val="21"/>
                      <w:szCs w:val="21"/>
                    </w:rPr>
                  </w:pPr>
                  <w:r>
                    <w:rPr>
                      <w:rFonts w:hint="eastAsia"/>
                      <w:sz w:val="21"/>
                      <w:szCs w:val="21"/>
                    </w:rPr>
                    <w:t>依托现有工程</w:t>
                  </w:r>
                </w:p>
              </w:tc>
              <w:tc>
                <w:tcPr>
                  <w:tcW w:w="661" w:type="pct"/>
                  <w:vAlign w:val="center"/>
                </w:tcPr>
                <w:p w14:paraId="174854E4">
                  <w:pPr>
                    <w:jc w:val="center"/>
                    <w:rPr>
                      <w:sz w:val="21"/>
                      <w:szCs w:val="21"/>
                    </w:rPr>
                  </w:pPr>
                  <w:r>
                    <w:rPr>
                      <w:rFonts w:hint="eastAsia"/>
                      <w:sz w:val="21"/>
                      <w:szCs w:val="21"/>
                    </w:rPr>
                    <w:t>/</w:t>
                  </w:r>
                </w:p>
              </w:tc>
            </w:tr>
            <w:tr w14:paraId="15891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4E30EA59">
                  <w:pPr>
                    <w:jc w:val="center"/>
                    <w:rPr>
                      <w:sz w:val="21"/>
                      <w:szCs w:val="21"/>
                    </w:rPr>
                  </w:pPr>
                </w:p>
              </w:tc>
              <w:tc>
                <w:tcPr>
                  <w:tcW w:w="320" w:type="pct"/>
                  <w:vMerge w:val="continue"/>
                  <w:vAlign w:val="center"/>
                </w:tcPr>
                <w:p w14:paraId="459B2821">
                  <w:pPr>
                    <w:jc w:val="center"/>
                    <w:rPr>
                      <w:sz w:val="21"/>
                      <w:szCs w:val="21"/>
                    </w:rPr>
                  </w:pPr>
                </w:p>
              </w:tc>
              <w:tc>
                <w:tcPr>
                  <w:tcW w:w="426" w:type="pct"/>
                  <w:vAlign w:val="center"/>
                </w:tcPr>
                <w:p w14:paraId="6C5F64FC">
                  <w:pPr>
                    <w:jc w:val="center"/>
                    <w:rPr>
                      <w:sz w:val="21"/>
                      <w:szCs w:val="21"/>
                    </w:rPr>
                  </w:pPr>
                  <w:r>
                    <w:rPr>
                      <w:sz w:val="21"/>
                      <w:szCs w:val="21"/>
                    </w:rPr>
                    <w:t>清水池</w:t>
                  </w:r>
                </w:p>
              </w:tc>
              <w:tc>
                <w:tcPr>
                  <w:tcW w:w="1520" w:type="pct"/>
                  <w:shd w:val="clear" w:color="auto" w:fill="auto"/>
                  <w:vAlign w:val="center"/>
                </w:tcPr>
                <w:p w14:paraId="22B20013">
                  <w:pPr>
                    <w:jc w:val="center"/>
                    <w:rPr>
                      <w:sz w:val="21"/>
                      <w:szCs w:val="21"/>
                    </w:rPr>
                  </w:pPr>
                  <w:r>
                    <w:rPr>
                      <w:rFonts w:hint="eastAsia"/>
                      <w:sz w:val="21"/>
                      <w:szCs w:val="21"/>
                    </w:rPr>
                    <w:t>容积为200m</w:t>
                  </w:r>
                  <w:r>
                    <w:rPr>
                      <w:rFonts w:hint="eastAsia"/>
                      <w:sz w:val="21"/>
                      <w:szCs w:val="21"/>
                      <w:vertAlign w:val="superscript"/>
                    </w:rPr>
                    <w:t>3</w:t>
                  </w:r>
                  <w:r>
                    <w:rPr>
                      <w:rFonts w:hint="eastAsia"/>
                      <w:sz w:val="21"/>
                      <w:szCs w:val="21"/>
                    </w:rPr>
                    <w:t>，尺寸为：长10m、宽8m、深2.5m，用于存储生产用水。</w:t>
                  </w:r>
                </w:p>
              </w:tc>
              <w:tc>
                <w:tcPr>
                  <w:tcW w:w="1438" w:type="pct"/>
                  <w:vAlign w:val="center"/>
                </w:tcPr>
                <w:p w14:paraId="21B99B5E">
                  <w:pPr>
                    <w:jc w:val="center"/>
                    <w:rPr>
                      <w:sz w:val="21"/>
                      <w:szCs w:val="21"/>
                    </w:rPr>
                  </w:pPr>
                  <w:r>
                    <w:rPr>
                      <w:rFonts w:hint="eastAsia"/>
                      <w:sz w:val="21"/>
                      <w:szCs w:val="21"/>
                    </w:rPr>
                    <w:t>依托现有工程</w:t>
                  </w:r>
                </w:p>
              </w:tc>
              <w:tc>
                <w:tcPr>
                  <w:tcW w:w="661" w:type="pct"/>
                  <w:vAlign w:val="center"/>
                </w:tcPr>
                <w:p w14:paraId="688A1D0B">
                  <w:pPr>
                    <w:jc w:val="center"/>
                    <w:rPr>
                      <w:sz w:val="21"/>
                      <w:szCs w:val="21"/>
                    </w:rPr>
                  </w:pPr>
                  <w:r>
                    <w:rPr>
                      <w:rFonts w:hint="eastAsia"/>
                      <w:sz w:val="21"/>
                      <w:szCs w:val="21"/>
                    </w:rPr>
                    <w:t>/</w:t>
                  </w:r>
                </w:p>
              </w:tc>
            </w:tr>
            <w:tr w14:paraId="2CFA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480A6A0C">
                  <w:pPr>
                    <w:jc w:val="center"/>
                    <w:rPr>
                      <w:sz w:val="21"/>
                      <w:szCs w:val="21"/>
                    </w:rPr>
                  </w:pPr>
                </w:p>
              </w:tc>
              <w:tc>
                <w:tcPr>
                  <w:tcW w:w="320" w:type="pct"/>
                  <w:vMerge w:val="continue"/>
                  <w:vAlign w:val="center"/>
                </w:tcPr>
                <w:p w14:paraId="529332B0">
                  <w:pPr>
                    <w:jc w:val="center"/>
                    <w:rPr>
                      <w:sz w:val="21"/>
                      <w:szCs w:val="21"/>
                    </w:rPr>
                  </w:pPr>
                </w:p>
              </w:tc>
              <w:tc>
                <w:tcPr>
                  <w:tcW w:w="426" w:type="pct"/>
                  <w:vAlign w:val="center"/>
                </w:tcPr>
                <w:p w14:paraId="740C6C17">
                  <w:pPr>
                    <w:jc w:val="center"/>
                    <w:rPr>
                      <w:sz w:val="21"/>
                      <w:szCs w:val="21"/>
                    </w:rPr>
                  </w:pPr>
                  <w:r>
                    <w:rPr>
                      <w:sz w:val="21"/>
                      <w:szCs w:val="21"/>
                    </w:rPr>
                    <w:t>污水池</w:t>
                  </w:r>
                </w:p>
              </w:tc>
              <w:tc>
                <w:tcPr>
                  <w:tcW w:w="1520" w:type="pct"/>
                  <w:shd w:val="clear" w:color="auto" w:fill="auto"/>
                  <w:vAlign w:val="center"/>
                </w:tcPr>
                <w:p w14:paraId="1B9BAC9D">
                  <w:pPr>
                    <w:jc w:val="center"/>
                    <w:rPr>
                      <w:sz w:val="21"/>
                      <w:szCs w:val="21"/>
                    </w:rPr>
                  </w:pPr>
                  <w:r>
                    <w:rPr>
                      <w:rFonts w:hint="eastAsia"/>
                      <w:sz w:val="21"/>
                      <w:szCs w:val="21"/>
                    </w:rPr>
                    <w:t>容积为300m</w:t>
                  </w:r>
                  <w:r>
                    <w:rPr>
                      <w:rFonts w:hint="eastAsia"/>
                      <w:sz w:val="21"/>
                      <w:szCs w:val="21"/>
                      <w:vertAlign w:val="superscript"/>
                    </w:rPr>
                    <w:t>3</w:t>
                  </w:r>
                  <w:r>
                    <w:rPr>
                      <w:rFonts w:hint="eastAsia"/>
                      <w:sz w:val="21"/>
                      <w:szCs w:val="21"/>
                    </w:rPr>
                    <w:t>，尺寸为：长12m、宽10m、深2.5m，用于存储洗井废水等生产废水。</w:t>
                  </w:r>
                </w:p>
              </w:tc>
              <w:tc>
                <w:tcPr>
                  <w:tcW w:w="1438" w:type="pct"/>
                  <w:vAlign w:val="center"/>
                </w:tcPr>
                <w:p w14:paraId="3E39B90F">
                  <w:pPr>
                    <w:jc w:val="center"/>
                    <w:rPr>
                      <w:sz w:val="21"/>
                      <w:szCs w:val="21"/>
                    </w:rPr>
                  </w:pPr>
                  <w:r>
                    <w:rPr>
                      <w:rFonts w:hint="eastAsia"/>
                      <w:sz w:val="21"/>
                      <w:szCs w:val="21"/>
                    </w:rPr>
                    <w:t>依托现有工程</w:t>
                  </w:r>
                </w:p>
              </w:tc>
              <w:tc>
                <w:tcPr>
                  <w:tcW w:w="661" w:type="pct"/>
                  <w:vAlign w:val="center"/>
                </w:tcPr>
                <w:p w14:paraId="477D4CDD">
                  <w:pPr>
                    <w:jc w:val="center"/>
                    <w:rPr>
                      <w:sz w:val="21"/>
                      <w:szCs w:val="21"/>
                    </w:rPr>
                  </w:pPr>
                  <w:r>
                    <w:rPr>
                      <w:rFonts w:hint="eastAsia"/>
                      <w:sz w:val="21"/>
                      <w:szCs w:val="21"/>
                    </w:rPr>
                    <w:t>/</w:t>
                  </w:r>
                </w:p>
              </w:tc>
            </w:tr>
            <w:tr w14:paraId="7CBC6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25FFCB0E">
                  <w:pPr>
                    <w:jc w:val="center"/>
                    <w:rPr>
                      <w:sz w:val="21"/>
                      <w:szCs w:val="21"/>
                    </w:rPr>
                  </w:pPr>
                </w:p>
              </w:tc>
              <w:tc>
                <w:tcPr>
                  <w:tcW w:w="320" w:type="pct"/>
                  <w:vMerge w:val="continue"/>
                  <w:vAlign w:val="center"/>
                </w:tcPr>
                <w:p w14:paraId="611D9F31">
                  <w:pPr>
                    <w:jc w:val="center"/>
                    <w:rPr>
                      <w:sz w:val="21"/>
                      <w:szCs w:val="21"/>
                    </w:rPr>
                  </w:pPr>
                </w:p>
              </w:tc>
              <w:tc>
                <w:tcPr>
                  <w:tcW w:w="426" w:type="pct"/>
                  <w:vAlign w:val="center"/>
                </w:tcPr>
                <w:p w14:paraId="4871031A">
                  <w:pPr>
                    <w:jc w:val="center"/>
                    <w:rPr>
                      <w:sz w:val="21"/>
                      <w:szCs w:val="21"/>
                    </w:rPr>
                  </w:pPr>
                  <w:r>
                    <w:rPr>
                      <w:sz w:val="21"/>
                      <w:szCs w:val="21"/>
                    </w:rPr>
                    <w:t>放喷池</w:t>
                  </w:r>
                </w:p>
              </w:tc>
              <w:tc>
                <w:tcPr>
                  <w:tcW w:w="1520" w:type="pct"/>
                  <w:shd w:val="clear" w:color="auto" w:fill="auto"/>
                  <w:vAlign w:val="center"/>
                </w:tcPr>
                <w:p w14:paraId="3290D04B">
                  <w:pPr>
                    <w:jc w:val="center"/>
                    <w:rPr>
                      <w:sz w:val="21"/>
                      <w:szCs w:val="21"/>
                    </w:rPr>
                  </w:pPr>
                  <w:r>
                    <w:rPr>
                      <w:rFonts w:hint="eastAsia"/>
                      <w:sz w:val="21"/>
                      <w:szCs w:val="21"/>
                    </w:rPr>
                    <w:t>池子容积为75m</w:t>
                  </w:r>
                  <w:r>
                    <w:rPr>
                      <w:rFonts w:hint="eastAsia"/>
                      <w:sz w:val="21"/>
                      <w:szCs w:val="21"/>
                      <w:vertAlign w:val="superscript"/>
                    </w:rPr>
                    <w:t>3</w:t>
                  </w:r>
                  <w:r>
                    <w:rPr>
                      <w:rFonts w:hint="eastAsia"/>
                      <w:sz w:val="21"/>
                      <w:szCs w:val="21"/>
                    </w:rPr>
                    <w:t>，尺寸为：长15m、宽5m、深1m，设置在井场左侧和井场后方。距井口距离大于60m，池体为现浇钢筋混凝土结构，将池体埋至于地下，放喷器两侧、对面设有挡火墙，挡火墙用耐火砖砌筑。</w:t>
                  </w:r>
                </w:p>
              </w:tc>
              <w:tc>
                <w:tcPr>
                  <w:tcW w:w="1438" w:type="pct"/>
                  <w:vAlign w:val="center"/>
                </w:tcPr>
                <w:p w14:paraId="78938A89">
                  <w:pPr>
                    <w:jc w:val="center"/>
                    <w:rPr>
                      <w:sz w:val="21"/>
                      <w:szCs w:val="21"/>
                    </w:rPr>
                  </w:pPr>
                  <w:r>
                    <w:rPr>
                      <w:rFonts w:hint="eastAsia"/>
                      <w:sz w:val="21"/>
                      <w:szCs w:val="21"/>
                    </w:rPr>
                    <w:t>依托现有工程</w:t>
                  </w:r>
                </w:p>
              </w:tc>
              <w:tc>
                <w:tcPr>
                  <w:tcW w:w="661" w:type="pct"/>
                  <w:vAlign w:val="center"/>
                </w:tcPr>
                <w:p w14:paraId="4F3699F0">
                  <w:pPr>
                    <w:jc w:val="center"/>
                    <w:rPr>
                      <w:sz w:val="21"/>
                      <w:szCs w:val="21"/>
                    </w:rPr>
                  </w:pPr>
                  <w:r>
                    <w:rPr>
                      <w:rFonts w:hint="eastAsia"/>
                      <w:sz w:val="21"/>
                      <w:szCs w:val="21"/>
                    </w:rPr>
                    <w:t>/</w:t>
                  </w:r>
                </w:p>
              </w:tc>
            </w:tr>
            <w:tr w14:paraId="0ACE5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622A31A5">
                  <w:pPr>
                    <w:jc w:val="center"/>
                    <w:rPr>
                      <w:sz w:val="21"/>
                      <w:szCs w:val="21"/>
                    </w:rPr>
                  </w:pPr>
                </w:p>
              </w:tc>
              <w:tc>
                <w:tcPr>
                  <w:tcW w:w="320" w:type="pct"/>
                  <w:vMerge w:val="continue"/>
                  <w:vAlign w:val="center"/>
                </w:tcPr>
                <w:p w14:paraId="07BF73F7">
                  <w:pPr>
                    <w:jc w:val="center"/>
                    <w:rPr>
                      <w:sz w:val="21"/>
                      <w:szCs w:val="21"/>
                    </w:rPr>
                  </w:pPr>
                </w:p>
              </w:tc>
              <w:tc>
                <w:tcPr>
                  <w:tcW w:w="426" w:type="pct"/>
                  <w:vAlign w:val="center"/>
                </w:tcPr>
                <w:p w14:paraId="56D08938">
                  <w:pPr>
                    <w:jc w:val="center"/>
                    <w:rPr>
                      <w:sz w:val="21"/>
                      <w:szCs w:val="21"/>
                    </w:rPr>
                  </w:pPr>
                  <w:r>
                    <w:rPr>
                      <w:sz w:val="21"/>
                      <w:szCs w:val="21"/>
                    </w:rPr>
                    <w:t>垃圾池</w:t>
                  </w:r>
                </w:p>
              </w:tc>
              <w:tc>
                <w:tcPr>
                  <w:tcW w:w="1520" w:type="pct"/>
                  <w:shd w:val="clear" w:color="auto" w:fill="auto"/>
                  <w:vAlign w:val="center"/>
                </w:tcPr>
                <w:p w14:paraId="192D15EB">
                  <w:pPr>
                    <w:jc w:val="center"/>
                    <w:rPr>
                      <w:sz w:val="21"/>
                      <w:szCs w:val="21"/>
                    </w:rPr>
                  </w:pPr>
                  <w:r>
                    <w:rPr>
                      <w:rFonts w:hint="eastAsia"/>
                      <w:sz w:val="21"/>
                      <w:szCs w:val="21"/>
                    </w:rPr>
                    <w:t>一座垃圾池，设置在井场南侧，占地面积7m</w:t>
                  </w:r>
                  <w:r>
                    <w:rPr>
                      <w:rFonts w:hint="eastAsia"/>
                      <w:sz w:val="21"/>
                      <w:szCs w:val="21"/>
                      <w:vertAlign w:val="superscript"/>
                    </w:rPr>
                    <w:t>2</w:t>
                  </w:r>
                  <w:r>
                    <w:rPr>
                      <w:rFonts w:hint="eastAsia"/>
                      <w:sz w:val="21"/>
                      <w:szCs w:val="21"/>
                    </w:rPr>
                    <w:t>。</w:t>
                  </w:r>
                </w:p>
              </w:tc>
              <w:tc>
                <w:tcPr>
                  <w:tcW w:w="1438" w:type="pct"/>
                  <w:vAlign w:val="center"/>
                </w:tcPr>
                <w:p w14:paraId="71AE9369">
                  <w:pPr>
                    <w:jc w:val="center"/>
                    <w:rPr>
                      <w:sz w:val="21"/>
                      <w:szCs w:val="21"/>
                    </w:rPr>
                  </w:pPr>
                  <w:r>
                    <w:rPr>
                      <w:rFonts w:hint="eastAsia"/>
                      <w:sz w:val="21"/>
                      <w:szCs w:val="21"/>
                    </w:rPr>
                    <w:t>依托现有工程</w:t>
                  </w:r>
                </w:p>
              </w:tc>
              <w:tc>
                <w:tcPr>
                  <w:tcW w:w="661" w:type="pct"/>
                  <w:vAlign w:val="center"/>
                </w:tcPr>
                <w:p w14:paraId="515A2871">
                  <w:pPr>
                    <w:jc w:val="center"/>
                    <w:rPr>
                      <w:sz w:val="21"/>
                      <w:szCs w:val="21"/>
                    </w:rPr>
                  </w:pPr>
                  <w:r>
                    <w:rPr>
                      <w:rFonts w:hint="eastAsia"/>
                      <w:sz w:val="21"/>
                      <w:szCs w:val="21"/>
                    </w:rPr>
                    <w:t>/</w:t>
                  </w:r>
                </w:p>
              </w:tc>
            </w:tr>
            <w:tr w14:paraId="7A3B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28D10331">
                  <w:pPr>
                    <w:jc w:val="center"/>
                    <w:rPr>
                      <w:sz w:val="21"/>
                      <w:szCs w:val="21"/>
                    </w:rPr>
                  </w:pPr>
                </w:p>
              </w:tc>
              <w:tc>
                <w:tcPr>
                  <w:tcW w:w="320" w:type="pct"/>
                  <w:vMerge w:val="restart"/>
                  <w:vAlign w:val="center"/>
                </w:tcPr>
                <w:p w14:paraId="75742C04">
                  <w:pPr>
                    <w:jc w:val="center"/>
                    <w:rPr>
                      <w:sz w:val="21"/>
                      <w:szCs w:val="21"/>
                    </w:rPr>
                  </w:pPr>
                  <w:r>
                    <w:rPr>
                      <w:sz w:val="21"/>
                      <w:szCs w:val="21"/>
                    </w:rPr>
                    <w:t>钻井工程</w:t>
                  </w:r>
                </w:p>
              </w:tc>
              <w:tc>
                <w:tcPr>
                  <w:tcW w:w="426" w:type="pct"/>
                  <w:vAlign w:val="center"/>
                </w:tcPr>
                <w:p w14:paraId="04C97EA8">
                  <w:pPr>
                    <w:jc w:val="center"/>
                    <w:rPr>
                      <w:sz w:val="21"/>
                      <w:szCs w:val="21"/>
                    </w:rPr>
                  </w:pPr>
                  <w:r>
                    <w:rPr>
                      <w:sz w:val="21"/>
                      <w:szCs w:val="21"/>
                    </w:rPr>
                    <w:t>钻井设备安装</w:t>
                  </w:r>
                </w:p>
              </w:tc>
              <w:tc>
                <w:tcPr>
                  <w:tcW w:w="1520" w:type="pct"/>
                  <w:shd w:val="clear" w:color="auto" w:fill="auto"/>
                  <w:vAlign w:val="center"/>
                </w:tcPr>
                <w:p w14:paraId="410CA768">
                  <w:pPr>
                    <w:jc w:val="center"/>
                    <w:rPr>
                      <w:sz w:val="21"/>
                      <w:szCs w:val="21"/>
                    </w:rPr>
                  </w:pPr>
                  <w:r>
                    <w:rPr>
                      <w:sz w:val="21"/>
                      <w:szCs w:val="21"/>
                    </w:rPr>
                    <w:t>ZJ30型钻机成套设备搬运、安装、调试。</w:t>
                  </w:r>
                </w:p>
              </w:tc>
              <w:tc>
                <w:tcPr>
                  <w:tcW w:w="1438" w:type="pct"/>
                  <w:vAlign w:val="center"/>
                </w:tcPr>
                <w:p w14:paraId="1D7F1959">
                  <w:pPr>
                    <w:jc w:val="center"/>
                    <w:rPr>
                      <w:sz w:val="21"/>
                      <w:szCs w:val="21"/>
                    </w:rPr>
                  </w:pPr>
                  <w:r>
                    <w:rPr>
                      <w:rFonts w:hint="eastAsia"/>
                      <w:sz w:val="21"/>
                      <w:szCs w:val="21"/>
                    </w:rPr>
                    <w:t>依托现有工程</w:t>
                  </w:r>
                </w:p>
              </w:tc>
              <w:tc>
                <w:tcPr>
                  <w:tcW w:w="661" w:type="pct"/>
                  <w:vAlign w:val="center"/>
                </w:tcPr>
                <w:p w14:paraId="2FFC39A2">
                  <w:pPr>
                    <w:jc w:val="center"/>
                    <w:rPr>
                      <w:sz w:val="21"/>
                      <w:szCs w:val="21"/>
                    </w:rPr>
                  </w:pPr>
                  <w:r>
                    <w:rPr>
                      <w:rFonts w:hint="eastAsia"/>
                      <w:sz w:val="21"/>
                      <w:szCs w:val="21"/>
                    </w:rPr>
                    <w:t>/</w:t>
                  </w:r>
                </w:p>
              </w:tc>
            </w:tr>
            <w:tr w14:paraId="7D780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6370A542">
                  <w:pPr>
                    <w:jc w:val="center"/>
                    <w:rPr>
                      <w:sz w:val="21"/>
                      <w:szCs w:val="21"/>
                    </w:rPr>
                  </w:pPr>
                </w:p>
              </w:tc>
              <w:tc>
                <w:tcPr>
                  <w:tcW w:w="320" w:type="pct"/>
                  <w:vMerge w:val="continue"/>
                  <w:vAlign w:val="center"/>
                </w:tcPr>
                <w:p w14:paraId="7380B64E">
                  <w:pPr>
                    <w:jc w:val="center"/>
                    <w:rPr>
                      <w:sz w:val="21"/>
                      <w:szCs w:val="21"/>
                    </w:rPr>
                  </w:pPr>
                </w:p>
              </w:tc>
              <w:tc>
                <w:tcPr>
                  <w:tcW w:w="426" w:type="pct"/>
                  <w:vAlign w:val="center"/>
                </w:tcPr>
                <w:p w14:paraId="2BDECCAB">
                  <w:pPr>
                    <w:jc w:val="center"/>
                    <w:rPr>
                      <w:sz w:val="21"/>
                      <w:szCs w:val="21"/>
                    </w:rPr>
                  </w:pPr>
                  <w:r>
                    <w:rPr>
                      <w:sz w:val="21"/>
                      <w:szCs w:val="21"/>
                    </w:rPr>
                    <w:t>钻井作业</w:t>
                  </w:r>
                </w:p>
              </w:tc>
              <w:tc>
                <w:tcPr>
                  <w:tcW w:w="1520" w:type="pct"/>
                  <w:shd w:val="clear" w:color="auto" w:fill="auto"/>
                  <w:vAlign w:val="center"/>
                </w:tcPr>
                <w:p w14:paraId="1D5E7931">
                  <w:pPr>
                    <w:jc w:val="center"/>
                    <w:rPr>
                      <w:sz w:val="21"/>
                      <w:szCs w:val="21"/>
                    </w:rPr>
                  </w:pPr>
                  <w:r>
                    <w:rPr>
                      <w:rFonts w:hint="eastAsia"/>
                      <w:sz w:val="21"/>
                      <w:szCs w:val="21"/>
                    </w:rPr>
                    <w:t>桂融地4井设计探井为直井，完钻井深2100m，同步开展录井、测井及钻井评价等配套工作。本井导眼采用清水钻进，一开采用清水+膨润土浆钻进，二开采用钙钾基聚合物钻井液体系钻进。</w:t>
                  </w:r>
                </w:p>
              </w:tc>
              <w:tc>
                <w:tcPr>
                  <w:tcW w:w="1438" w:type="pct"/>
                  <w:vAlign w:val="center"/>
                </w:tcPr>
                <w:p w14:paraId="4C5C01B3">
                  <w:pPr>
                    <w:jc w:val="center"/>
                    <w:rPr>
                      <w:sz w:val="21"/>
                      <w:szCs w:val="21"/>
                    </w:rPr>
                  </w:pPr>
                  <w:r>
                    <w:rPr>
                      <w:rFonts w:hint="eastAsia"/>
                      <w:sz w:val="21"/>
                      <w:szCs w:val="21"/>
                    </w:rPr>
                    <w:t>桂融页4--1</w:t>
                  </w:r>
                  <w:r>
                    <w:rPr>
                      <w:sz w:val="21"/>
                      <w:szCs w:val="21"/>
                    </w:rPr>
                    <w:t>HF</w:t>
                  </w:r>
                  <w:r>
                    <w:rPr>
                      <w:rFonts w:hint="eastAsia"/>
                      <w:sz w:val="21"/>
                      <w:szCs w:val="21"/>
                    </w:rPr>
                    <w:t>~桂融页4--6</w:t>
                  </w:r>
                  <w:r>
                    <w:rPr>
                      <w:sz w:val="21"/>
                      <w:szCs w:val="21"/>
                    </w:rPr>
                    <w:t>HF</w:t>
                  </w:r>
                  <w:r>
                    <w:rPr>
                      <w:rFonts w:hint="eastAsia"/>
                      <w:sz w:val="21"/>
                      <w:szCs w:val="21"/>
                    </w:rPr>
                    <w:t>共6口井</w:t>
                  </w:r>
                  <w:r>
                    <w:rPr>
                      <w:sz w:val="21"/>
                      <w:szCs w:val="21"/>
                    </w:rPr>
                    <w:t>为</w:t>
                  </w:r>
                  <w:r>
                    <w:rPr>
                      <w:rFonts w:hint="eastAsia"/>
                      <w:sz w:val="21"/>
                      <w:szCs w:val="21"/>
                    </w:rPr>
                    <w:t>水平井</w:t>
                  </w:r>
                  <w:r>
                    <w:rPr>
                      <w:sz w:val="21"/>
                      <w:szCs w:val="21"/>
                    </w:rPr>
                    <w:t>，</w:t>
                  </w:r>
                  <w:r>
                    <w:rPr>
                      <w:rFonts w:hint="eastAsia"/>
                      <w:sz w:val="21"/>
                      <w:szCs w:val="21"/>
                    </w:rPr>
                    <w:t>设计井深</w:t>
                  </w:r>
                  <w:r>
                    <w:rPr>
                      <w:sz w:val="21"/>
                      <w:szCs w:val="21"/>
                    </w:rPr>
                    <w:t>3698</w:t>
                  </w:r>
                  <w:r>
                    <w:rPr>
                      <w:rFonts w:hint="eastAsia"/>
                      <w:sz w:val="21"/>
                      <w:szCs w:val="21"/>
                    </w:rPr>
                    <w:t>m</w:t>
                  </w:r>
                  <w:r>
                    <w:rPr>
                      <w:sz w:val="21"/>
                      <w:szCs w:val="21"/>
                    </w:rPr>
                    <w:t>，同步开展录井、测井及钻井评价等配套工作。</w:t>
                  </w:r>
                  <w:r>
                    <w:rPr>
                      <w:rFonts w:hint="eastAsia"/>
                      <w:sz w:val="21"/>
                      <w:szCs w:val="21"/>
                    </w:rPr>
                    <w:t>新增加三开开次，三开采用</w:t>
                  </w:r>
                  <w:r>
                    <w:rPr>
                      <w:sz w:val="21"/>
                      <w:szCs w:val="21"/>
                    </w:rPr>
                    <w:t>油基钻井液体系。本井导眼采用清水钻进，一开采用清水+膨润土浆钻进，二开采用钙钾基聚合物钻井液体系钻进</w:t>
                  </w:r>
                  <w:r>
                    <w:rPr>
                      <w:rFonts w:hint="eastAsia"/>
                      <w:sz w:val="21"/>
                      <w:szCs w:val="21"/>
                    </w:rPr>
                    <w:t>，新增加三开开次，三开采用</w:t>
                  </w:r>
                  <w:r>
                    <w:rPr>
                      <w:sz w:val="21"/>
                      <w:szCs w:val="21"/>
                    </w:rPr>
                    <w:t>油基钻井液体系。</w:t>
                  </w:r>
                </w:p>
              </w:tc>
              <w:tc>
                <w:tcPr>
                  <w:tcW w:w="661" w:type="pct"/>
                  <w:vAlign w:val="center"/>
                </w:tcPr>
                <w:p w14:paraId="00BA1303">
                  <w:pPr>
                    <w:jc w:val="center"/>
                    <w:rPr>
                      <w:sz w:val="21"/>
                      <w:szCs w:val="21"/>
                    </w:rPr>
                  </w:pPr>
                  <w:r>
                    <w:rPr>
                      <w:rFonts w:hint="eastAsia"/>
                      <w:sz w:val="21"/>
                      <w:szCs w:val="21"/>
                    </w:rPr>
                    <w:t>新增加桂融页4--2</w:t>
                  </w:r>
                  <w:r>
                    <w:rPr>
                      <w:sz w:val="21"/>
                      <w:szCs w:val="21"/>
                    </w:rPr>
                    <w:t>HF</w:t>
                  </w:r>
                  <w:r>
                    <w:rPr>
                      <w:rFonts w:hint="eastAsia"/>
                      <w:sz w:val="21"/>
                      <w:szCs w:val="21"/>
                    </w:rPr>
                    <w:t>井~桂融页4--6</w:t>
                  </w:r>
                  <w:r>
                    <w:rPr>
                      <w:sz w:val="21"/>
                      <w:szCs w:val="21"/>
                    </w:rPr>
                    <w:t>HF</w:t>
                  </w:r>
                  <w:r>
                    <w:rPr>
                      <w:rFonts w:hint="eastAsia"/>
                      <w:sz w:val="21"/>
                      <w:szCs w:val="21"/>
                    </w:rPr>
                    <w:t>井5口井。桂融页4--1</w:t>
                  </w:r>
                  <w:r>
                    <w:rPr>
                      <w:sz w:val="21"/>
                      <w:szCs w:val="21"/>
                    </w:rPr>
                    <w:t>HF</w:t>
                  </w:r>
                  <w:r>
                    <w:rPr>
                      <w:rFonts w:hint="eastAsia"/>
                      <w:sz w:val="21"/>
                      <w:szCs w:val="21"/>
                    </w:rPr>
                    <w:t>在钻进2100m的基础上打水平井。</w:t>
                  </w:r>
                </w:p>
              </w:tc>
            </w:tr>
            <w:tr w14:paraId="16584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015FA8D8">
                  <w:pPr>
                    <w:jc w:val="center"/>
                    <w:rPr>
                      <w:sz w:val="21"/>
                      <w:szCs w:val="21"/>
                    </w:rPr>
                  </w:pPr>
                </w:p>
              </w:tc>
              <w:tc>
                <w:tcPr>
                  <w:tcW w:w="320" w:type="pct"/>
                  <w:vMerge w:val="continue"/>
                  <w:vAlign w:val="center"/>
                </w:tcPr>
                <w:p w14:paraId="4DDD2149">
                  <w:pPr>
                    <w:jc w:val="center"/>
                    <w:rPr>
                      <w:sz w:val="21"/>
                      <w:szCs w:val="21"/>
                    </w:rPr>
                  </w:pPr>
                </w:p>
              </w:tc>
              <w:tc>
                <w:tcPr>
                  <w:tcW w:w="426" w:type="pct"/>
                  <w:vAlign w:val="center"/>
                </w:tcPr>
                <w:p w14:paraId="3752DDEA">
                  <w:pPr>
                    <w:jc w:val="center"/>
                    <w:rPr>
                      <w:sz w:val="21"/>
                      <w:szCs w:val="21"/>
                    </w:rPr>
                  </w:pPr>
                  <w:r>
                    <w:rPr>
                      <w:sz w:val="21"/>
                      <w:szCs w:val="21"/>
                    </w:rPr>
                    <w:t>井控工程</w:t>
                  </w:r>
                </w:p>
              </w:tc>
              <w:tc>
                <w:tcPr>
                  <w:tcW w:w="1520" w:type="pct"/>
                  <w:shd w:val="clear" w:color="auto" w:fill="auto"/>
                  <w:vAlign w:val="center"/>
                </w:tcPr>
                <w:p w14:paraId="01182AA3">
                  <w:pPr>
                    <w:jc w:val="center"/>
                    <w:rPr>
                      <w:sz w:val="21"/>
                      <w:szCs w:val="21"/>
                    </w:rPr>
                  </w:pPr>
                  <w:r>
                    <w:rPr>
                      <w:rFonts w:hint="eastAsia"/>
                      <w:sz w:val="21"/>
                      <w:szCs w:val="21"/>
                    </w:rPr>
                    <w:t>设置于桂融页4-1HF井的</w:t>
                  </w:r>
                  <w:r>
                    <w:rPr>
                      <w:sz w:val="21"/>
                      <w:szCs w:val="21"/>
                    </w:rPr>
                    <w:t>井控装置：防喷器和井口设备。</w:t>
                  </w:r>
                </w:p>
              </w:tc>
              <w:tc>
                <w:tcPr>
                  <w:tcW w:w="1438" w:type="pct"/>
                  <w:vAlign w:val="center"/>
                </w:tcPr>
                <w:p w14:paraId="17284D6A">
                  <w:pPr>
                    <w:jc w:val="center"/>
                    <w:rPr>
                      <w:sz w:val="21"/>
                      <w:szCs w:val="21"/>
                    </w:rPr>
                  </w:pPr>
                  <w:r>
                    <w:rPr>
                      <w:rFonts w:hint="eastAsia"/>
                      <w:sz w:val="21"/>
                      <w:szCs w:val="21"/>
                    </w:rPr>
                    <w:t>新设置于桂融页4-2HF井~桂融页4-6HF井的</w:t>
                  </w:r>
                  <w:r>
                    <w:rPr>
                      <w:sz w:val="21"/>
                      <w:szCs w:val="21"/>
                    </w:rPr>
                    <w:t>井控装置：防喷器和井口设备。</w:t>
                  </w:r>
                </w:p>
              </w:tc>
              <w:tc>
                <w:tcPr>
                  <w:tcW w:w="661" w:type="pct"/>
                  <w:vAlign w:val="center"/>
                </w:tcPr>
                <w:p w14:paraId="002E96B5">
                  <w:pPr>
                    <w:jc w:val="center"/>
                    <w:rPr>
                      <w:sz w:val="21"/>
                      <w:szCs w:val="21"/>
                    </w:rPr>
                  </w:pPr>
                  <w:r>
                    <w:rPr>
                      <w:rFonts w:hint="eastAsia"/>
                      <w:sz w:val="21"/>
                      <w:szCs w:val="21"/>
                    </w:rPr>
                    <w:t>/</w:t>
                  </w:r>
                </w:p>
              </w:tc>
            </w:tr>
            <w:tr w14:paraId="4F68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5404B39F">
                  <w:pPr>
                    <w:jc w:val="center"/>
                    <w:rPr>
                      <w:sz w:val="21"/>
                      <w:szCs w:val="21"/>
                    </w:rPr>
                  </w:pPr>
                </w:p>
              </w:tc>
              <w:tc>
                <w:tcPr>
                  <w:tcW w:w="320" w:type="pct"/>
                  <w:vMerge w:val="restart"/>
                  <w:vAlign w:val="center"/>
                </w:tcPr>
                <w:p w14:paraId="536BB7FE">
                  <w:pPr>
                    <w:jc w:val="center"/>
                    <w:rPr>
                      <w:sz w:val="21"/>
                      <w:szCs w:val="21"/>
                    </w:rPr>
                  </w:pPr>
                  <w:r>
                    <w:rPr>
                      <w:rFonts w:hint="eastAsia"/>
                      <w:sz w:val="21"/>
                      <w:szCs w:val="21"/>
                    </w:rPr>
                    <w:t>储层改造</w:t>
                  </w:r>
                </w:p>
                <w:p w14:paraId="667E5BBF">
                  <w:pPr>
                    <w:jc w:val="center"/>
                    <w:rPr>
                      <w:sz w:val="21"/>
                      <w:szCs w:val="21"/>
                    </w:rPr>
                  </w:pPr>
                  <w:r>
                    <w:rPr>
                      <w:sz w:val="21"/>
                      <w:szCs w:val="21"/>
                    </w:rPr>
                    <w:t>工程</w:t>
                  </w:r>
                </w:p>
              </w:tc>
              <w:tc>
                <w:tcPr>
                  <w:tcW w:w="426" w:type="pct"/>
                  <w:vAlign w:val="center"/>
                </w:tcPr>
                <w:p w14:paraId="18928B60">
                  <w:pPr>
                    <w:jc w:val="center"/>
                    <w:rPr>
                      <w:sz w:val="21"/>
                      <w:szCs w:val="21"/>
                    </w:rPr>
                  </w:pPr>
                  <w:r>
                    <w:rPr>
                      <w:sz w:val="21"/>
                      <w:szCs w:val="21"/>
                    </w:rPr>
                    <w:t>下套管完井</w:t>
                  </w:r>
                </w:p>
              </w:tc>
              <w:tc>
                <w:tcPr>
                  <w:tcW w:w="1520" w:type="pct"/>
                  <w:vAlign w:val="center"/>
                </w:tcPr>
                <w:p w14:paraId="48F9A54F">
                  <w:pPr>
                    <w:jc w:val="center"/>
                    <w:rPr>
                      <w:sz w:val="21"/>
                      <w:szCs w:val="21"/>
                    </w:rPr>
                  </w:pPr>
                  <w:r>
                    <w:rPr>
                      <w:rFonts w:hint="eastAsia"/>
                      <w:sz w:val="21"/>
                      <w:szCs w:val="21"/>
                    </w:rPr>
                    <w:t>先进行井眼和设备准备，清除井口岩屑、检查、准备固井工具及钻井液、清洗和冲刷井壁和套管壁的油膜。然后下套管作业，严格按要求进行清洗、检查，保证上扣前涂抹丝扣密封脂时丝扣绝对干净。合理安放套管扶正器，确保套管居中。然后进行生产套管固井施工。生产套管固井质量检测、试压与完井井口。</w:t>
                  </w:r>
                </w:p>
              </w:tc>
              <w:tc>
                <w:tcPr>
                  <w:tcW w:w="1438" w:type="pct"/>
                  <w:vAlign w:val="center"/>
                </w:tcPr>
                <w:p w14:paraId="2C47B3D3">
                  <w:pPr>
                    <w:jc w:val="center"/>
                    <w:rPr>
                      <w:sz w:val="21"/>
                      <w:szCs w:val="21"/>
                    </w:rPr>
                  </w:pPr>
                  <w:r>
                    <w:rPr>
                      <w:rFonts w:hint="eastAsia"/>
                      <w:sz w:val="21"/>
                      <w:szCs w:val="21"/>
                    </w:rPr>
                    <w:t>对新增的4--2</w:t>
                  </w:r>
                  <w:r>
                    <w:rPr>
                      <w:sz w:val="21"/>
                      <w:szCs w:val="21"/>
                    </w:rPr>
                    <w:t>HF</w:t>
                  </w:r>
                  <w:r>
                    <w:rPr>
                      <w:rFonts w:hint="eastAsia"/>
                      <w:sz w:val="21"/>
                      <w:szCs w:val="21"/>
                    </w:rPr>
                    <w:t>井~桂融页4--6</w:t>
                  </w:r>
                  <w:r>
                    <w:rPr>
                      <w:sz w:val="21"/>
                      <w:szCs w:val="21"/>
                    </w:rPr>
                    <w:t>HF</w:t>
                  </w:r>
                  <w:r>
                    <w:rPr>
                      <w:rFonts w:hint="eastAsia"/>
                      <w:sz w:val="21"/>
                      <w:szCs w:val="21"/>
                    </w:rPr>
                    <w:t>井5口井进行施工，同时增加融页4-1</w:t>
                  </w:r>
                  <w:r>
                    <w:rPr>
                      <w:sz w:val="21"/>
                      <w:szCs w:val="21"/>
                    </w:rPr>
                    <w:t>HF</w:t>
                  </w:r>
                  <w:r>
                    <w:rPr>
                      <w:rFonts w:hint="eastAsia"/>
                      <w:sz w:val="21"/>
                      <w:szCs w:val="21"/>
                    </w:rPr>
                    <w:t>水平段的井下套管和固井工程。先进行井眼和设备准备，清除井口岩屑、检查、准备固井工具及钻井液、清洗和冲刷井壁和套管壁的油膜。然后下套管作业，严格按要求进行清洗、检查，保证上扣前涂抹丝扣密封脂时丝扣绝对干净。合理安放套管扶正器，确保套管居中。然后进行生产套管固井施工。生产套管固井质量检测、试压与完井井口。</w:t>
                  </w:r>
                </w:p>
              </w:tc>
              <w:tc>
                <w:tcPr>
                  <w:tcW w:w="661" w:type="pct"/>
                  <w:vAlign w:val="center"/>
                </w:tcPr>
                <w:p w14:paraId="55CA5D40">
                  <w:pPr>
                    <w:jc w:val="center"/>
                    <w:rPr>
                      <w:sz w:val="21"/>
                      <w:szCs w:val="21"/>
                    </w:rPr>
                  </w:pPr>
                  <w:r>
                    <w:rPr>
                      <w:rFonts w:hint="eastAsia"/>
                      <w:sz w:val="21"/>
                      <w:szCs w:val="21"/>
                    </w:rPr>
                    <w:t>/</w:t>
                  </w:r>
                </w:p>
              </w:tc>
            </w:tr>
            <w:tr w14:paraId="5B8F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633" w:type="pct"/>
                  <w:vMerge w:val="continue"/>
                  <w:vAlign w:val="center"/>
                </w:tcPr>
                <w:p w14:paraId="6B41A4C5">
                  <w:pPr>
                    <w:jc w:val="center"/>
                    <w:rPr>
                      <w:sz w:val="21"/>
                      <w:szCs w:val="21"/>
                    </w:rPr>
                  </w:pPr>
                </w:p>
              </w:tc>
              <w:tc>
                <w:tcPr>
                  <w:tcW w:w="320" w:type="pct"/>
                  <w:vMerge w:val="continue"/>
                  <w:vAlign w:val="center"/>
                </w:tcPr>
                <w:p w14:paraId="505AFC65">
                  <w:pPr>
                    <w:jc w:val="center"/>
                    <w:rPr>
                      <w:sz w:val="21"/>
                      <w:szCs w:val="21"/>
                    </w:rPr>
                  </w:pPr>
                </w:p>
              </w:tc>
              <w:tc>
                <w:tcPr>
                  <w:tcW w:w="426" w:type="pct"/>
                  <w:vAlign w:val="center"/>
                </w:tcPr>
                <w:p w14:paraId="4D919F02">
                  <w:pPr>
                    <w:jc w:val="center"/>
                    <w:rPr>
                      <w:sz w:val="21"/>
                      <w:szCs w:val="21"/>
                    </w:rPr>
                  </w:pPr>
                  <w:r>
                    <w:rPr>
                      <w:sz w:val="21"/>
                      <w:szCs w:val="21"/>
                    </w:rPr>
                    <w:t>分段射孔压裂</w:t>
                  </w:r>
                </w:p>
              </w:tc>
              <w:tc>
                <w:tcPr>
                  <w:tcW w:w="1520" w:type="pct"/>
                  <w:vAlign w:val="center"/>
                </w:tcPr>
                <w:p w14:paraId="668DF447">
                  <w:pPr>
                    <w:jc w:val="center"/>
                    <w:rPr>
                      <w:sz w:val="21"/>
                      <w:szCs w:val="21"/>
                    </w:rPr>
                  </w:pPr>
                  <w:r>
                    <w:rPr>
                      <w:rFonts w:hint="eastAsia"/>
                      <w:sz w:val="21"/>
                      <w:szCs w:val="21"/>
                    </w:rPr>
                    <w:t>/</w:t>
                  </w:r>
                </w:p>
              </w:tc>
              <w:tc>
                <w:tcPr>
                  <w:tcW w:w="1438" w:type="pct"/>
                  <w:vAlign w:val="center"/>
                </w:tcPr>
                <w:p w14:paraId="6EE13EDA">
                  <w:pPr>
                    <w:jc w:val="center"/>
                    <w:rPr>
                      <w:sz w:val="21"/>
                      <w:szCs w:val="21"/>
                    </w:rPr>
                  </w:pPr>
                  <w:r>
                    <w:rPr>
                      <w:rFonts w:hint="eastAsia"/>
                      <w:sz w:val="21"/>
                      <w:szCs w:val="21"/>
                    </w:rPr>
                    <w:t>本工程采用射孔完井方式。压裂即用压力将地层压开一条或几条水平的或垂直的裂缝，并用支撑剂(携砂液)将裂缝支撑起来，从而达到增产的效果。项目采用分段压裂的方式，每段注入压裂液及支撑剂。利用测试放喷专用管线将井内油气引至燃烧池点火燃烧对油气井进行产量测试的过程。单井每次测试放喷时间约1~2天，单次测试放喷时间约4~6h，废气排放属不连续排放。</w:t>
                  </w:r>
                </w:p>
              </w:tc>
              <w:tc>
                <w:tcPr>
                  <w:tcW w:w="661" w:type="pct"/>
                  <w:vAlign w:val="center"/>
                </w:tcPr>
                <w:p w14:paraId="52352316">
                  <w:pPr>
                    <w:jc w:val="center"/>
                    <w:rPr>
                      <w:sz w:val="21"/>
                      <w:szCs w:val="21"/>
                    </w:rPr>
                  </w:pPr>
                  <w:r>
                    <w:rPr>
                      <w:sz w:val="21"/>
                      <w:szCs w:val="21"/>
                    </w:rPr>
                    <w:t>/</w:t>
                  </w:r>
                </w:p>
              </w:tc>
            </w:tr>
            <w:tr w14:paraId="18319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33" w:type="pct"/>
                  <w:vMerge w:val="continue"/>
                  <w:vAlign w:val="center"/>
                </w:tcPr>
                <w:p w14:paraId="39A1A2D8">
                  <w:pPr>
                    <w:jc w:val="center"/>
                    <w:rPr>
                      <w:sz w:val="21"/>
                      <w:szCs w:val="21"/>
                    </w:rPr>
                  </w:pPr>
                </w:p>
              </w:tc>
              <w:tc>
                <w:tcPr>
                  <w:tcW w:w="320" w:type="pct"/>
                  <w:vAlign w:val="center"/>
                </w:tcPr>
                <w:p w14:paraId="08F10BDE">
                  <w:pPr>
                    <w:jc w:val="center"/>
                    <w:rPr>
                      <w:sz w:val="21"/>
                      <w:szCs w:val="21"/>
                    </w:rPr>
                  </w:pPr>
                  <w:r>
                    <w:rPr>
                      <w:rFonts w:hint="eastAsia"/>
                      <w:sz w:val="21"/>
                      <w:szCs w:val="21"/>
                    </w:rPr>
                    <w:t>试采作业工程</w:t>
                  </w:r>
                </w:p>
              </w:tc>
              <w:tc>
                <w:tcPr>
                  <w:tcW w:w="426" w:type="pct"/>
                  <w:vAlign w:val="center"/>
                </w:tcPr>
                <w:p w14:paraId="2260FD7F">
                  <w:pPr>
                    <w:jc w:val="center"/>
                    <w:rPr>
                      <w:sz w:val="21"/>
                      <w:szCs w:val="21"/>
                    </w:rPr>
                  </w:pPr>
                  <w:r>
                    <w:rPr>
                      <w:rFonts w:hint="eastAsia"/>
                      <w:sz w:val="21"/>
                      <w:szCs w:val="21"/>
                    </w:rPr>
                    <w:t>试采</w:t>
                  </w:r>
                </w:p>
              </w:tc>
              <w:tc>
                <w:tcPr>
                  <w:tcW w:w="1520" w:type="pct"/>
                  <w:vAlign w:val="center"/>
                </w:tcPr>
                <w:p w14:paraId="7DE9AD4D">
                  <w:pPr>
                    <w:jc w:val="center"/>
                    <w:rPr>
                      <w:sz w:val="21"/>
                      <w:szCs w:val="21"/>
                    </w:rPr>
                  </w:pPr>
                  <w:r>
                    <w:rPr>
                      <w:rFonts w:hint="eastAsia"/>
                      <w:sz w:val="21"/>
                      <w:szCs w:val="21"/>
                    </w:rPr>
                    <w:t>/</w:t>
                  </w:r>
                </w:p>
              </w:tc>
              <w:tc>
                <w:tcPr>
                  <w:tcW w:w="1438" w:type="pct"/>
                  <w:vAlign w:val="center"/>
                </w:tcPr>
                <w:p w14:paraId="08AA5DB5">
                  <w:pPr>
                    <w:jc w:val="center"/>
                    <w:rPr>
                      <w:sz w:val="21"/>
                      <w:szCs w:val="21"/>
                    </w:rPr>
                  </w:pPr>
                  <w:r>
                    <w:rPr>
                      <w:rFonts w:hint="eastAsia"/>
                      <w:sz w:val="21"/>
                      <w:szCs w:val="21"/>
                    </w:rPr>
                    <w:t>建设试采</w:t>
                  </w:r>
                  <w:r>
                    <w:rPr>
                      <w:sz w:val="21"/>
                      <w:szCs w:val="21"/>
                    </w:rPr>
                    <w:t>平台1座，利用钻井工程</w:t>
                  </w:r>
                  <w:r>
                    <w:rPr>
                      <w:rFonts w:hint="eastAsia"/>
                      <w:sz w:val="21"/>
                      <w:szCs w:val="21"/>
                    </w:rPr>
                    <w:t>东北侧</w:t>
                  </w:r>
                  <w:r>
                    <w:rPr>
                      <w:sz w:val="21"/>
                      <w:szCs w:val="21"/>
                    </w:rPr>
                    <w:t>用地</w:t>
                  </w:r>
                  <w:r>
                    <w:rPr>
                      <w:rFonts w:hint="eastAsia"/>
                      <w:sz w:val="21"/>
                      <w:szCs w:val="21"/>
                    </w:rPr>
                    <w:t>进行试采作业。压裂完成后安装专用设备对井下储层进行测试，获取产能、压力、温度、流体性质等关键参数的工艺过程。其核心目的是评价储层含气性、确定气井产能、判断是否具有工业开采价值，为后续开发方案提供依据。具体流程为：①压裂后放喷：控制油嘴逐级开井→节流降压→气流进入放喷管线→在放喷池点火燃烧；②排液：根据井身自喷能力，安装助排设备，排至产出液稳定、气液比明显上升后转入正式测试；③测试：排液稳定后开展系统求取气井产能、地层参数，获取用于储量评价、开发方案设计的数据，通过更换不同油嘴定产量生产，记录油压、套压、产气量、产水量，绘制产能曲线；测试过程中产出气通过CNG压缩槽车外运。</w:t>
                  </w:r>
                </w:p>
                <w:p w14:paraId="0AD9B09D">
                  <w:pPr>
                    <w:jc w:val="center"/>
                    <w:rPr>
                      <w:sz w:val="21"/>
                      <w:szCs w:val="21"/>
                    </w:rPr>
                  </w:pPr>
                  <w:r>
                    <w:rPr>
                      <w:rFonts w:hint="eastAsia"/>
                      <w:sz w:val="21"/>
                      <w:szCs w:val="21"/>
                    </w:rPr>
                    <w:t>试采</w:t>
                  </w:r>
                  <w:r>
                    <w:rPr>
                      <w:sz w:val="21"/>
                      <w:szCs w:val="21"/>
                    </w:rPr>
                    <w:t>结束后根据实际情况转为生产井，如不转为生产井，则按照要求进行封井或回填。主要设井口模块、双螺杆混输泵撬1座、智能发球阀组撬1座、计量撬1套、400KVA箱式变电站1座、撬装配电仪控室1座；井口设紧急切断阀+角阀+井安柜1套；</w:t>
                  </w:r>
                </w:p>
                <w:p w14:paraId="5C5931ED">
                  <w:pPr>
                    <w:jc w:val="center"/>
                    <w:rPr>
                      <w:sz w:val="21"/>
                      <w:szCs w:val="21"/>
                    </w:rPr>
                  </w:pPr>
                  <w:r>
                    <w:rPr>
                      <w:rFonts w:hint="eastAsia"/>
                      <w:sz w:val="21"/>
                      <w:szCs w:val="21"/>
                    </w:rPr>
                    <w:t>封井施工措施为覆盖所有产层（油气层）及上下50m安全屏障。采用G级油井水泥+添加剂（缓凝剂、膨胀剂等）作为封堵材料，确保长期密封性。</w:t>
                  </w:r>
                </w:p>
              </w:tc>
              <w:tc>
                <w:tcPr>
                  <w:tcW w:w="661" w:type="pct"/>
                  <w:vAlign w:val="center"/>
                </w:tcPr>
                <w:p w14:paraId="64DD4875">
                  <w:pPr>
                    <w:jc w:val="center"/>
                    <w:rPr>
                      <w:sz w:val="21"/>
                      <w:szCs w:val="21"/>
                    </w:rPr>
                  </w:pPr>
                  <w:r>
                    <w:rPr>
                      <w:rFonts w:hint="eastAsia"/>
                      <w:sz w:val="21"/>
                      <w:szCs w:val="21"/>
                    </w:rPr>
                    <w:t>/</w:t>
                  </w:r>
                </w:p>
              </w:tc>
            </w:tr>
            <w:tr w14:paraId="4E74E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restart"/>
                  <w:vAlign w:val="center"/>
                </w:tcPr>
                <w:p w14:paraId="419D6C3C">
                  <w:pPr>
                    <w:jc w:val="center"/>
                    <w:rPr>
                      <w:sz w:val="21"/>
                      <w:szCs w:val="21"/>
                    </w:rPr>
                  </w:pPr>
                  <w:r>
                    <w:rPr>
                      <w:sz w:val="21"/>
                      <w:szCs w:val="21"/>
                    </w:rPr>
                    <w:t>辅助工程</w:t>
                  </w:r>
                </w:p>
              </w:tc>
              <w:tc>
                <w:tcPr>
                  <w:tcW w:w="426" w:type="pct"/>
                  <w:vAlign w:val="center"/>
                </w:tcPr>
                <w:p w14:paraId="4F4E022D">
                  <w:pPr>
                    <w:jc w:val="center"/>
                    <w:rPr>
                      <w:sz w:val="21"/>
                      <w:szCs w:val="21"/>
                    </w:rPr>
                  </w:pPr>
                  <w:r>
                    <w:rPr>
                      <w:sz w:val="21"/>
                      <w:szCs w:val="21"/>
                    </w:rPr>
                    <w:t>钻井泥浆循环系统30-40</w:t>
                  </w:r>
                </w:p>
              </w:tc>
              <w:tc>
                <w:tcPr>
                  <w:tcW w:w="1520" w:type="pct"/>
                  <w:shd w:val="clear" w:color="auto" w:fill="auto"/>
                  <w:vAlign w:val="center"/>
                </w:tcPr>
                <w:p w14:paraId="7EB66404">
                  <w:pPr>
                    <w:jc w:val="center"/>
                    <w:rPr>
                      <w:sz w:val="21"/>
                      <w:szCs w:val="21"/>
                    </w:rPr>
                  </w:pPr>
                  <w:r>
                    <w:rPr>
                      <w:sz w:val="21"/>
                      <w:szCs w:val="21"/>
                    </w:rPr>
                    <w:t>包括储备80m</w:t>
                  </w:r>
                  <w:r>
                    <w:rPr>
                      <w:sz w:val="21"/>
                      <w:szCs w:val="21"/>
                      <w:vertAlign w:val="superscript"/>
                    </w:rPr>
                    <w:t>3</w:t>
                  </w:r>
                  <w:r>
                    <w:rPr>
                      <w:sz w:val="21"/>
                      <w:szCs w:val="21"/>
                    </w:rPr>
                    <w:t>钻井液量并带有搅拌器的储备罐和带有大功率的配制泵（必须配备电动加重泵）、混合漏斗的配浆罐。储备罐也可随时作为循环罐和配制罐使用。还包含两套振动筛，一台除砂器，一台除泥器，一台离心机、一台除气器等设备。</w:t>
                  </w:r>
                </w:p>
              </w:tc>
              <w:tc>
                <w:tcPr>
                  <w:tcW w:w="1438" w:type="pct"/>
                  <w:shd w:val="clear" w:color="auto" w:fill="auto"/>
                  <w:vAlign w:val="center"/>
                </w:tcPr>
                <w:p w14:paraId="3627EE55">
                  <w:pPr>
                    <w:jc w:val="center"/>
                    <w:rPr>
                      <w:sz w:val="21"/>
                      <w:szCs w:val="21"/>
                    </w:rPr>
                  </w:pPr>
                  <w:r>
                    <w:rPr>
                      <w:rFonts w:hint="eastAsia"/>
                      <w:sz w:val="21"/>
                      <w:szCs w:val="21"/>
                    </w:rPr>
                    <w:t>依托现有工程</w:t>
                  </w:r>
                </w:p>
              </w:tc>
              <w:tc>
                <w:tcPr>
                  <w:tcW w:w="661" w:type="pct"/>
                  <w:vAlign w:val="center"/>
                </w:tcPr>
                <w:p w14:paraId="34EEF68A">
                  <w:pPr>
                    <w:jc w:val="center"/>
                    <w:rPr>
                      <w:sz w:val="21"/>
                      <w:szCs w:val="21"/>
                    </w:rPr>
                  </w:pPr>
                  <w:r>
                    <w:rPr>
                      <w:rFonts w:hint="eastAsia"/>
                      <w:sz w:val="21"/>
                      <w:szCs w:val="21"/>
                    </w:rPr>
                    <w:t>/</w:t>
                  </w:r>
                </w:p>
              </w:tc>
            </w:tr>
            <w:tr w14:paraId="6E9F7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5C6F1B4">
                  <w:pPr>
                    <w:jc w:val="center"/>
                    <w:rPr>
                      <w:sz w:val="21"/>
                      <w:szCs w:val="21"/>
                    </w:rPr>
                  </w:pPr>
                </w:p>
              </w:tc>
              <w:tc>
                <w:tcPr>
                  <w:tcW w:w="426" w:type="pct"/>
                  <w:vAlign w:val="center"/>
                </w:tcPr>
                <w:p w14:paraId="6C337F2C">
                  <w:pPr>
                    <w:jc w:val="center"/>
                    <w:rPr>
                      <w:sz w:val="21"/>
                      <w:szCs w:val="21"/>
                    </w:rPr>
                  </w:pPr>
                  <w:r>
                    <w:rPr>
                      <w:sz w:val="21"/>
                      <w:szCs w:val="21"/>
                    </w:rPr>
                    <w:t>钻井参数测定系统</w:t>
                  </w:r>
                </w:p>
              </w:tc>
              <w:tc>
                <w:tcPr>
                  <w:tcW w:w="1520" w:type="pct"/>
                  <w:shd w:val="clear" w:color="auto" w:fill="auto"/>
                  <w:vAlign w:val="center"/>
                </w:tcPr>
                <w:p w14:paraId="0EA2B3B2">
                  <w:pPr>
                    <w:jc w:val="center"/>
                    <w:rPr>
                      <w:sz w:val="21"/>
                      <w:szCs w:val="21"/>
                    </w:rPr>
                  </w:pPr>
                  <w:r>
                    <w:rPr>
                      <w:sz w:val="21"/>
                      <w:szCs w:val="21"/>
                    </w:rPr>
                    <w:t>设置1套钻井参数测定系统，对钻压、扭矩、转速、泵压、泵冲、悬重、泥浆体积等参数测定。</w:t>
                  </w:r>
                </w:p>
              </w:tc>
              <w:tc>
                <w:tcPr>
                  <w:tcW w:w="1438" w:type="pct"/>
                  <w:shd w:val="clear" w:color="auto" w:fill="auto"/>
                  <w:vAlign w:val="center"/>
                </w:tcPr>
                <w:p w14:paraId="12D47F1F">
                  <w:pPr>
                    <w:jc w:val="center"/>
                    <w:rPr>
                      <w:sz w:val="21"/>
                      <w:szCs w:val="21"/>
                    </w:rPr>
                  </w:pPr>
                  <w:r>
                    <w:rPr>
                      <w:rFonts w:hint="eastAsia"/>
                      <w:sz w:val="21"/>
                      <w:szCs w:val="21"/>
                    </w:rPr>
                    <w:t>依托现有工程</w:t>
                  </w:r>
                </w:p>
              </w:tc>
              <w:tc>
                <w:tcPr>
                  <w:tcW w:w="661" w:type="pct"/>
                  <w:vAlign w:val="center"/>
                </w:tcPr>
                <w:p w14:paraId="7D1D785D">
                  <w:pPr>
                    <w:jc w:val="center"/>
                    <w:rPr>
                      <w:sz w:val="21"/>
                      <w:szCs w:val="21"/>
                    </w:rPr>
                  </w:pPr>
                  <w:r>
                    <w:rPr>
                      <w:rFonts w:hint="eastAsia"/>
                      <w:sz w:val="21"/>
                      <w:szCs w:val="21"/>
                    </w:rPr>
                    <w:t>/</w:t>
                  </w:r>
                </w:p>
              </w:tc>
            </w:tr>
            <w:tr w14:paraId="7A9CA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6F7A043">
                  <w:pPr>
                    <w:jc w:val="center"/>
                    <w:rPr>
                      <w:sz w:val="21"/>
                      <w:szCs w:val="21"/>
                    </w:rPr>
                  </w:pPr>
                </w:p>
              </w:tc>
              <w:tc>
                <w:tcPr>
                  <w:tcW w:w="426" w:type="pct"/>
                  <w:vAlign w:val="center"/>
                </w:tcPr>
                <w:p w14:paraId="14CC151E">
                  <w:pPr>
                    <w:jc w:val="center"/>
                    <w:rPr>
                      <w:sz w:val="21"/>
                      <w:szCs w:val="21"/>
                    </w:rPr>
                  </w:pPr>
                  <w:r>
                    <w:rPr>
                      <w:sz w:val="21"/>
                      <w:szCs w:val="21"/>
                    </w:rPr>
                    <w:t>钻井监控装置</w:t>
                  </w:r>
                </w:p>
              </w:tc>
              <w:tc>
                <w:tcPr>
                  <w:tcW w:w="1520" w:type="pct"/>
                  <w:shd w:val="clear" w:color="auto" w:fill="auto"/>
                  <w:vAlign w:val="center"/>
                </w:tcPr>
                <w:p w14:paraId="7452CD3A">
                  <w:pPr>
                    <w:jc w:val="center"/>
                    <w:rPr>
                      <w:sz w:val="21"/>
                      <w:szCs w:val="21"/>
                    </w:rPr>
                  </w:pPr>
                  <w:r>
                    <w:rPr>
                      <w:sz w:val="21"/>
                      <w:szCs w:val="21"/>
                    </w:rPr>
                    <w:t>井队配备1套钻井监控装置，含司钻控制台、节流控制室、远程控制台，均可独立开启井控装置。</w:t>
                  </w:r>
                </w:p>
              </w:tc>
              <w:tc>
                <w:tcPr>
                  <w:tcW w:w="1438" w:type="pct"/>
                  <w:shd w:val="clear" w:color="auto" w:fill="auto"/>
                  <w:vAlign w:val="center"/>
                </w:tcPr>
                <w:p w14:paraId="27982627">
                  <w:pPr>
                    <w:jc w:val="center"/>
                    <w:rPr>
                      <w:sz w:val="21"/>
                      <w:szCs w:val="21"/>
                    </w:rPr>
                  </w:pPr>
                  <w:r>
                    <w:rPr>
                      <w:rFonts w:hint="eastAsia"/>
                      <w:sz w:val="21"/>
                      <w:szCs w:val="21"/>
                    </w:rPr>
                    <w:t>依托现有工程</w:t>
                  </w:r>
                </w:p>
              </w:tc>
              <w:tc>
                <w:tcPr>
                  <w:tcW w:w="661" w:type="pct"/>
                  <w:vAlign w:val="center"/>
                </w:tcPr>
                <w:p w14:paraId="12FC7838">
                  <w:pPr>
                    <w:jc w:val="center"/>
                    <w:rPr>
                      <w:sz w:val="21"/>
                      <w:szCs w:val="21"/>
                    </w:rPr>
                  </w:pPr>
                  <w:r>
                    <w:rPr>
                      <w:rFonts w:hint="eastAsia"/>
                      <w:sz w:val="21"/>
                      <w:szCs w:val="21"/>
                    </w:rPr>
                    <w:t>/</w:t>
                  </w:r>
                </w:p>
              </w:tc>
            </w:tr>
            <w:tr w14:paraId="2F69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3" w:type="pct"/>
                  <w:gridSpan w:val="2"/>
                  <w:vMerge w:val="continue"/>
                  <w:vAlign w:val="center"/>
                </w:tcPr>
                <w:p w14:paraId="677983D0">
                  <w:pPr>
                    <w:jc w:val="center"/>
                    <w:rPr>
                      <w:sz w:val="21"/>
                      <w:szCs w:val="21"/>
                    </w:rPr>
                  </w:pPr>
                </w:p>
              </w:tc>
              <w:tc>
                <w:tcPr>
                  <w:tcW w:w="426" w:type="pct"/>
                  <w:vAlign w:val="center"/>
                </w:tcPr>
                <w:p w14:paraId="3BC2B6A1">
                  <w:pPr>
                    <w:jc w:val="center"/>
                    <w:rPr>
                      <w:sz w:val="21"/>
                      <w:szCs w:val="21"/>
                    </w:rPr>
                  </w:pPr>
                  <w:r>
                    <w:rPr>
                      <w:sz w:val="21"/>
                      <w:szCs w:val="21"/>
                    </w:rPr>
                    <w:t>放喷点火系统</w:t>
                  </w:r>
                </w:p>
              </w:tc>
              <w:tc>
                <w:tcPr>
                  <w:tcW w:w="1520" w:type="pct"/>
                  <w:shd w:val="clear" w:color="auto" w:fill="auto"/>
                  <w:vAlign w:val="center"/>
                </w:tcPr>
                <w:p w14:paraId="37E4FFD4">
                  <w:pPr>
                    <w:jc w:val="center"/>
                    <w:rPr>
                      <w:sz w:val="21"/>
                      <w:szCs w:val="21"/>
                    </w:rPr>
                  </w:pPr>
                  <w:r>
                    <w:rPr>
                      <w:sz w:val="21"/>
                      <w:szCs w:val="21"/>
                    </w:rPr>
                    <w:t>设置1套放喷点火系统</w:t>
                  </w:r>
                  <w:r>
                    <w:rPr>
                      <w:rFonts w:hint="eastAsia"/>
                      <w:sz w:val="21"/>
                      <w:szCs w:val="21"/>
                    </w:rPr>
                    <w:t>，包括防喷远程控制台、管架、防喷管线</w:t>
                  </w:r>
                  <w:r>
                    <w:rPr>
                      <w:sz w:val="21"/>
                      <w:szCs w:val="21"/>
                    </w:rPr>
                    <w:t>。</w:t>
                  </w:r>
                </w:p>
              </w:tc>
              <w:tc>
                <w:tcPr>
                  <w:tcW w:w="1438" w:type="pct"/>
                  <w:shd w:val="clear" w:color="auto" w:fill="auto"/>
                  <w:vAlign w:val="center"/>
                </w:tcPr>
                <w:p w14:paraId="67372A7A">
                  <w:pPr>
                    <w:jc w:val="center"/>
                    <w:rPr>
                      <w:sz w:val="21"/>
                      <w:szCs w:val="21"/>
                    </w:rPr>
                  </w:pPr>
                  <w:r>
                    <w:rPr>
                      <w:rFonts w:hint="eastAsia"/>
                      <w:sz w:val="21"/>
                      <w:szCs w:val="21"/>
                    </w:rPr>
                    <w:t>依托现有工程</w:t>
                  </w:r>
                </w:p>
              </w:tc>
              <w:tc>
                <w:tcPr>
                  <w:tcW w:w="661" w:type="pct"/>
                  <w:vAlign w:val="center"/>
                </w:tcPr>
                <w:p w14:paraId="4A656894">
                  <w:pPr>
                    <w:jc w:val="center"/>
                    <w:rPr>
                      <w:sz w:val="21"/>
                      <w:szCs w:val="21"/>
                    </w:rPr>
                  </w:pPr>
                  <w:r>
                    <w:rPr>
                      <w:rFonts w:hint="eastAsia"/>
                      <w:sz w:val="21"/>
                      <w:szCs w:val="21"/>
                    </w:rPr>
                    <w:t>/</w:t>
                  </w:r>
                </w:p>
              </w:tc>
            </w:tr>
            <w:tr w14:paraId="3046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3" w:type="pct"/>
                  <w:gridSpan w:val="2"/>
                  <w:vMerge w:val="continue"/>
                  <w:vAlign w:val="center"/>
                </w:tcPr>
                <w:p w14:paraId="0C33DD9E">
                  <w:pPr>
                    <w:jc w:val="center"/>
                    <w:rPr>
                      <w:sz w:val="21"/>
                      <w:szCs w:val="21"/>
                    </w:rPr>
                  </w:pPr>
                </w:p>
              </w:tc>
              <w:tc>
                <w:tcPr>
                  <w:tcW w:w="426" w:type="pct"/>
                  <w:vAlign w:val="center"/>
                </w:tcPr>
                <w:p w14:paraId="3CC9B45D">
                  <w:pPr>
                    <w:jc w:val="center"/>
                    <w:rPr>
                      <w:sz w:val="21"/>
                      <w:szCs w:val="21"/>
                    </w:rPr>
                  </w:pPr>
                  <w:r>
                    <w:rPr>
                      <w:sz w:val="21"/>
                      <w:szCs w:val="21"/>
                    </w:rPr>
                    <w:t>动力系统</w:t>
                  </w:r>
                </w:p>
              </w:tc>
              <w:tc>
                <w:tcPr>
                  <w:tcW w:w="1520" w:type="pct"/>
                  <w:shd w:val="clear" w:color="auto" w:fill="auto"/>
                  <w:vAlign w:val="center"/>
                </w:tcPr>
                <w:p w14:paraId="211935F2">
                  <w:pPr>
                    <w:jc w:val="center"/>
                    <w:rPr>
                      <w:sz w:val="21"/>
                      <w:szCs w:val="21"/>
                    </w:rPr>
                  </w:pPr>
                  <w:r>
                    <w:rPr>
                      <w:rFonts w:hint="eastAsia"/>
                      <w:sz w:val="21"/>
                      <w:szCs w:val="21"/>
                    </w:rPr>
                    <w:t>包括</w:t>
                  </w:r>
                  <w:r>
                    <w:rPr>
                      <w:sz w:val="21"/>
                      <w:szCs w:val="21"/>
                    </w:rPr>
                    <w:t>柴油机，发电机</w:t>
                  </w:r>
                  <w:r>
                    <w:rPr>
                      <w:rFonts w:hint="eastAsia"/>
                      <w:sz w:val="21"/>
                      <w:szCs w:val="21"/>
                    </w:rPr>
                    <w:t>、气源净化装置，以及辅助发电设备</w:t>
                  </w:r>
                  <w:r>
                    <w:rPr>
                      <w:sz w:val="21"/>
                      <w:szCs w:val="21"/>
                    </w:rPr>
                    <w:t>。</w:t>
                  </w:r>
                </w:p>
              </w:tc>
              <w:tc>
                <w:tcPr>
                  <w:tcW w:w="1438" w:type="pct"/>
                  <w:shd w:val="clear" w:color="auto" w:fill="auto"/>
                  <w:vAlign w:val="center"/>
                </w:tcPr>
                <w:p w14:paraId="5F373671">
                  <w:pPr>
                    <w:jc w:val="center"/>
                    <w:rPr>
                      <w:sz w:val="21"/>
                      <w:szCs w:val="21"/>
                    </w:rPr>
                  </w:pPr>
                  <w:r>
                    <w:rPr>
                      <w:rFonts w:hint="eastAsia"/>
                      <w:sz w:val="21"/>
                      <w:szCs w:val="21"/>
                    </w:rPr>
                    <w:t>依托现有工程</w:t>
                  </w:r>
                </w:p>
              </w:tc>
              <w:tc>
                <w:tcPr>
                  <w:tcW w:w="661" w:type="pct"/>
                  <w:vAlign w:val="center"/>
                </w:tcPr>
                <w:p w14:paraId="6430695C">
                  <w:pPr>
                    <w:jc w:val="center"/>
                    <w:rPr>
                      <w:sz w:val="21"/>
                      <w:szCs w:val="21"/>
                    </w:rPr>
                  </w:pPr>
                  <w:r>
                    <w:rPr>
                      <w:rFonts w:hint="eastAsia"/>
                      <w:sz w:val="21"/>
                      <w:szCs w:val="21"/>
                    </w:rPr>
                    <w:t>/</w:t>
                  </w:r>
                </w:p>
              </w:tc>
            </w:tr>
            <w:tr w14:paraId="24B12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3" w:type="pct"/>
                  <w:gridSpan w:val="2"/>
                  <w:vMerge w:val="continue"/>
                  <w:vAlign w:val="center"/>
                </w:tcPr>
                <w:p w14:paraId="2AFB5048">
                  <w:pPr>
                    <w:jc w:val="center"/>
                    <w:rPr>
                      <w:sz w:val="21"/>
                      <w:szCs w:val="21"/>
                    </w:rPr>
                  </w:pPr>
                </w:p>
              </w:tc>
              <w:tc>
                <w:tcPr>
                  <w:tcW w:w="426" w:type="pct"/>
                  <w:vAlign w:val="center"/>
                </w:tcPr>
                <w:p w14:paraId="0643B4C0">
                  <w:pPr>
                    <w:jc w:val="center"/>
                    <w:rPr>
                      <w:sz w:val="21"/>
                      <w:szCs w:val="21"/>
                    </w:rPr>
                  </w:pPr>
                  <w:r>
                    <w:rPr>
                      <w:rFonts w:hint="eastAsia"/>
                      <w:sz w:val="21"/>
                      <w:szCs w:val="21"/>
                    </w:rPr>
                    <w:t>柴油机房</w:t>
                  </w:r>
                </w:p>
              </w:tc>
              <w:tc>
                <w:tcPr>
                  <w:tcW w:w="1520" w:type="pct"/>
                  <w:shd w:val="clear" w:color="auto" w:fill="auto"/>
                  <w:vAlign w:val="center"/>
                </w:tcPr>
                <w:p w14:paraId="6E79CE03">
                  <w:pPr>
                    <w:jc w:val="center"/>
                    <w:rPr>
                      <w:sz w:val="21"/>
                      <w:szCs w:val="21"/>
                    </w:rPr>
                  </w:pPr>
                  <w:r>
                    <w:rPr>
                      <w:sz w:val="21"/>
                      <w:szCs w:val="21"/>
                    </w:rPr>
                    <w:t>占地面积</w:t>
                  </w:r>
                  <w:r>
                    <w:rPr>
                      <w:rFonts w:hint="eastAsia"/>
                      <w:sz w:val="21"/>
                      <w:szCs w:val="21"/>
                    </w:rPr>
                    <w:t>80</w:t>
                  </w:r>
                  <w:r>
                    <w:rPr>
                      <w:sz w:val="21"/>
                      <w:szCs w:val="21"/>
                    </w:rPr>
                    <w:t>m</w:t>
                  </w:r>
                  <w:r>
                    <w:rPr>
                      <w:sz w:val="21"/>
                      <w:szCs w:val="21"/>
                      <w:vertAlign w:val="superscript"/>
                    </w:rPr>
                    <w:t>2</w:t>
                  </w:r>
                  <w:r>
                    <w:rPr>
                      <w:sz w:val="21"/>
                      <w:szCs w:val="21"/>
                    </w:rPr>
                    <w:t>，</w:t>
                  </w:r>
                  <w:r>
                    <w:rPr>
                      <w:rFonts w:hint="eastAsia"/>
                      <w:sz w:val="21"/>
                      <w:szCs w:val="21"/>
                    </w:rPr>
                    <w:t>存放柴油机。</w:t>
                  </w:r>
                </w:p>
              </w:tc>
              <w:tc>
                <w:tcPr>
                  <w:tcW w:w="1438" w:type="pct"/>
                  <w:shd w:val="clear" w:color="auto" w:fill="auto"/>
                  <w:vAlign w:val="center"/>
                </w:tcPr>
                <w:p w14:paraId="51E145FF">
                  <w:pPr>
                    <w:jc w:val="center"/>
                    <w:rPr>
                      <w:sz w:val="21"/>
                      <w:szCs w:val="21"/>
                    </w:rPr>
                  </w:pPr>
                  <w:r>
                    <w:rPr>
                      <w:rFonts w:hint="eastAsia"/>
                      <w:sz w:val="21"/>
                      <w:szCs w:val="21"/>
                    </w:rPr>
                    <w:t>依托现有工程</w:t>
                  </w:r>
                </w:p>
              </w:tc>
              <w:tc>
                <w:tcPr>
                  <w:tcW w:w="661" w:type="pct"/>
                  <w:vAlign w:val="center"/>
                </w:tcPr>
                <w:p w14:paraId="4A4719AF">
                  <w:pPr>
                    <w:jc w:val="center"/>
                    <w:rPr>
                      <w:sz w:val="21"/>
                      <w:szCs w:val="21"/>
                    </w:rPr>
                  </w:pPr>
                  <w:r>
                    <w:rPr>
                      <w:rFonts w:hint="eastAsia"/>
                      <w:sz w:val="21"/>
                      <w:szCs w:val="21"/>
                    </w:rPr>
                    <w:t>/</w:t>
                  </w:r>
                </w:p>
              </w:tc>
            </w:tr>
            <w:tr w14:paraId="2DBC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3ACFE309">
                  <w:pPr>
                    <w:jc w:val="center"/>
                    <w:rPr>
                      <w:sz w:val="21"/>
                      <w:szCs w:val="21"/>
                    </w:rPr>
                  </w:pPr>
                </w:p>
              </w:tc>
              <w:tc>
                <w:tcPr>
                  <w:tcW w:w="426" w:type="pct"/>
                  <w:vAlign w:val="center"/>
                </w:tcPr>
                <w:p w14:paraId="54459DE5">
                  <w:pPr>
                    <w:jc w:val="center"/>
                    <w:rPr>
                      <w:sz w:val="21"/>
                      <w:szCs w:val="21"/>
                    </w:rPr>
                  </w:pPr>
                  <w:r>
                    <w:rPr>
                      <w:sz w:val="21"/>
                      <w:szCs w:val="21"/>
                    </w:rPr>
                    <w:t>消防房</w:t>
                  </w:r>
                </w:p>
              </w:tc>
              <w:tc>
                <w:tcPr>
                  <w:tcW w:w="1520" w:type="pct"/>
                  <w:shd w:val="clear" w:color="auto" w:fill="auto"/>
                  <w:vAlign w:val="center"/>
                </w:tcPr>
                <w:p w14:paraId="0DC73AED">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sz w:val="21"/>
                      <w:szCs w:val="21"/>
                    </w:rPr>
                    <w:t>。</w:t>
                  </w:r>
                </w:p>
              </w:tc>
              <w:tc>
                <w:tcPr>
                  <w:tcW w:w="1438" w:type="pct"/>
                  <w:shd w:val="clear" w:color="auto" w:fill="auto"/>
                  <w:vAlign w:val="center"/>
                </w:tcPr>
                <w:p w14:paraId="2F2C5CAE">
                  <w:pPr>
                    <w:jc w:val="center"/>
                    <w:rPr>
                      <w:sz w:val="21"/>
                      <w:szCs w:val="21"/>
                    </w:rPr>
                  </w:pPr>
                  <w:r>
                    <w:rPr>
                      <w:rFonts w:hint="eastAsia"/>
                      <w:sz w:val="21"/>
                      <w:szCs w:val="21"/>
                    </w:rPr>
                    <w:t>依托现有工程</w:t>
                  </w:r>
                </w:p>
              </w:tc>
              <w:tc>
                <w:tcPr>
                  <w:tcW w:w="661" w:type="pct"/>
                  <w:vAlign w:val="center"/>
                </w:tcPr>
                <w:p w14:paraId="53EC5D18">
                  <w:pPr>
                    <w:jc w:val="center"/>
                    <w:rPr>
                      <w:sz w:val="21"/>
                      <w:szCs w:val="21"/>
                    </w:rPr>
                  </w:pPr>
                  <w:r>
                    <w:rPr>
                      <w:rFonts w:hint="eastAsia"/>
                      <w:sz w:val="21"/>
                      <w:szCs w:val="21"/>
                    </w:rPr>
                    <w:t>/</w:t>
                  </w:r>
                </w:p>
              </w:tc>
            </w:tr>
            <w:tr w14:paraId="1C9D0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3" w:type="pct"/>
                  <w:gridSpan w:val="2"/>
                  <w:vMerge w:val="continue"/>
                  <w:vAlign w:val="center"/>
                </w:tcPr>
                <w:p w14:paraId="2CB2672E">
                  <w:pPr>
                    <w:jc w:val="center"/>
                    <w:rPr>
                      <w:sz w:val="21"/>
                      <w:szCs w:val="21"/>
                    </w:rPr>
                  </w:pPr>
                </w:p>
              </w:tc>
              <w:tc>
                <w:tcPr>
                  <w:tcW w:w="426" w:type="pct"/>
                  <w:vAlign w:val="center"/>
                </w:tcPr>
                <w:p w14:paraId="532D0BCD">
                  <w:pPr>
                    <w:jc w:val="center"/>
                    <w:rPr>
                      <w:sz w:val="21"/>
                      <w:szCs w:val="21"/>
                    </w:rPr>
                  </w:pPr>
                  <w:r>
                    <w:rPr>
                      <w:sz w:val="21"/>
                      <w:szCs w:val="21"/>
                    </w:rPr>
                    <w:t>工具房</w:t>
                  </w:r>
                </w:p>
              </w:tc>
              <w:tc>
                <w:tcPr>
                  <w:tcW w:w="1520" w:type="pct"/>
                  <w:shd w:val="clear" w:color="auto" w:fill="auto"/>
                  <w:vAlign w:val="center"/>
                </w:tcPr>
                <w:p w14:paraId="022AAB3E">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sz w:val="21"/>
                      <w:szCs w:val="21"/>
                    </w:rPr>
                    <w:t>。</w:t>
                  </w:r>
                </w:p>
              </w:tc>
              <w:tc>
                <w:tcPr>
                  <w:tcW w:w="1438" w:type="pct"/>
                  <w:shd w:val="clear" w:color="auto" w:fill="auto"/>
                  <w:vAlign w:val="center"/>
                </w:tcPr>
                <w:p w14:paraId="39F80EFD">
                  <w:pPr>
                    <w:jc w:val="center"/>
                    <w:rPr>
                      <w:sz w:val="21"/>
                      <w:szCs w:val="21"/>
                    </w:rPr>
                  </w:pPr>
                  <w:r>
                    <w:rPr>
                      <w:rFonts w:hint="eastAsia"/>
                      <w:sz w:val="21"/>
                      <w:szCs w:val="21"/>
                    </w:rPr>
                    <w:t>依托现有工程</w:t>
                  </w:r>
                </w:p>
              </w:tc>
              <w:tc>
                <w:tcPr>
                  <w:tcW w:w="661" w:type="pct"/>
                  <w:vAlign w:val="center"/>
                </w:tcPr>
                <w:p w14:paraId="7C63D2DB">
                  <w:pPr>
                    <w:jc w:val="center"/>
                    <w:rPr>
                      <w:sz w:val="21"/>
                      <w:szCs w:val="21"/>
                    </w:rPr>
                  </w:pPr>
                  <w:r>
                    <w:rPr>
                      <w:rFonts w:hint="eastAsia"/>
                      <w:sz w:val="21"/>
                      <w:szCs w:val="21"/>
                    </w:rPr>
                    <w:t>/</w:t>
                  </w:r>
                </w:p>
              </w:tc>
            </w:tr>
            <w:tr w14:paraId="66FF9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5061AF0E">
                  <w:pPr>
                    <w:jc w:val="center"/>
                    <w:rPr>
                      <w:sz w:val="21"/>
                      <w:szCs w:val="21"/>
                    </w:rPr>
                  </w:pPr>
                </w:p>
              </w:tc>
              <w:tc>
                <w:tcPr>
                  <w:tcW w:w="426" w:type="pct"/>
                  <w:vAlign w:val="center"/>
                </w:tcPr>
                <w:p w14:paraId="4E858600">
                  <w:pPr>
                    <w:jc w:val="center"/>
                    <w:rPr>
                      <w:sz w:val="21"/>
                      <w:szCs w:val="21"/>
                    </w:rPr>
                  </w:pPr>
                  <w:r>
                    <w:rPr>
                      <w:sz w:val="21"/>
                      <w:szCs w:val="21"/>
                    </w:rPr>
                    <w:t>机械修理房</w:t>
                  </w:r>
                </w:p>
              </w:tc>
              <w:tc>
                <w:tcPr>
                  <w:tcW w:w="1520" w:type="pct"/>
                  <w:shd w:val="clear" w:color="auto" w:fill="auto"/>
                  <w:vAlign w:val="center"/>
                </w:tcPr>
                <w:p w14:paraId="737286A3">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sz w:val="21"/>
                      <w:szCs w:val="21"/>
                    </w:rPr>
                    <w:t>。</w:t>
                  </w:r>
                </w:p>
              </w:tc>
              <w:tc>
                <w:tcPr>
                  <w:tcW w:w="1438" w:type="pct"/>
                  <w:shd w:val="clear" w:color="auto" w:fill="auto"/>
                  <w:vAlign w:val="center"/>
                </w:tcPr>
                <w:p w14:paraId="0BA416DA">
                  <w:pPr>
                    <w:jc w:val="center"/>
                    <w:rPr>
                      <w:sz w:val="21"/>
                      <w:szCs w:val="21"/>
                    </w:rPr>
                  </w:pPr>
                  <w:r>
                    <w:rPr>
                      <w:rFonts w:hint="eastAsia"/>
                      <w:sz w:val="21"/>
                      <w:szCs w:val="21"/>
                    </w:rPr>
                    <w:t>依托现有工程</w:t>
                  </w:r>
                </w:p>
              </w:tc>
              <w:tc>
                <w:tcPr>
                  <w:tcW w:w="661" w:type="pct"/>
                  <w:vAlign w:val="center"/>
                </w:tcPr>
                <w:p w14:paraId="310D5195">
                  <w:pPr>
                    <w:jc w:val="center"/>
                    <w:rPr>
                      <w:sz w:val="21"/>
                      <w:szCs w:val="21"/>
                    </w:rPr>
                  </w:pPr>
                  <w:r>
                    <w:rPr>
                      <w:rFonts w:hint="eastAsia"/>
                      <w:sz w:val="21"/>
                      <w:szCs w:val="21"/>
                    </w:rPr>
                    <w:t>/</w:t>
                  </w:r>
                </w:p>
              </w:tc>
            </w:tr>
            <w:tr w14:paraId="7C91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65C1419">
                  <w:pPr>
                    <w:jc w:val="center"/>
                    <w:rPr>
                      <w:sz w:val="21"/>
                      <w:szCs w:val="21"/>
                    </w:rPr>
                  </w:pPr>
                </w:p>
              </w:tc>
              <w:tc>
                <w:tcPr>
                  <w:tcW w:w="426" w:type="pct"/>
                  <w:vAlign w:val="center"/>
                </w:tcPr>
                <w:p w14:paraId="457C0CF3">
                  <w:pPr>
                    <w:jc w:val="center"/>
                    <w:rPr>
                      <w:sz w:val="21"/>
                      <w:szCs w:val="21"/>
                    </w:rPr>
                  </w:pPr>
                  <w:r>
                    <w:rPr>
                      <w:sz w:val="21"/>
                      <w:szCs w:val="21"/>
                    </w:rPr>
                    <w:t>生活营区</w:t>
                  </w:r>
                </w:p>
              </w:tc>
              <w:tc>
                <w:tcPr>
                  <w:tcW w:w="1520" w:type="pct"/>
                  <w:shd w:val="clear" w:color="auto" w:fill="auto"/>
                  <w:vAlign w:val="center"/>
                </w:tcPr>
                <w:p w14:paraId="4309A882">
                  <w:pPr>
                    <w:jc w:val="center"/>
                    <w:rPr>
                      <w:sz w:val="21"/>
                      <w:szCs w:val="21"/>
                    </w:rPr>
                  </w:pPr>
                  <w:r>
                    <w:rPr>
                      <w:rFonts w:hint="eastAsia"/>
                      <w:sz w:val="21"/>
                      <w:szCs w:val="21"/>
                    </w:rPr>
                    <w:t>占地面积约800</w:t>
                  </w:r>
                  <w:r>
                    <w:rPr>
                      <w:sz w:val="21"/>
                      <w:szCs w:val="21"/>
                    </w:rPr>
                    <w:t>m</w:t>
                  </w:r>
                  <w:r>
                    <w:rPr>
                      <w:sz w:val="21"/>
                      <w:szCs w:val="21"/>
                      <w:vertAlign w:val="superscript"/>
                    </w:rPr>
                    <w:t>2</w:t>
                  </w:r>
                  <w:r>
                    <w:rPr>
                      <w:rFonts w:hint="eastAsia"/>
                      <w:sz w:val="21"/>
                      <w:szCs w:val="21"/>
                    </w:rPr>
                    <w:t>，包括厕所、井场值班房、干部住井房、甲方监督房、工程技术房、库房区。</w:t>
                  </w:r>
                </w:p>
              </w:tc>
              <w:tc>
                <w:tcPr>
                  <w:tcW w:w="1438" w:type="pct"/>
                  <w:shd w:val="clear" w:color="auto" w:fill="auto"/>
                  <w:vAlign w:val="center"/>
                </w:tcPr>
                <w:p w14:paraId="64926215">
                  <w:pPr>
                    <w:jc w:val="center"/>
                    <w:rPr>
                      <w:sz w:val="21"/>
                      <w:szCs w:val="21"/>
                    </w:rPr>
                  </w:pPr>
                  <w:r>
                    <w:rPr>
                      <w:rFonts w:hint="eastAsia"/>
                      <w:sz w:val="21"/>
                      <w:szCs w:val="21"/>
                    </w:rPr>
                    <w:t>依托现有工程</w:t>
                  </w:r>
                </w:p>
              </w:tc>
              <w:tc>
                <w:tcPr>
                  <w:tcW w:w="661" w:type="pct"/>
                  <w:vAlign w:val="center"/>
                </w:tcPr>
                <w:p w14:paraId="5EC9BE2E">
                  <w:pPr>
                    <w:jc w:val="center"/>
                    <w:rPr>
                      <w:sz w:val="21"/>
                      <w:szCs w:val="21"/>
                    </w:rPr>
                  </w:pPr>
                  <w:r>
                    <w:rPr>
                      <w:rFonts w:hint="eastAsia"/>
                      <w:sz w:val="21"/>
                      <w:szCs w:val="21"/>
                    </w:rPr>
                    <w:t>/</w:t>
                  </w:r>
                </w:p>
              </w:tc>
            </w:tr>
            <w:tr w14:paraId="7D7A7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03BA5286">
                  <w:pPr>
                    <w:jc w:val="center"/>
                    <w:rPr>
                      <w:sz w:val="21"/>
                      <w:szCs w:val="21"/>
                    </w:rPr>
                  </w:pPr>
                </w:p>
              </w:tc>
              <w:tc>
                <w:tcPr>
                  <w:tcW w:w="426" w:type="pct"/>
                  <w:vAlign w:val="center"/>
                </w:tcPr>
                <w:p w14:paraId="1DFC7E60">
                  <w:pPr>
                    <w:jc w:val="center"/>
                    <w:rPr>
                      <w:sz w:val="21"/>
                      <w:szCs w:val="21"/>
                    </w:rPr>
                  </w:pPr>
                  <w:r>
                    <w:rPr>
                      <w:sz w:val="21"/>
                      <w:szCs w:val="21"/>
                    </w:rPr>
                    <w:t>地质房</w:t>
                  </w:r>
                </w:p>
              </w:tc>
              <w:tc>
                <w:tcPr>
                  <w:tcW w:w="1520" w:type="pct"/>
                  <w:shd w:val="clear" w:color="auto" w:fill="auto"/>
                  <w:vAlign w:val="center"/>
                </w:tcPr>
                <w:p w14:paraId="7A88FC58">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rFonts w:hint="eastAsia"/>
                      <w:sz w:val="21"/>
                      <w:szCs w:val="21"/>
                    </w:rPr>
                    <w:t>。</w:t>
                  </w:r>
                </w:p>
              </w:tc>
              <w:tc>
                <w:tcPr>
                  <w:tcW w:w="1438" w:type="pct"/>
                  <w:shd w:val="clear" w:color="auto" w:fill="auto"/>
                  <w:vAlign w:val="center"/>
                </w:tcPr>
                <w:p w14:paraId="7445A324">
                  <w:pPr>
                    <w:jc w:val="center"/>
                    <w:rPr>
                      <w:sz w:val="21"/>
                      <w:szCs w:val="21"/>
                    </w:rPr>
                  </w:pPr>
                  <w:r>
                    <w:rPr>
                      <w:rFonts w:hint="eastAsia"/>
                      <w:sz w:val="21"/>
                      <w:szCs w:val="21"/>
                    </w:rPr>
                    <w:t>依托现有工程</w:t>
                  </w:r>
                </w:p>
              </w:tc>
              <w:tc>
                <w:tcPr>
                  <w:tcW w:w="661" w:type="pct"/>
                  <w:vAlign w:val="center"/>
                </w:tcPr>
                <w:p w14:paraId="2E90A0ED">
                  <w:pPr>
                    <w:jc w:val="center"/>
                    <w:rPr>
                      <w:sz w:val="21"/>
                      <w:szCs w:val="21"/>
                    </w:rPr>
                  </w:pPr>
                  <w:r>
                    <w:rPr>
                      <w:rFonts w:hint="eastAsia"/>
                      <w:sz w:val="21"/>
                      <w:szCs w:val="21"/>
                    </w:rPr>
                    <w:t>/</w:t>
                  </w:r>
                </w:p>
              </w:tc>
            </w:tr>
            <w:tr w14:paraId="20E7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5F88EE7F">
                  <w:pPr>
                    <w:jc w:val="center"/>
                    <w:rPr>
                      <w:sz w:val="21"/>
                      <w:szCs w:val="21"/>
                    </w:rPr>
                  </w:pPr>
                </w:p>
              </w:tc>
              <w:tc>
                <w:tcPr>
                  <w:tcW w:w="426" w:type="pct"/>
                  <w:vAlign w:val="center"/>
                </w:tcPr>
                <w:p w14:paraId="23325F78">
                  <w:pPr>
                    <w:jc w:val="center"/>
                    <w:rPr>
                      <w:sz w:val="21"/>
                      <w:szCs w:val="21"/>
                    </w:rPr>
                  </w:pPr>
                  <w:r>
                    <w:rPr>
                      <w:rFonts w:hint="eastAsia"/>
                      <w:sz w:val="21"/>
                      <w:szCs w:val="21"/>
                    </w:rPr>
                    <w:t>气瓶房</w:t>
                  </w:r>
                </w:p>
              </w:tc>
              <w:tc>
                <w:tcPr>
                  <w:tcW w:w="1520" w:type="pct"/>
                  <w:shd w:val="clear" w:color="auto" w:fill="auto"/>
                  <w:vAlign w:val="center"/>
                </w:tcPr>
                <w:p w14:paraId="5E85568F">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sz w:val="21"/>
                      <w:szCs w:val="21"/>
                    </w:rPr>
                    <w:t>，</w:t>
                  </w:r>
                  <w:r>
                    <w:rPr>
                      <w:rFonts w:hint="eastAsia"/>
                      <w:sz w:val="21"/>
                      <w:szCs w:val="21"/>
                    </w:rPr>
                    <w:t>储存</w:t>
                  </w:r>
                  <w:r>
                    <w:rPr>
                      <w:sz w:val="21"/>
                      <w:szCs w:val="21"/>
                    </w:rPr>
                    <w:t>携气瓶式正压呼吸设备</w:t>
                  </w:r>
                  <w:r>
                    <w:rPr>
                      <w:rFonts w:hint="eastAsia"/>
                      <w:sz w:val="21"/>
                      <w:szCs w:val="21"/>
                    </w:rPr>
                    <w:t>及气</w:t>
                  </w:r>
                  <w:r>
                    <w:rPr>
                      <w:sz w:val="21"/>
                      <w:szCs w:val="21"/>
                    </w:rPr>
                    <w:t>瓶</w:t>
                  </w:r>
                  <w:r>
                    <w:rPr>
                      <w:rFonts w:hint="eastAsia"/>
                      <w:sz w:val="21"/>
                      <w:szCs w:val="21"/>
                    </w:rPr>
                    <w:t>。</w:t>
                  </w:r>
                </w:p>
              </w:tc>
              <w:tc>
                <w:tcPr>
                  <w:tcW w:w="1438" w:type="pct"/>
                  <w:shd w:val="clear" w:color="auto" w:fill="auto"/>
                  <w:vAlign w:val="center"/>
                </w:tcPr>
                <w:p w14:paraId="3C568F3B">
                  <w:pPr>
                    <w:jc w:val="center"/>
                    <w:rPr>
                      <w:sz w:val="21"/>
                      <w:szCs w:val="21"/>
                    </w:rPr>
                  </w:pPr>
                  <w:r>
                    <w:rPr>
                      <w:rFonts w:hint="eastAsia"/>
                      <w:sz w:val="21"/>
                      <w:szCs w:val="21"/>
                    </w:rPr>
                    <w:t>依托现有工程</w:t>
                  </w:r>
                </w:p>
              </w:tc>
              <w:tc>
                <w:tcPr>
                  <w:tcW w:w="661" w:type="pct"/>
                  <w:vAlign w:val="center"/>
                </w:tcPr>
                <w:p w14:paraId="5FC197C2">
                  <w:pPr>
                    <w:jc w:val="center"/>
                    <w:rPr>
                      <w:sz w:val="21"/>
                      <w:szCs w:val="21"/>
                    </w:rPr>
                  </w:pPr>
                  <w:r>
                    <w:rPr>
                      <w:rFonts w:hint="eastAsia"/>
                      <w:sz w:val="21"/>
                      <w:szCs w:val="21"/>
                    </w:rPr>
                    <w:t>/</w:t>
                  </w:r>
                </w:p>
              </w:tc>
            </w:tr>
            <w:tr w14:paraId="5B96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9712217">
                  <w:pPr>
                    <w:jc w:val="center"/>
                    <w:rPr>
                      <w:sz w:val="21"/>
                      <w:szCs w:val="21"/>
                    </w:rPr>
                  </w:pPr>
                </w:p>
              </w:tc>
              <w:tc>
                <w:tcPr>
                  <w:tcW w:w="426" w:type="pct"/>
                  <w:vAlign w:val="center"/>
                </w:tcPr>
                <w:p w14:paraId="0435CF1C">
                  <w:pPr>
                    <w:jc w:val="center"/>
                    <w:rPr>
                      <w:sz w:val="21"/>
                      <w:szCs w:val="21"/>
                    </w:rPr>
                  </w:pPr>
                  <w:r>
                    <w:rPr>
                      <w:rFonts w:hint="eastAsia"/>
                      <w:sz w:val="21"/>
                      <w:szCs w:val="21"/>
                    </w:rPr>
                    <w:t>MCC房</w:t>
                  </w:r>
                </w:p>
              </w:tc>
              <w:tc>
                <w:tcPr>
                  <w:tcW w:w="1520" w:type="pct"/>
                  <w:shd w:val="clear" w:color="auto" w:fill="auto"/>
                  <w:vAlign w:val="center"/>
                </w:tcPr>
                <w:p w14:paraId="1F57174D">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rFonts w:hint="eastAsia"/>
                      <w:sz w:val="21"/>
                      <w:szCs w:val="21"/>
                    </w:rPr>
                    <w:t>，</w:t>
                  </w:r>
                  <w:r>
                    <w:rPr>
                      <w:sz w:val="21"/>
                      <w:szCs w:val="21"/>
                    </w:rPr>
                    <w:t>开关设备和低压配电装置集成在一起的预制式配电房。‌‌</w:t>
                  </w:r>
                </w:p>
              </w:tc>
              <w:tc>
                <w:tcPr>
                  <w:tcW w:w="1438" w:type="pct"/>
                  <w:shd w:val="clear" w:color="auto" w:fill="auto"/>
                  <w:vAlign w:val="center"/>
                </w:tcPr>
                <w:p w14:paraId="6B25AC4D">
                  <w:pPr>
                    <w:jc w:val="center"/>
                    <w:rPr>
                      <w:sz w:val="21"/>
                      <w:szCs w:val="21"/>
                    </w:rPr>
                  </w:pPr>
                  <w:r>
                    <w:rPr>
                      <w:rFonts w:hint="eastAsia"/>
                      <w:sz w:val="21"/>
                      <w:szCs w:val="21"/>
                    </w:rPr>
                    <w:t>依托现有工程</w:t>
                  </w:r>
                </w:p>
              </w:tc>
              <w:tc>
                <w:tcPr>
                  <w:tcW w:w="661" w:type="pct"/>
                  <w:vAlign w:val="center"/>
                </w:tcPr>
                <w:p w14:paraId="1F50032E">
                  <w:pPr>
                    <w:jc w:val="center"/>
                    <w:rPr>
                      <w:sz w:val="21"/>
                      <w:szCs w:val="21"/>
                    </w:rPr>
                  </w:pPr>
                  <w:r>
                    <w:rPr>
                      <w:rFonts w:hint="eastAsia"/>
                      <w:sz w:val="21"/>
                      <w:szCs w:val="21"/>
                    </w:rPr>
                    <w:t>/</w:t>
                  </w:r>
                </w:p>
              </w:tc>
            </w:tr>
            <w:tr w14:paraId="298D2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41CDF373">
                  <w:pPr>
                    <w:jc w:val="center"/>
                    <w:rPr>
                      <w:sz w:val="21"/>
                      <w:szCs w:val="21"/>
                    </w:rPr>
                  </w:pPr>
                </w:p>
              </w:tc>
              <w:tc>
                <w:tcPr>
                  <w:tcW w:w="426" w:type="pct"/>
                  <w:vAlign w:val="center"/>
                </w:tcPr>
                <w:p w14:paraId="15016443">
                  <w:pPr>
                    <w:jc w:val="center"/>
                    <w:rPr>
                      <w:sz w:val="21"/>
                      <w:szCs w:val="21"/>
                    </w:rPr>
                  </w:pPr>
                  <w:r>
                    <w:rPr>
                      <w:rFonts w:hint="eastAsia"/>
                      <w:sz w:val="21"/>
                      <w:szCs w:val="21"/>
                    </w:rPr>
                    <w:t>泥浆房</w:t>
                  </w:r>
                </w:p>
              </w:tc>
              <w:tc>
                <w:tcPr>
                  <w:tcW w:w="1520" w:type="pct"/>
                  <w:shd w:val="clear" w:color="auto" w:fill="auto"/>
                  <w:vAlign w:val="center"/>
                </w:tcPr>
                <w:p w14:paraId="71701DE0">
                  <w:pPr>
                    <w:jc w:val="center"/>
                    <w:rPr>
                      <w:sz w:val="21"/>
                      <w:szCs w:val="21"/>
                    </w:rPr>
                  </w:pPr>
                  <w:r>
                    <w:rPr>
                      <w:sz w:val="21"/>
                      <w:szCs w:val="21"/>
                    </w:rPr>
                    <w:t>占地面积</w:t>
                  </w:r>
                  <w:r>
                    <w:rPr>
                      <w:rFonts w:hint="eastAsia"/>
                      <w:sz w:val="21"/>
                      <w:szCs w:val="21"/>
                    </w:rPr>
                    <w:t>40</w:t>
                  </w:r>
                  <w:r>
                    <w:rPr>
                      <w:sz w:val="21"/>
                      <w:szCs w:val="21"/>
                    </w:rPr>
                    <w:t>m</w:t>
                  </w:r>
                  <w:r>
                    <w:rPr>
                      <w:sz w:val="21"/>
                      <w:szCs w:val="21"/>
                      <w:vertAlign w:val="superscript"/>
                    </w:rPr>
                    <w:t>2</w:t>
                  </w:r>
                  <w:r>
                    <w:rPr>
                      <w:rFonts w:hint="eastAsia"/>
                      <w:sz w:val="21"/>
                      <w:szCs w:val="21"/>
                    </w:rPr>
                    <w:t>，用于试验、测量泥浆性能。</w:t>
                  </w:r>
                </w:p>
              </w:tc>
              <w:tc>
                <w:tcPr>
                  <w:tcW w:w="1438" w:type="pct"/>
                  <w:shd w:val="clear" w:color="auto" w:fill="auto"/>
                  <w:vAlign w:val="center"/>
                </w:tcPr>
                <w:p w14:paraId="75371BC6">
                  <w:pPr>
                    <w:jc w:val="center"/>
                    <w:rPr>
                      <w:sz w:val="21"/>
                      <w:szCs w:val="21"/>
                    </w:rPr>
                  </w:pPr>
                  <w:r>
                    <w:rPr>
                      <w:rFonts w:hint="eastAsia"/>
                      <w:sz w:val="21"/>
                      <w:szCs w:val="21"/>
                    </w:rPr>
                    <w:t>依托现有工程</w:t>
                  </w:r>
                </w:p>
              </w:tc>
              <w:tc>
                <w:tcPr>
                  <w:tcW w:w="661" w:type="pct"/>
                  <w:vAlign w:val="center"/>
                </w:tcPr>
                <w:p w14:paraId="5E316F71">
                  <w:pPr>
                    <w:jc w:val="center"/>
                    <w:rPr>
                      <w:sz w:val="21"/>
                      <w:szCs w:val="21"/>
                    </w:rPr>
                  </w:pPr>
                  <w:r>
                    <w:rPr>
                      <w:rFonts w:hint="eastAsia"/>
                      <w:sz w:val="21"/>
                      <w:szCs w:val="21"/>
                    </w:rPr>
                    <w:t>/</w:t>
                  </w:r>
                </w:p>
              </w:tc>
            </w:tr>
            <w:tr w14:paraId="19862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restart"/>
                  <w:vAlign w:val="center"/>
                </w:tcPr>
                <w:p w14:paraId="280EAD80">
                  <w:pPr>
                    <w:jc w:val="center"/>
                    <w:rPr>
                      <w:sz w:val="21"/>
                      <w:szCs w:val="21"/>
                    </w:rPr>
                  </w:pPr>
                  <w:r>
                    <w:rPr>
                      <w:sz w:val="21"/>
                      <w:szCs w:val="21"/>
                    </w:rPr>
                    <w:t>储运工程</w:t>
                  </w:r>
                </w:p>
              </w:tc>
              <w:tc>
                <w:tcPr>
                  <w:tcW w:w="426" w:type="pct"/>
                  <w:vAlign w:val="center"/>
                </w:tcPr>
                <w:p w14:paraId="5622BD86">
                  <w:pPr>
                    <w:jc w:val="center"/>
                    <w:rPr>
                      <w:sz w:val="21"/>
                      <w:szCs w:val="21"/>
                    </w:rPr>
                  </w:pPr>
                  <w:r>
                    <w:rPr>
                      <w:sz w:val="21"/>
                      <w:szCs w:val="21"/>
                    </w:rPr>
                    <w:t>循环罐区</w:t>
                  </w:r>
                </w:p>
              </w:tc>
              <w:tc>
                <w:tcPr>
                  <w:tcW w:w="1520" w:type="pct"/>
                  <w:shd w:val="clear" w:color="auto" w:fill="auto"/>
                  <w:vAlign w:val="center"/>
                </w:tcPr>
                <w:p w14:paraId="0DCD9619">
                  <w:pPr>
                    <w:jc w:val="center"/>
                    <w:rPr>
                      <w:sz w:val="21"/>
                      <w:szCs w:val="21"/>
                    </w:rPr>
                  </w:pPr>
                  <w:r>
                    <w:rPr>
                      <w:rFonts w:hint="eastAsia"/>
                      <w:sz w:val="21"/>
                      <w:szCs w:val="21"/>
                    </w:rPr>
                    <w:t>5</w:t>
                  </w:r>
                  <w:r>
                    <w:rPr>
                      <w:sz w:val="21"/>
                      <w:szCs w:val="21"/>
                    </w:rPr>
                    <w:t>个60m</w:t>
                  </w:r>
                  <w:r>
                    <w:rPr>
                      <w:sz w:val="21"/>
                      <w:szCs w:val="21"/>
                      <w:vertAlign w:val="superscript"/>
                    </w:rPr>
                    <w:t>3</w:t>
                  </w:r>
                  <w:r>
                    <w:rPr>
                      <w:sz w:val="21"/>
                      <w:szCs w:val="21"/>
                    </w:rPr>
                    <w:t>循环罐，用于储存泥浆、钻井液、水泥、压裂液</w:t>
                  </w:r>
                  <w:r>
                    <w:rPr>
                      <w:rFonts w:hint="eastAsia"/>
                      <w:sz w:val="21"/>
                      <w:szCs w:val="21"/>
                    </w:rPr>
                    <w:t>；2</w:t>
                  </w:r>
                  <w:r>
                    <w:rPr>
                      <w:sz w:val="21"/>
                      <w:szCs w:val="21"/>
                    </w:rPr>
                    <w:t>个40m</w:t>
                  </w:r>
                  <w:r>
                    <w:rPr>
                      <w:sz w:val="21"/>
                      <w:szCs w:val="21"/>
                      <w:vertAlign w:val="superscript"/>
                    </w:rPr>
                    <w:t>3</w:t>
                  </w:r>
                  <w:r>
                    <w:rPr>
                      <w:sz w:val="21"/>
                      <w:szCs w:val="21"/>
                    </w:rPr>
                    <w:t>储备罐，用于储存</w:t>
                  </w:r>
                  <w:r>
                    <w:rPr>
                      <w:rFonts w:hint="eastAsia"/>
                      <w:sz w:val="21"/>
                      <w:szCs w:val="21"/>
                    </w:rPr>
                    <w:t>试压废水、压裂返排液。</w:t>
                  </w:r>
                </w:p>
              </w:tc>
              <w:tc>
                <w:tcPr>
                  <w:tcW w:w="1438" w:type="pct"/>
                  <w:vAlign w:val="center"/>
                </w:tcPr>
                <w:p w14:paraId="2303FD73">
                  <w:pPr>
                    <w:jc w:val="center"/>
                    <w:rPr>
                      <w:sz w:val="21"/>
                      <w:szCs w:val="21"/>
                    </w:rPr>
                  </w:pPr>
                  <w:r>
                    <w:rPr>
                      <w:rFonts w:hint="eastAsia"/>
                      <w:sz w:val="21"/>
                      <w:szCs w:val="21"/>
                    </w:rPr>
                    <w:t>依托现有工程</w:t>
                  </w:r>
                </w:p>
              </w:tc>
              <w:tc>
                <w:tcPr>
                  <w:tcW w:w="661" w:type="pct"/>
                  <w:vAlign w:val="center"/>
                </w:tcPr>
                <w:p w14:paraId="6B1ED960">
                  <w:pPr>
                    <w:jc w:val="center"/>
                    <w:rPr>
                      <w:sz w:val="21"/>
                      <w:szCs w:val="21"/>
                    </w:rPr>
                  </w:pPr>
                  <w:r>
                    <w:rPr>
                      <w:rFonts w:hint="eastAsia"/>
                      <w:sz w:val="21"/>
                      <w:szCs w:val="21"/>
                    </w:rPr>
                    <w:t>/</w:t>
                  </w:r>
                </w:p>
              </w:tc>
            </w:tr>
            <w:tr w14:paraId="6377D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4A538958">
                  <w:pPr>
                    <w:jc w:val="center"/>
                    <w:rPr>
                      <w:sz w:val="21"/>
                      <w:szCs w:val="21"/>
                    </w:rPr>
                  </w:pPr>
                </w:p>
              </w:tc>
              <w:tc>
                <w:tcPr>
                  <w:tcW w:w="426" w:type="pct"/>
                  <w:vAlign w:val="center"/>
                </w:tcPr>
                <w:p w14:paraId="01C8CFC9">
                  <w:pPr>
                    <w:jc w:val="center"/>
                    <w:rPr>
                      <w:sz w:val="21"/>
                      <w:szCs w:val="21"/>
                    </w:rPr>
                  </w:pPr>
                  <w:r>
                    <w:rPr>
                      <w:sz w:val="21"/>
                      <w:szCs w:val="21"/>
                    </w:rPr>
                    <w:t>油罐区</w:t>
                  </w:r>
                </w:p>
              </w:tc>
              <w:tc>
                <w:tcPr>
                  <w:tcW w:w="1520" w:type="pct"/>
                  <w:shd w:val="clear" w:color="auto" w:fill="auto"/>
                  <w:vAlign w:val="center"/>
                </w:tcPr>
                <w:p w14:paraId="0FD80B31">
                  <w:pPr>
                    <w:jc w:val="center"/>
                    <w:rPr>
                      <w:sz w:val="21"/>
                      <w:szCs w:val="21"/>
                    </w:rPr>
                  </w:pPr>
                  <w:r>
                    <w:rPr>
                      <w:sz w:val="21"/>
                      <w:szCs w:val="21"/>
                    </w:rPr>
                    <w:t>占地面积约40m</w:t>
                  </w:r>
                  <w:r>
                    <w:rPr>
                      <w:sz w:val="21"/>
                      <w:szCs w:val="21"/>
                      <w:vertAlign w:val="superscript"/>
                    </w:rPr>
                    <w:t>2</w:t>
                  </w:r>
                  <w:r>
                    <w:rPr>
                      <w:rFonts w:hint="eastAsia"/>
                      <w:sz w:val="21"/>
                      <w:szCs w:val="21"/>
                    </w:rPr>
                    <w:t>，设置2个油罐，一个卧式罐容30m</w:t>
                  </w:r>
                  <w:r>
                    <w:rPr>
                      <w:rFonts w:hint="eastAsia"/>
                      <w:sz w:val="21"/>
                      <w:szCs w:val="21"/>
                      <w:vertAlign w:val="superscript"/>
                    </w:rPr>
                    <w:t>3</w:t>
                  </w:r>
                  <w:r>
                    <w:rPr>
                      <w:rFonts w:hint="eastAsia"/>
                      <w:sz w:val="21"/>
                      <w:szCs w:val="21"/>
                    </w:rPr>
                    <w:t>、一个竖式罐容20m</w:t>
                  </w:r>
                  <w:r>
                    <w:rPr>
                      <w:rFonts w:hint="eastAsia"/>
                      <w:sz w:val="21"/>
                      <w:szCs w:val="21"/>
                      <w:vertAlign w:val="superscript"/>
                    </w:rPr>
                    <w:t>3</w:t>
                  </w:r>
                  <w:r>
                    <w:rPr>
                      <w:rFonts w:hint="eastAsia"/>
                      <w:sz w:val="21"/>
                      <w:szCs w:val="21"/>
                    </w:rPr>
                    <w:t>。</w:t>
                  </w:r>
                </w:p>
              </w:tc>
              <w:tc>
                <w:tcPr>
                  <w:tcW w:w="1438" w:type="pct"/>
                  <w:vAlign w:val="center"/>
                </w:tcPr>
                <w:p w14:paraId="6E3220FB">
                  <w:pPr>
                    <w:jc w:val="center"/>
                    <w:rPr>
                      <w:sz w:val="21"/>
                      <w:szCs w:val="21"/>
                    </w:rPr>
                  </w:pPr>
                  <w:r>
                    <w:rPr>
                      <w:rFonts w:hint="eastAsia"/>
                      <w:sz w:val="21"/>
                      <w:szCs w:val="21"/>
                    </w:rPr>
                    <w:t>依托现有工程</w:t>
                  </w:r>
                </w:p>
              </w:tc>
              <w:tc>
                <w:tcPr>
                  <w:tcW w:w="661" w:type="pct"/>
                  <w:vAlign w:val="center"/>
                </w:tcPr>
                <w:p w14:paraId="14282749">
                  <w:pPr>
                    <w:jc w:val="center"/>
                    <w:rPr>
                      <w:sz w:val="21"/>
                      <w:szCs w:val="21"/>
                    </w:rPr>
                  </w:pPr>
                  <w:r>
                    <w:rPr>
                      <w:rFonts w:hint="eastAsia"/>
                      <w:sz w:val="21"/>
                      <w:szCs w:val="21"/>
                    </w:rPr>
                    <w:t>/</w:t>
                  </w:r>
                </w:p>
              </w:tc>
            </w:tr>
            <w:tr w14:paraId="799E7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 w:hRule="atLeast"/>
                <w:jc w:val="center"/>
              </w:trPr>
              <w:tc>
                <w:tcPr>
                  <w:tcW w:w="953" w:type="pct"/>
                  <w:gridSpan w:val="2"/>
                  <w:vMerge w:val="continue"/>
                  <w:vAlign w:val="center"/>
                </w:tcPr>
                <w:p w14:paraId="0777D0DD">
                  <w:pPr>
                    <w:jc w:val="center"/>
                    <w:rPr>
                      <w:sz w:val="21"/>
                      <w:szCs w:val="21"/>
                    </w:rPr>
                  </w:pPr>
                </w:p>
              </w:tc>
              <w:tc>
                <w:tcPr>
                  <w:tcW w:w="426" w:type="pct"/>
                  <w:vAlign w:val="center"/>
                </w:tcPr>
                <w:p w14:paraId="1A945AB8">
                  <w:pPr>
                    <w:jc w:val="center"/>
                    <w:rPr>
                      <w:sz w:val="21"/>
                      <w:szCs w:val="21"/>
                    </w:rPr>
                  </w:pPr>
                  <w:r>
                    <w:rPr>
                      <w:rFonts w:hint="eastAsia"/>
                      <w:sz w:val="21"/>
                      <w:szCs w:val="21"/>
                    </w:rPr>
                    <w:t>盐酸罐</w:t>
                  </w:r>
                </w:p>
              </w:tc>
              <w:tc>
                <w:tcPr>
                  <w:tcW w:w="1520" w:type="pct"/>
                  <w:shd w:val="clear" w:color="auto" w:fill="auto"/>
                  <w:vAlign w:val="center"/>
                </w:tcPr>
                <w:p w14:paraId="486913AB">
                  <w:pPr>
                    <w:jc w:val="center"/>
                    <w:rPr>
                      <w:sz w:val="21"/>
                      <w:szCs w:val="21"/>
                    </w:rPr>
                  </w:pPr>
                  <w:r>
                    <w:rPr>
                      <w:rFonts w:hint="eastAsia"/>
                      <w:sz w:val="21"/>
                      <w:szCs w:val="21"/>
                    </w:rPr>
                    <w:t>/</w:t>
                  </w:r>
                </w:p>
              </w:tc>
              <w:tc>
                <w:tcPr>
                  <w:tcW w:w="1438" w:type="pct"/>
                  <w:vAlign w:val="center"/>
                </w:tcPr>
                <w:p w14:paraId="02246443">
                  <w:pPr>
                    <w:jc w:val="center"/>
                    <w:rPr>
                      <w:sz w:val="21"/>
                      <w:szCs w:val="21"/>
                    </w:rPr>
                  </w:pPr>
                  <w:r>
                    <w:rPr>
                      <w:rFonts w:hint="eastAsia"/>
                      <w:sz w:val="21"/>
                      <w:szCs w:val="21"/>
                    </w:rPr>
                    <w:t>新增盐酸储罐容积为50m</w:t>
                  </w:r>
                  <w:r>
                    <w:rPr>
                      <w:rFonts w:hint="eastAsia"/>
                      <w:sz w:val="21"/>
                      <w:szCs w:val="21"/>
                      <w:vertAlign w:val="superscript"/>
                    </w:rPr>
                    <w:t>3</w:t>
                  </w:r>
                  <w:r>
                    <w:rPr>
                      <w:rFonts w:hint="eastAsia"/>
                      <w:sz w:val="21"/>
                      <w:szCs w:val="21"/>
                    </w:rPr>
                    <w:t>，用于储存盐酸，仅在储层改造工程中建设。</w:t>
                  </w:r>
                </w:p>
              </w:tc>
              <w:tc>
                <w:tcPr>
                  <w:tcW w:w="661" w:type="pct"/>
                  <w:vAlign w:val="center"/>
                </w:tcPr>
                <w:p w14:paraId="49270959">
                  <w:pPr>
                    <w:jc w:val="center"/>
                    <w:rPr>
                      <w:sz w:val="21"/>
                      <w:szCs w:val="21"/>
                    </w:rPr>
                  </w:pPr>
                  <w:r>
                    <w:rPr>
                      <w:rFonts w:hint="eastAsia"/>
                      <w:sz w:val="21"/>
                      <w:szCs w:val="21"/>
                    </w:rPr>
                    <w:t>/</w:t>
                  </w:r>
                </w:p>
              </w:tc>
            </w:tr>
            <w:tr w14:paraId="017BE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50833054">
                  <w:pPr>
                    <w:jc w:val="center"/>
                    <w:rPr>
                      <w:sz w:val="21"/>
                      <w:szCs w:val="21"/>
                    </w:rPr>
                  </w:pPr>
                </w:p>
              </w:tc>
              <w:tc>
                <w:tcPr>
                  <w:tcW w:w="426" w:type="pct"/>
                  <w:vAlign w:val="center"/>
                </w:tcPr>
                <w:p w14:paraId="53E1EE24">
                  <w:pPr>
                    <w:jc w:val="center"/>
                    <w:rPr>
                      <w:sz w:val="21"/>
                      <w:szCs w:val="21"/>
                    </w:rPr>
                  </w:pPr>
                  <w:r>
                    <w:rPr>
                      <w:sz w:val="21"/>
                      <w:szCs w:val="21"/>
                    </w:rPr>
                    <w:t>药品房</w:t>
                  </w:r>
                </w:p>
              </w:tc>
              <w:tc>
                <w:tcPr>
                  <w:tcW w:w="1520" w:type="pct"/>
                  <w:shd w:val="clear" w:color="auto" w:fill="auto"/>
                  <w:vAlign w:val="center"/>
                </w:tcPr>
                <w:p w14:paraId="1D79BCF0">
                  <w:pPr>
                    <w:jc w:val="center"/>
                    <w:rPr>
                      <w:sz w:val="21"/>
                      <w:szCs w:val="21"/>
                    </w:rPr>
                  </w:pPr>
                  <w:r>
                    <w:rPr>
                      <w:sz w:val="21"/>
                      <w:szCs w:val="21"/>
                    </w:rPr>
                    <w:t>占地面积</w:t>
                  </w:r>
                  <w:r>
                    <w:rPr>
                      <w:rFonts w:hint="eastAsia"/>
                      <w:sz w:val="21"/>
                      <w:szCs w:val="21"/>
                    </w:rPr>
                    <w:t>80</w:t>
                  </w:r>
                  <w:r>
                    <w:rPr>
                      <w:sz w:val="21"/>
                      <w:szCs w:val="21"/>
                    </w:rPr>
                    <w:t>m</w:t>
                  </w:r>
                  <w:r>
                    <w:rPr>
                      <w:sz w:val="21"/>
                      <w:szCs w:val="21"/>
                      <w:vertAlign w:val="superscript"/>
                    </w:rPr>
                    <w:t>2</w:t>
                  </w:r>
                  <w:r>
                    <w:rPr>
                      <w:sz w:val="21"/>
                      <w:szCs w:val="21"/>
                    </w:rPr>
                    <w:t>，</w:t>
                  </w:r>
                  <w:r>
                    <w:rPr>
                      <w:rFonts w:hint="eastAsia"/>
                      <w:sz w:val="21"/>
                      <w:szCs w:val="21"/>
                    </w:rPr>
                    <w:t>2个药品房，</w:t>
                  </w:r>
                  <w:r>
                    <w:rPr>
                      <w:sz w:val="21"/>
                      <w:szCs w:val="21"/>
                    </w:rPr>
                    <w:t>存放配置钻井液的药品。</w:t>
                  </w:r>
                </w:p>
              </w:tc>
              <w:tc>
                <w:tcPr>
                  <w:tcW w:w="1438" w:type="pct"/>
                  <w:vAlign w:val="center"/>
                </w:tcPr>
                <w:p w14:paraId="6251FF34">
                  <w:pPr>
                    <w:jc w:val="center"/>
                    <w:rPr>
                      <w:sz w:val="21"/>
                      <w:szCs w:val="21"/>
                    </w:rPr>
                  </w:pPr>
                  <w:r>
                    <w:rPr>
                      <w:rFonts w:hint="eastAsia"/>
                      <w:sz w:val="21"/>
                      <w:szCs w:val="21"/>
                    </w:rPr>
                    <w:t>依托现有工程</w:t>
                  </w:r>
                </w:p>
              </w:tc>
              <w:tc>
                <w:tcPr>
                  <w:tcW w:w="661" w:type="pct"/>
                  <w:vAlign w:val="center"/>
                </w:tcPr>
                <w:p w14:paraId="7EB85AAF">
                  <w:pPr>
                    <w:jc w:val="center"/>
                    <w:rPr>
                      <w:sz w:val="21"/>
                      <w:szCs w:val="21"/>
                    </w:rPr>
                  </w:pPr>
                  <w:r>
                    <w:rPr>
                      <w:rFonts w:hint="eastAsia"/>
                      <w:sz w:val="21"/>
                      <w:szCs w:val="21"/>
                    </w:rPr>
                    <w:t>/</w:t>
                  </w:r>
                </w:p>
              </w:tc>
            </w:tr>
            <w:tr w14:paraId="4440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0895941D">
                  <w:pPr>
                    <w:jc w:val="center"/>
                    <w:rPr>
                      <w:sz w:val="21"/>
                      <w:szCs w:val="21"/>
                    </w:rPr>
                  </w:pPr>
                </w:p>
              </w:tc>
              <w:tc>
                <w:tcPr>
                  <w:tcW w:w="426" w:type="pct"/>
                  <w:vAlign w:val="center"/>
                </w:tcPr>
                <w:p w14:paraId="6D5FDD6C">
                  <w:pPr>
                    <w:jc w:val="center"/>
                    <w:rPr>
                      <w:sz w:val="21"/>
                      <w:szCs w:val="21"/>
                    </w:rPr>
                  </w:pPr>
                  <w:r>
                    <w:rPr>
                      <w:sz w:val="21"/>
                      <w:szCs w:val="21"/>
                    </w:rPr>
                    <w:t>材料房</w:t>
                  </w:r>
                </w:p>
              </w:tc>
              <w:tc>
                <w:tcPr>
                  <w:tcW w:w="1520" w:type="pct"/>
                  <w:shd w:val="clear" w:color="auto" w:fill="auto"/>
                  <w:vAlign w:val="center"/>
                </w:tcPr>
                <w:p w14:paraId="11BE691E">
                  <w:pPr>
                    <w:jc w:val="center"/>
                    <w:rPr>
                      <w:sz w:val="21"/>
                      <w:szCs w:val="21"/>
                    </w:rPr>
                  </w:pPr>
                  <w:r>
                    <w:rPr>
                      <w:sz w:val="21"/>
                      <w:szCs w:val="21"/>
                    </w:rPr>
                    <w:t>占地面积</w:t>
                  </w:r>
                  <w:r>
                    <w:rPr>
                      <w:rFonts w:hint="eastAsia"/>
                      <w:sz w:val="21"/>
                      <w:szCs w:val="21"/>
                    </w:rPr>
                    <w:t>80</w:t>
                  </w:r>
                  <w:r>
                    <w:rPr>
                      <w:sz w:val="21"/>
                      <w:szCs w:val="21"/>
                    </w:rPr>
                    <w:t>m</w:t>
                  </w:r>
                  <w:r>
                    <w:rPr>
                      <w:sz w:val="21"/>
                      <w:szCs w:val="21"/>
                      <w:vertAlign w:val="superscript"/>
                    </w:rPr>
                    <w:t>2</w:t>
                  </w:r>
                  <w:r>
                    <w:rPr>
                      <w:sz w:val="21"/>
                      <w:szCs w:val="21"/>
                    </w:rPr>
                    <w:t>，</w:t>
                  </w:r>
                  <w:r>
                    <w:rPr>
                      <w:rFonts w:hint="eastAsia"/>
                      <w:sz w:val="21"/>
                      <w:szCs w:val="21"/>
                    </w:rPr>
                    <w:t>3</w:t>
                  </w:r>
                  <w:r>
                    <w:rPr>
                      <w:sz w:val="21"/>
                      <w:szCs w:val="21"/>
                    </w:rPr>
                    <w:t>个材料房，用于储存施工材料。</w:t>
                  </w:r>
                </w:p>
              </w:tc>
              <w:tc>
                <w:tcPr>
                  <w:tcW w:w="1438" w:type="pct"/>
                  <w:vAlign w:val="center"/>
                </w:tcPr>
                <w:p w14:paraId="50D35CEB">
                  <w:pPr>
                    <w:jc w:val="center"/>
                    <w:rPr>
                      <w:sz w:val="21"/>
                      <w:szCs w:val="21"/>
                    </w:rPr>
                  </w:pPr>
                  <w:r>
                    <w:rPr>
                      <w:rFonts w:hint="eastAsia"/>
                      <w:sz w:val="21"/>
                      <w:szCs w:val="21"/>
                    </w:rPr>
                    <w:t>依托现有工程</w:t>
                  </w:r>
                </w:p>
              </w:tc>
              <w:tc>
                <w:tcPr>
                  <w:tcW w:w="661" w:type="pct"/>
                  <w:vAlign w:val="center"/>
                </w:tcPr>
                <w:p w14:paraId="57A085FA">
                  <w:pPr>
                    <w:jc w:val="center"/>
                    <w:rPr>
                      <w:sz w:val="21"/>
                      <w:szCs w:val="21"/>
                    </w:rPr>
                  </w:pPr>
                  <w:r>
                    <w:rPr>
                      <w:rFonts w:hint="eastAsia"/>
                      <w:sz w:val="21"/>
                      <w:szCs w:val="21"/>
                    </w:rPr>
                    <w:t>/</w:t>
                  </w:r>
                </w:p>
              </w:tc>
            </w:tr>
            <w:tr w14:paraId="2334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EC01F7A">
                  <w:pPr>
                    <w:jc w:val="center"/>
                    <w:rPr>
                      <w:sz w:val="21"/>
                      <w:szCs w:val="21"/>
                    </w:rPr>
                  </w:pPr>
                </w:p>
              </w:tc>
              <w:tc>
                <w:tcPr>
                  <w:tcW w:w="426" w:type="pct"/>
                  <w:vAlign w:val="center"/>
                </w:tcPr>
                <w:p w14:paraId="2B848561">
                  <w:pPr>
                    <w:jc w:val="center"/>
                    <w:rPr>
                      <w:sz w:val="21"/>
                      <w:szCs w:val="21"/>
                    </w:rPr>
                  </w:pPr>
                  <w:r>
                    <w:rPr>
                      <w:sz w:val="21"/>
                      <w:szCs w:val="21"/>
                    </w:rPr>
                    <w:t>污水池</w:t>
                  </w:r>
                </w:p>
              </w:tc>
              <w:tc>
                <w:tcPr>
                  <w:tcW w:w="1520" w:type="pct"/>
                  <w:shd w:val="clear" w:color="auto" w:fill="auto"/>
                  <w:vAlign w:val="center"/>
                </w:tcPr>
                <w:p w14:paraId="15FDB009">
                  <w:pPr>
                    <w:jc w:val="center"/>
                    <w:rPr>
                      <w:sz w:val="21"/>
                      <w:szCs w:val="21"/>
                    </w:rPr>
                  </w:pPr>
                  <w:r>
                    <w:rPr>
                      <w:rFonts w:hint="eastAsia"/>
                      <w:sz w:val="21"/>
                      <w:szCs w:val="21"/>
                    </w:rPr>
                    <w:t>容积为300m</w:t>
                  </w:r>
                  <w:r>
                    <w:rPr>
                      <w:rFonts w:hint="eastAsia"/>
                      <w:sz w:val="21"/>
                      <w:szCs w:val="21"/>
                      <w:vertAlign w:val="superscript"/>
                    </w:rPr>
                    <w:t>3</w:t>
                  </w:r>
                  <w:r>
                    <w:rPr>
                      <w:rFonts w:hint="eastAsia"/>
                      <w:sz w:val="21"/>
                      <w:szCs w:val="21"/>
                    </w:rPr>
                    <w:t>，用于存储洗井废水等生产废水。</w:t>
                  </w:r>
                </w:p>
              </w:tc>
              <w:tc>
                <w:tcPr>
                  <w:tcW w:w="1438" w:type="pct"/>
                  <w:vAlign w:val="center"/>
                </w:tcPr>
                <w:p w14:paraId="4056FBEC">
                  <w:pPr>
                    <w:jc w:val="center"/>
                    <w:rPr>
                      <w:sz w:val="21"/>
                      <w:szCs w:val="21"/>
                    </w:rPr>
                  </w:pPr>
                  <w:r>
                    <w:rPr>
                      <w:rFonts w:hint="eastAsia"/>
                      <w:sz w:val="21"/>
                      <w:szCs w:val="21"/>
                    </w:rPr>
                    <w:t>依托现有工程</w:t>
                  </w:r>
                </w:p>
              </w:tc>
              <w:tc>
                <w:tcPr>
                  <w:tcW w:w="661" w:type="pct"/>
                  <w:vAlign w:val="center"/>
                </w:tcPr>
                <w:p w14:paraId="640B5E7B">
                  <w:pPr>
                    <w:jc w:val="center"/>
                    <w:rPr>
                      <w:sz w:val="21"/>
                      <w:szCs w:val="21"/>
                    </w:rPr>
                  </w:pPr>
                  <w:r>
                    <w:rPr>
                      <w:rFonts w:hint="eastAsia"/>
                      <w:sz w:val="21"/>
                      <w:szCs w:val="21"/>
                    </w:rPr>
                    <w:t>/</w:t>
                  </w:r>
                </w:p>
              </w:tc>
            </w:tr>
            <w:tr w14:paraId="3D6FC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2E7AF11A">
                  <w:pPr>
                    <w:jc w:val="center"/>
                    <w:rPr>
                      <w:sz w:val="21"/>
                      <w:szCs w:val="21"/>
                    </w:rPr>
                  </w:pPr>
                </w:p>
              </w:tc>
              <w:tc>
                <w:tcPr>
                  <w:tcW w:w="426" w:type="pct"/>
                  <w:vAlign w:val="center"/>
                </w:tcPr>
                <w:p w14:paraId="3D803E93">
                  <w:pPr>
                    <w:jc w:val="center"/>
                    <w:rPr>
                      <w:sz w:val="21"/>
                      <w:szCs w:val="21"/>
                    </w:rPr>
                  </w:pPr>
                  <w:r>
                    <w:rPr>
                      <w:rFonts w:hint="eastAsia"/>
                      <w:sz w:val="21"/>
                      <w:szCs w:val="21"/>
                    </w:rPr>
                    <w:t>集液池</w:t>
                  </w:r>
                </w:p>
              </w:tc>
              <w:tc>
                <w:tcPr>
                  <w:tcW w:w="1520" w:type="pct"/>
                  <w:shd w:val="clear" w:color="auto" w:fill="auto"/>
                  <w:vAlign w:val="center"/>
                </w:tcPr>
                <w:p w14:paraId="7BED55DB">
                  <w:pPr>
                    <w:jc w:val="center"/>
                    <w:rPr>
                      <w:sz w:val="21"/>
                      <w:szCs w:val="21"/>
                    </w:rPr>
                  </w:pPr>
                  <w:r>
                    <w:rPr>
                      <w:rFonts w:hint="eastAsia"/>
                      <w:sz w:val="21"/>
                      <w:szCs w:val="21"/>
                    </w:rPr>
                    <w:t>容积为200m</w:t>
                  </w:r>
                  <w:r>
                    <w:rPr>
                      <w:rFonts w:hint="eastAsia"/>
                      <w:sz w:val="21"/>
                      <w:szCs w:val="21"/>
                      <w:vertAlign w:val="superscript"/>
                    </w:rPr>
                    <w:t>3</w:t>
                  </w:r>
                  <w:r>
                    <w:rPr>
                      <w:rFonts w:hint="eastAsia"/>
                      <w:sz w:val="21"/>
                      <w:szCs w:val="21"/>
                    </w:rPr>
                    <w:t>，用于容纳场地雨水。</w:t>
                  </w:r>
                </w:p>
              </w:tc>
              <w:tc>
                <w:tcPr>
                  <w:tcW w:w="1438" w:type="pct"/>
                  <w:vAlign w:val="center"/>
                </w:tcPr>
                <w:p w14:paraId="5B03A533">
                  <w:pPr>
                    <w:jc w:val="center"/>
                    <w:rPr>
                      <w:sz w:val="21"/>
                      <w:szCs w:val="21"/>
                    </w:rPr>
                  </w:pPr>
                  <w:r>
                    <w:rPr>
                      <w:rFonts w:hint="eastAsia"/>
                      <w:sz w:val="21"/>
                      <w:szCs w:val="21"/>
                    </w:rPr>
                    <w:t>依托现有工程</w:t>
                  </w:r>
                </w:p>
              </w:tc>
              <w:tc>
                <w:tcPr>
                  <w:tcW w:w="661" w:type="pct"/>
                  <w:vAlign w:val="center"/>
                </w:tcPr>
                <w:p w14:paraId="35E56C12">
                  <w:pPr>
                    <w:jc w:val="center"/>
                    <w:rPr>
                      <w:sz w:val="21"/>
                      <w:szCs w:val="21"/>
                    </w:rPr>
                  </w:pPr>
                  <w:r>
                    <w:rPr>
                      <w:rFonts w:hint="eastAsia"/>
                      <w:sz w:val="21"/>
                      <w:szCs w:val="21"/>
                    </w:rPr>
                    <w:t>/</w:t>
                  </w:r>
                </w:p>
              </w:tc>
            </w:tr>
            <w:tr w14:paraId="27DF9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0339307E">
                  <w:pPr>
                    <w:jc w:val="center"/>
                    <w:rPr>
                      <w:sz w:val="21"/>
                      <w:szCs w:val="21"/>
                    </w:rPr>
                  </w:pPr>
                </w:p>
              </w:tc>
              <w:tc>
                <w:tcPr>
                  <w:tcW w:w="426" w:type="pct"/>
                  <w:vAlign w:val="center"/>
                </w:tcPr>
                <w:p w14:paraId="44060F84">
                  <w:pPr>
                    <w:jc w:val="center"/>
                    <w:rPr>
                      <w:sz w:val="21"/>
                      <w:szCs w:val="21"/>
                    </w:rPr>
                  </w:pPr>
                  <w:r>
                    <w:rPr>
                      <w:rFonts w:hint="eastAsia"/>
                      <w:sz w:val="21"/>
                      <w:szCs w:val="21"/>
                    </w:rPr>
                    <w:t>#1危废暂存间</w:t>
                  </w:r>
                </w:p>
              </w:tc>
              <w:tc>
                <w:tcPr>
                  <w:tcW w:w="1520" w:type="pct"/>
                  <w:shd w:val="clear" w:color="auto" w:fill="auto"/>
                  <w:vAlign w:val="center"/>
                </w:tcPr>
                <w:p w14:paraId="378E0835">
                  <w:pPr>
                    <w:jc w:val="center"/>
                    <w:rPr>
                      <w:sz w:val="21"/>
                      <w:szCs w:val="21"/>
                    </w:rPr>
                  </w:pPr>
                  <w:r>
                    <w:rPr>
                      <w:rFonts w:hint="eastAsia"/>
                      <w:sz w:val="21"/>
                      <w:szCs w:val="21"/>
                    </w:rPr>
                    <w:t>占地面积为10m</w:t>
                  </w:r>
                  <w:r>
                    <w:rPr>
                      <w:rFonts w:hint="eastAsia"/>
                      <w:sz w:val="21"/>
                      <w:szCs w:val="21"/>
                      <w:vertAlign w:val="superscript"/>
                    </w:rPr>
                    <w:t>3</w:t>
                  </w:r>
                  <w:r>
                    <w:rPr>
                      <w:rFonts w:hint="eastAsia"/>
                      <w:sz w:val="21"/>
                      <w:szCs w:val="21"/>
                    </w:rPr>
                    <w:t>，用于暂存废机油、废机油、废油桶、含油抹布。</w:t>
                  </w:r>
                </w:p>
              </w:tc>
              <w:tc>
                <w:tcPr>
                  <w:tcW w:w="1438" w:type="pct"/>
                  <w:vAlign w:val="center"/>
                </w:tcPr>
                <w:p w14:paraId="5EDDAE25">
                  <w:pPr>
                    <w:jc w:val="center"/>
                    <w:rPr>
                      <w:sz w:val="21"/>
                      <w:szCs w:val="21"/>
                    </w:rPr>
                  </w:pPr>
                  <w:r>
                    <w:rPr>
                      <w:rFonts w:hint="eastAsia"/>
                      <w:sz w:val="21"/>
                      <w:szCs w:val="21"/>
                    </w:rPr>
                    <w:t>依托现有工程</w:t>
                  </w:r>
                </w:p>
              </w:tc>
              <w:tc>
                <w:tcPr>
                  <w:tcW w:w="661" w:type="pct"/>
                  <w:vAlign w:val="center"/>
                </w:tcPr>
                <w:p w14:paraId="796EB9EC">
                  <w:pPr>
                    <w:jc w:val="center"/>
                    <w:rPr>
                      <w:sz w:val="21"/>
                      <w:szCs w:val="21"/>
                    </w:rPr>
                  </w:pPr>
                  <w:r>
                    <w:rPr>
                      <w:rFonts w:hint="eastAsia"/>
                      <w:sz w:val="21"/>
                      <w:szCs w:val="21"/>
                    </w:rPr>
                    <w:t>/</w:t>
                  </w:r>
                </w:p>
              </w:tc>
            </w:tr>
            <w:tr w14:paraId="525F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4787CDC3">
                  <w:pPr>
                    <w:jc w:val="center"/>
                    <w:rPr>
                      <w:sz w:val="21"/>
                      <w:szCs w:val="21"/>
                    </w:rPr>
                  </w:pPr>
                </w:p>
              </w:tc>
              <w:tc>
                <w:tcPr>
                  <w:tcW w:w="426" w:type="pct"/>
                  <w:vAlign w:val="center"/>
                </w:tcPr>
                <w:p w14:paraId="3FED86CF">
                  <w:pPr>
                    <w:jc w:val="center"/>
                    <w:rPr>
                      <w:sz w:val="21"/>
                      <w:szCs w:val="21"/>
                    </w:rPr>
                  </w:pPr>
                  <w:r>
                    <w:rPr>
                      <w:rFonts w:hint="eastAsia"/>
                      <w:sz w:val="21"/>
                      <w:szCs w:val="21"/>
                    </w:rPr>
                    <w:t>#2危废暂存间</w:t>
                  </w:r>
                </w:p>
              </w:tc>
              <w:tc>
                <w:tcPr>
                  <w:tcW w:w="1520" w:type="pct"/>
                  <w:shd w:val="clear" w:color="auto" w:fill="auto"/>
                  <w:vAlign w:val="center"/>
                </w:tcPr>
                <w:p w14:paraId="16598C4B">
                  <w:pPr>
                    <w:jc w:val="center"/>
                    <w:rPr>
                      <w:sz w:val="21"/>
                      <w:szCs w:val="21"/>
                    </w:rPr>
                  </w:pPr>
                  <w:r>
                    <w:rPr>
                      <w:rFonts w:hint="eastAsia"/>
                      <w:sz w:val="21"/>
                      <w:szCs w:val="21"/>
                    </w:rPr>
                    <w:t>/</w:t>
                  </w:r>
                </w:p>
              </w:tc>
              <w:tc>
                <w:tcPr>
                  <w:tcW w:w="1438" w:type="pct"/>
                  <w:vAlign w:val="center"/>
                </w:tcPr>
                <w:p w14:paraId="0467CB9A">
                  <w:pPr>
                    <w:jc w:val="center"/>
                    <w:rPr>
                      <w:sz w:val="21"/>
                      <w:szCs w:val="21"/>
                    </w:rPr>
                  </w:pPr>
                  <w:r>
                    <w:rPr>
                      <w:rFonts w:hint="eastAsia"/>
                      <w:sz w:val="21"/>
                      <w:szCs w:val="21"/>
                    </w:rPr>
                    <w:t>占地面积为40m</w:t>
                  </w:r>
                  <w:r>
                    <w:rPr>
                      <w:rFonts w:hint="eastAsia"/>
                      <w:sz w:val="21"/>
                      <w:szCs w:val="21"/>
                      <w:vertAlign w:val="superscript"/>
                    </w:rPr>
                    <w:t>3</w:t>
                  </w:r>
                  <w:r>
                    <w:rPr>
                      <w:rFonts w:hint="eastAsia"/>
                      <w:sz w:val="21"/>
                      <w:szCs w:val="21"/>
                    </w:rPr>
                    <w:t>，钻井三开开次时建设，用于暂存油基岩屑、剩余油基泥浆。</w:t>
                  </w:r>
                </w:p>
              </w:tc>
              <w:tc>
                <w:tcPr>
                  <w:tcW w:w="661" w:type="pct"/>
                  <w:vAlign w:val="center"/>
                </w:tcPr>
                <w:p w14:paraId="1CFA88D2">
                  <w:pPr>
                    <w:jc w:val="center"/>
                    <w:rPr>
                      <w:sz w:val="21"/>
                      <w:szCs w:val="21"/>
                    </w:rPr>
                  </w:pPr>
                  <w:r>
                    <w:rPr>
                      <w:rFonts w:hint="eastAsia"/>
                      <w:sz w:val="21"/>
                      <w:szCs w:val="21"/>
                    </w:rPr>
                    <w:t>/</w:t>
                  </w:r>
                </w:p>
              </w:tc>
            </w:tr>
            <w:tr w14:paraId="6DEE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restart"/>
                  <w:vAlign w:val="center"/>
                </w:tcPr>
                <w:p w14:paraId="3B27102C">
                  <w:pPr>
                    <w:jc w:val="center"/>
                    <w:rPr>
                      <w:sz w:val="21"/>
                      <w:szCs w:val="21"/>
                    </w:rPr>
                  </w:pPr>
                  <w:r>
                    <w:rPr>
                      <w:sz w:val="21"/>
                      <w:szCs w:val="21"/>
                    </w:rPr>
                    <w:t>公用工程</w:t>
                  </w:r>
                </w:p>
              </w:tc>
              <w:tc>
                <w:tcPr>
                  <w:tcW w:w="426" w:type="pct"/>
                  <w:vAlign w:val="center"/>
                </w:tcPr>
                <w:p w14:paraId="64A44232">
                  <w:pPr>
                    <w:jc w:val="center"/>
                    <w:rPr>
                      <w:sz w:val="21"/>
                      <w:szCs w:val="21"/>
                    </w:rPr>
                  </w:pPr>
                  <w:r>
                    <w:rPr>
                      <w:rFonts w:hint="eastAsia"/>
                      <w:sz w:val="21"/>
                      <w:szCs w:val="21"/>
                    </w:rPr>
                    <w:t>供电</w:t>
                  </w:r>
                </w:p>
              </w:tc>
              <w:tc>
                <w:tcPr>
                  <w:tcW w:w="1520" w:type="pct"/>
                  <w:shd w:val="clear" w:color="auto" w:fill="auto"/>
                  <w:vAlign w:val="center"/>
                </w:tcPr>
                <w:p w14:paraId="0C8C6CAE">
                  <w:pPr>
                    <w:jc w:val="center"/>
                    <w:rPr>
                      <w:sz w:val="21"/>
                      <w:szCs w:val="21"/>
                    </w:rPr>
                  </w:pPr>
                  <w:r>
                    <w:rPr>
                      <w:sz w:val="21"/>
                      <w:szCs w:val="21"/>
                    </w:rPr>
                    <w:t>设置</w:t>
                  </w:r>
                  <w:r>
                    <w:rPr>
                      <w:rFonts w:hint="eastAsia"/>
                      <w:sz w:val="21"/>
                      <w:szCs w:val="21"/>
                    </w:rPr>
                    <w:t>动力机组</w:t>
                  </w:r>
                  <w:r>
                    <w:rPr>
                      <w:sz w:val="21"/>
                      <w:szCs w:val="21"/>
                    </w:rPr>
                    <w:t>，位于井场</w:t>
                  </w:r>
                  <w:r>
                    <w:rPr>
                      <w:rFonts w:hint="eastAsia"/>
                      <w:sz w:val="21"/>
                      <w:szCs w:val="21"/>
                    </w:rPr>
                    <w:t>西侧</w:t>
                  </w:r>
                  <w:r>
                    <w:rPr>
                      <w:sz w:val="21"/>
                      <w:szCs w:val="21"/>
                    </w:rPr>
                    <w:t>，为钻机及井场设备提供动力，包括</w:t>
                  </w:r>
                  <w:r>
                    <w:rPr>
                      <w:rFonts w:hint="eastAsia"/>
                      <w:sz w:val="21"/>
                      <w:szCs w:val="21"/>
                    </w:rPr>
                    <w:t>包括1台</w:t>
                  </w:r>
                  <w:r>
                    <w:rPr>
                      <w:sz w:val="21"/>
                      <w:szCs w:val="21"/>
                    </w:rPr>
                    <w:t>柴油机，</w:t>
                  </w:r>
                  <w:r>
                    <w:rPr>
                      <w:rFonts w:hint="eastAsia"/>
                      <w:sz w:val="21"/>
                      <w:szCs w:val="21"/>
                    </w:rPr>
                    <w:t>1台</w:t>
                  </w:r>
                  <w:r>
                    <w:rPr>
                      <w:sz w:val="21"/>
                      <w:szCs w:val="21"/>
                    </w:rPr>
                    <w:t>发电机</w:t>
                  </w:r>
                  <w:r>
                    <w:rPr>
                      <w:rFonts w:hint="eastAsia"/>
                      <w:sz w:val="21"/>
                      <w:szCs w:val="21"/>
                    </w:rPr>
                    <w:t>、气源净化装置，以及辅助发电设备</w:t>
                  </w:r>
                  <w:r>
                    <w:rPr>
                      <w:sz w:val="21"/>
                      <w:szCs w:val="21"/>
                    </w:rPr>
                    <w:t>。</w:t>
                  </w:r>
                </w:p>
              </w:tc>
              <w:tc>
                <w:tcPr>
                  <w:tcW w:w="1438" w:type="pct"/>
                  <w:shd w:val="clear" w:color="auto" w:fill="auto"/>
                  <w:vAlign w:val="center"/>
                </w:tcPr>
                <w:p w14:paraId="02321400">
                  <w:pPr>
                    <w:jc w:val="center"/>
                    <w:rPr>
                      <w:sz w:val="21"/>
                      <w:szCs w:val="21"/>
                    </w:rPr>
                  </w:pPr>
                  <w:r>
                    <w:rPr>
                      <w:rFonts w:hint="eastAsia"/>
                      <w:sz w:val="21"/>
                      <w:szCs w:val="21"/>
                    </w:rPr>
                    <w:t>施工期间依托周边已建成的10kV电网供电，配备柴油发电机1套作为备用电源，施工完毕后搬迁。</w:t>
                  </w:r>
                </w:p>
              </w:tc>
              <w:tc>
                <w:tcPr>
                  <w:tcW w:w="661" w:type="pct"/>
                  <w:vAlign w:val="center"/>
                </w:tcPr>
                <w:p w14:paraId="5635EDBC">
                  <w:pPr>
                    <w:jc w:val="center"/>
                    <w:rPr>
                      <w:sz w:val="21"/>
                      <w:szCs w:val="21"/>
                    </w:rPr>
                  </w:pPr>
                  <w:r>
                    <w:rPr>
                      <w:rFonts w:hint="eastAsia"/>
                      <w:sz w:val="21"/>
                      <w:szCs w:val="21"/>
                    </w:rPr>
                    <w:t>/</w:t>
                  </w:r>
                </w:p>
              </w:tc>
            </w:tr>
            <w:tr w14:paraId="49B6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642D3EE1">
                  <w:pPr>
                    <w:jc w:val="center"/>
                    <w:rPr>
                      <w:sz w:val="21"/>
                      <w:szCs w:val="21"/>
                    </w:rPr>
                  </w:pPr>
                </w:p>
              </w:tc>
              <w:tc>
                <w:tcPr>
                  <w:tcW w:w="426" w:type="pct"/>
                  <w:vAlign w:val="center"/>
                </w:tcPr>
                <w:p w14:paraId="36D21F12">
                  <w:pPr>
                    <w:jc w:val="center"/>
                    <w:rPr>
                      <w:sz w:val="21"/>
                      <w:szCs w:val="21"/>
                    </w:rPr>
                  </w:pPr>
                  <w:r>
                    <w:rPr>
                      <w:rFonts w:hint="eastAsia"/>
                      <w:sz w:val="21"/>
                      <w:szCs w:val="21"/>
                    </w:rPr>
                    <w:t>供水</w:t>
                  </w:r>
                </w:p>
              </w:tc>
              <w:tc>
                <w:tcPr>
                  <w:tcW w:w="1520" w:type="pct"/>
                  <w:shd w:val="clear" w:color="auto" w:fill="auto"/>
                  <w:vAlign w:val="center"/>
                </w:tcPr>
                <w:p w14:paraId="35FECD81">
                  <w:pPr>
                    <w:jc w:val="center"/>
                    <w:rPr>
                      <w:sz w:val="21"/>
                      <w:szCs w:val="21"/>
                    </w:rPr>
                  </w:pPr>
                  <w:r>
                    <w:rPr>
                      <w:sz w:val="21"/>
                      <w:szCs w:val="21"/>
                    </w:rPr>
                    <w:t>施工期生活用水使用桶装水，</w:t>
                  </w:r>
                  <w:r>
                    <w:rPr>
                      <w:rFonts w:hint="eastAsia"/>
                      <w:sz w:val="21"/>
                      <w:szCs w:val="21"/>
                    </w:rPr>
                    <w:t>生产用水</w:t>
                  </w:r>
                  <w:r>
                    <w:rPr>
                      <w:sz w:val="21"/>
                      <w:szCs w:val="21"/>
                    </w:rPr>
                    <w:t>从</w:t>
                  </w:r>
                  <w:r>
                    <w:rPr>
                      <w:rFonts w:hint="eastAsia"/>
                      <w:sz w:val="21"/>
                      <w:szCs w:val="21"/>
                    </w:rPr>
                    <w:t>周边伏虎华侨农场自来水</w:t>
                  </w:r>
                  <w:r>
                    <w:rPr>
                      <w:sz w:val="21"/>
                      <w:szCs w:val="21"/>
                    </w:rPr>
                    <w:t>。</w:t>
                  </w:r>
                </w:p>
              </w:tc>
              <w:tc>
                <w:tcPr>
                  <w:tcW w:w="1438" w:type="pct"/>
                  <w:shd w:val="clear" w:color="auto" w:fill="auto"/>
                  <w:vAlign w:val="center"/>
                </w:tcPr>
                <w:p w14:paraId="0B1EB126">
                  <w:pPr>
                    <w:jc w:val="center"/>
                    <w:rPr>
                      <w:sz w:val="21"/>
                      <w:szCs w:val="21"/>
                    </w:rPr>
                  </w:pPr>
                  <w:r>
                    <w:rPr>
                      <w:sz w:val="21"/>
                      <w:szCs w:val="21"/>
                    </w:rPr>
                    <w:t>1、</w:t>
                  </w:r>
                  <w:r>
                    <w:rPr>
                      <w:rFonts w:hint="eastAsia"/>
                      <w:sz w:val="21"/>
                      <w:szCs w:val="21"/>
                    </w:rPr>
                    <w:t>生活用水：</w:t>
                  </w:r>
                  <w:r>
                    <w:rPr>
                      <w:sz w:val="21"/>
                      <w:szCs w:val="21"/>
                    </w:rPr>
                    <w:t>施工期生活用水使用桶装水，</w:t>
                  </w:r>
                  <w:r>
                    <w:rPr>
                      <w:rFonts w:hint="eastAsia"/>
                      <w:sz w:val="21"/>
                      <w:szCs w:val="21"/>
                    </w:rPr>
                    <w:t>及伏虎华侨农场自来水</w:t>
                  </w:r>
                  <w:r>
                    <w:rPr>
                      <w:sz w:val="21"/>
                      <w:szCs w:val="21"/>
                    </w:rPr>
                    <w:t>。</w:t>
                  </w:r>
                </w:p>
                <w:p w14:paraId="337EA5C5">
                  <w:pPr>
                    <w:jc w:val="center"/>
                    <w:rPr>
                      <w:sz w:val="21"/>
                      <w:szCs w:val="21"/>
                    </w:rPr>
                  </w:pPr>
                  <w:r>
                    <w:rPr>
                      <w:rFonts w:hint="eastAsia"/>
                      <w:sz w:val="21"/>
                      <w:szCs w:val="21"/>
                    </w:rPr>
                    <w:t>2、压裂液：采用周边</w:t>
                  </w:r>
                  <w:r>
                    <w:rPr>
                      <w:rFonts w:hint="eastAsia"/>
                      <w:sz w:val="21"/>
                      <w:szCs w:val="21"/>
                      <w:lang w:val="en-US" w:eastAsia="zh-CN"/>
                    </w:rPr>
                    <w:t>取</w:t>
                  </w:r>
                  <w:r>
                    <w:rPr>
                      <w:rFonts w:hint="eastAsia"/>
                      <w:sz w:val="21"/>
                      <w:szCs w:val="21"/>
                    </w:rPr>
                    <w:t>水、压裂返排液配置，采用罐车运输，新鲜水采用潜水泵取水、罐车输送至井场压裂液配液罐储存供给。新鲜水主要取自周边自然水体。</w:t>
                  </w:r>
                </w:p>
              </w:tc>
              <w:tc>
                <w:tcPr>
                  <w:tcW w:w="661" w:type="pct"/>
                  <w:vAlign w:val="center"/>
                </w:tcPr>
                <w:p w14:paraId="1CAA3B6E">
                  <w:pPr>
                    <w:jc w:val="center"/>
                    <w:rPr>
                      <w:sz w:val="21"/>
                      <w:szCs w:val="21"/>
                    </w:rPr>
                  </w:pPr>
                  <w:r>
                    <w:rPr>
                      <w:rFonts w:hint="eastAsia"/>
                      <w:sz w:val="21"/>
                      <w:szCs w:val="21"/>
                    </w:rPr>
                    <w:t>新增压裂液用水。</w:t>
                  </w:r>
                </w:p>
              </w:tc>
            </w:tr>
            <w:tr w14:paraId="73A4B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7D7EA524">
                  <w:pPr>
                    <w:jc w:val="center"/>
                    <w:rPr>
                      <w:sz w:val="21"/>
                      <w:szCs w:val="21"/>
                    </w:rPr>
                  </w:pPr>
                </w:p>
              </w:tc>
              <w:tc>
                <w:tcPr>
                  <w:tcW w:w="426" w:type="pct"/>
                  <w:vAlign w:val="center"/>
                </w:tcPr>
                <w:p w14:paraId="7E9254DA">
                  <w:pPr>
                    <w:jc w:val="center"/>
                    <w:rPr>
                      <w:sz w:val="21"/>
                      <w:szCs w:val="21"/>
                    </w:rPr>
                  </w:pPr>
                  <w:r>
                    <w:rPr>
                      <w:rFonts w:hint="eastAsia"/>
                      <w:sz w:val="21"/>
                      <w:szCs w:val="21"/>
                    </w:rPr>
                    <w:t>排水</w:t>
                  </w:r>
                </w:p>
              </w:tc>
              <w:tc>
                <w:tcPr>
                  <w:tcW w:w="1520" w:type="pct"/>
                  <w:shd w:val="clear" w:color="auto" w:fill="auto"/>
                  <w:vAlign w:val="center"/>
                </w:tcPr>
                <w:p w14:paraId="4ECE3C49">
                  <w:pPr>
                    <w:jc w:val="center"/>
                    <w:rPr>
                      <w:sz w:val="21"/>
                      <w:szCs w:val="21"/>
                    </w:rPr>
                  </w:pPr>
                  <w:r>
                    <w:rPr>
                      <w:rFonts w:hint="eastAsia"/>
                      <w:sz w:val="21"/>
                      <w:szCs w:val="21"/>
                    </w:rPr>
                    <w:t>1、</w:t>
                  </w:r>
                  <w:r>
                    <w:rPr>
                      <w:sz w:val="21"/>
                      <w:szCs w:val="21"/>
                    </w:rPr>
                    <w:t>生活污水：用于项目周边</w:t>
                  </w:r>
                  <w:r>
                    <w:rPr>
                      <w:rFonts w:hint="eastAsia"/>
                      <w:sz w:val="21"/>
                      <w:szCs w:val="21"/>
                    </w:rPr>
                    <w:t>园地施肥</w:t>
                  </w:r>
                  <w:r>
                    <w:rPr>
                      <w:sz w:val="21"/>
                      <w:szCs w:val="21"/>
                    </w:rPr>
                    <w:t>；</w:t>
                  </w:r>
                </w:p>
                <w:p w14:paraId="58EB978E">
                  <w:pPr>
                    <w:jc w:val="center"/>
                    <w:rPr>
                      <w:sz w:val="21"/>
                      <w:szCs w:val="21"/>
                    </w:rPr>
                  </w:pPr>
                  <w:r>
                    <w:rPr>
                      <w:rFonts w:hint="eastAsia"/>
                      <w:sz w:val="21"/>
                      <w:szCs w:val="21"/>
                    </w:rPr>
                    <w:t>2、</w:t>
                  </w:r>
                  <w:r>
                    <w:rPr>
                      <w:sz w:val="21"/>
                      <w:szCs w:val="21"/>
                    </w:rPr>
                    <w:t>雨水：井场</w:t>
                  </w:r>
                  <w:r>
                    <w:rPr>
                      <w:rFonts w:hint="eastAsia"/>
                      <w:sz w:val="21"/>
                      <w:szCs w:val="21"/>
                    </w:rPr>
                    <w:t>外</w:t>
                  </w:r>
                  <w:r>
                    <w:rPr>
                      <w:sz w:val="21"/>
                      <w:szCs w:val="21"/>
                    </w:rPr>
                    <w:t>排水沟与外部排水沟连通，</w:t>
                  </w:r>
                  <w:r>
                    <w:rPr>
                      <w:rFonts w:hint="eastAsia"/>
                      <w:sz w:val="21"/>
                      <w:szCs w:val="21"/>
                    </w:rPr>
                    <w:t>场外</w:t>
                  </w:r>
                  <w:r>
                    <w:rPr>
                      <w:sz w:val="21"/>
                      <w:szCs w:val="21"/>
                    </w:rPr>
                    <w:t>雨水流入沟内后外排</w:t>
                  </w:r>
                  <w:r>
                    <w:rPr>
                      <w:rFonts w:hint="eastAsia"/>
                      <w:sz w:val="21"/>
                      <w:szCs w:val="21"/>
                    </w:rPr>
                    <w:t>；场内雨水由场内排水沟收集后进入污水池；</w:t>
                  </w:r>
                </w:p>
                <w:p w14:paraId="61221706">
                  <w:pPr>
                    <w:jc w:val="center"/>
                    <w:rPr>
                      <w:sz w:val="21"/>
                      <w:szCs w:val="21"/>
                    </w:rPr>
                  </w:pPr>
                  <w:r>
                    <w:rPr>
                      <w:rFonts w:hint="eastAsia"/>
                      <w:sz w:val="21"/>
                      <w:szCs w:val="21"/>
                    </w:rPr>
                    <w:t>3、钻井废水进入泥浆循环系统，滤液回用；洗井废水大部分回用，少部分进入污水池，用于配置压裂液。</w:t>
                  </w:r>
                </w:p>
              </w:tc>
              <w:tc>
                <w:tcPr>
                  <w:tcW w:w="1438" w:type="pct"/>
                  <w:shd w:val="clear" w:color="auto" w:fill="auto"/>
                  <w:vAlign w:val="center"/>
                </w:tcPr>
                <w:p w14:paraId="73DA255B">
                  <w:pPr>
                    <w:jc w:val="center"/>
                    <w:rPr>
                      <w:sz w:val="21"/>
                      <w:szCs w:val="21"/>
                    </w:rPr>
                  </w:pPr>
                  <w:r>
                    <w:rPr>
                      <w:rFonts w:hint="eastAsia"/>
                      <w:sz w:val="21"/>
                      <w:szCs w:val="21"/>
                    </w:rPr>
                    <w:t>1、施工期间钻井废水进入泥浆循环系统，滤液回用；洗井废水大部分回用，少部分进入污水池，用于配置压裂液，不外排；</w:t>
                  </w:r>
                </w:p>
                <w:p w14:paraId="12D80EA5">
                  <w:pPr>
                    <w:jc w:val="center"/>
                    <w:rPr>
                      <w:sz w:val="21"/>
                      <w:szCs w:val="21"/>
                    </w:rPr>
                  </w:pPr>
                  <w:r>
                    <w:rPr>
                      <w:sz w:val="21"/>
                      <w:szCs w:val="21"/>
                    </w:rPr>
                    <w:t>2、</w:t>
                  </w:r>
                  <w:r>
                    <w:rPr>
                      <w:rFonts w:hint="eastAsia"/>
                      <w:sz w:val="21"/>
                      <w:szCs w:val="21"/>
                    </w:rPr>
                    <w:t>项目在开工前与污水处理单位签订协议，采用移动式水冲厕所，粪水和食堂、洗浴废水定期拉运至当地有接收能力且环保手续齐备的生活污水处理厂（站）统一处理及排放。</w:t>
                  </w:r>
                </w:p>
                <w:p w14:paraId="05B689B7">
                  <w:pPr>
                    <w:jc w:val="center"/>
                    <w:rPr>
                      <w:sz w:val="21"/>
                      <w:szCs w:val="21"/>
                    </w:rPr>
                  </w:pPr>
                  <w:r>
                    <w:rPr>
                      <w:rFonts w:hint="eastAsia"/>
                      <w:sz w:val="21"/>
                      <w:szCs w:val="21"/>
                    </w:rPr>
                    <w:t>3、施工期现场雨污分流，场外雨水通过截排水沟排入自然水系。场内雨水系统采用清污分流系统。其中场内清水系统是在井场四周边界设场内清水沟，设立1个集液池，初期雨水场内清水通过清水沟汇入集液池，隔油、沉淀后回用，后期雨水直接排入场外自然水系。场内污水系统是在场内设备安装就位后，在基础外设置挡水墙，在井架基础、发电房、循环系统、泥浆储备罐区、不落地系统装置区等基础外边缘以内范围线设挡污墙，与井场清洁区分隔，防止污染区污水溢流。</w:t>
                  </w:r>
                </w:p>
                <w:p w14:paraId="46CDE6AE">
                  <w:pPr>
                    <w:jc w:val="center"/>
                    <w:rPr>
                      <w:sz w:val="21"/>
                      <w:szCs w:val="21"/>
                    </w:rPr>
                  </w:pPr>
                  <w:r>
                    <w:rPr>
                      <w:rFonts w:hint="eastAsia"/>
                      <w:sz w:val="21"/>
                      <w:szCs w:val="21"/>
                    </w:rPr>
                    <w:t>4、拟在循环罐区、主要设备区、材料房、岩屑堆放场等区域设置雨棚，雨棚边缘应超出下方围堰不小于0.5m，通过雨棚的导流槽将初期雨水导入集水池，后期雨水直接排入场外自然水系。</w:t>
                  </w:r>
                </w:p>
              </w:tc>
              <w:tc>
                <w:tcPr>
                  <w:tcW w:w="661" w:type="pct"/>
                  <w:vAlign w:val="center"/>
                </w:tcPr>
                <w:p w14:paraId="641779B3">
                  <w:pPr>
                    <w:jc w:val="center"/>
                    <w:rPr>
                      <w:sz w:val="21"/>
                      <w:szCs w:val="21"/>
                    </w:rPr>
                  </w:pPr>
                  <w:r>
                    <w:rPr>
                      <w:rFonts w:hint="eastAsia"/>
                      <w:sz w:val="21"/>
                      <w:szCs w:val="21"/>
                    </w:rPr>
                    <w:t>钻井废水进入泥浆循环系统，滤液回用；洗井废水大部分回用，少部分进入污水池，用于配置压裂液，不外排。生活污水拉运至污水处理单位。现场采用雨污分流。</w:t>
                  </w:r>
                </w:p>
              </w:tc>
            </w:tr>
            <w:tr w14:paraId="4B4BA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restart"/>
                  <w:vAlign w:val="center"/>
                </w:tcPr>
                <w:p w14:paraId="10DC510D">
                  <w:pPr>
                    <w:jc w:val="center"/>
                    <w:rPr>
                      <w:sz w:val="21"/>
                      <w:szCs w:val="21"/>
                    </w:rPr>
                  </w:pPr>
                  <w:r>
                    <w:rPr>
                      <w:sz w:val="21"/>
                      <w:szCs w:val="21"/>
                    </w:rPr>
                    <w:t>环保工程</w:t>
                  </w:r>
                </w:p>
              </w:tc>
              <w:tc>
                <w:tcPr>
                  <w:tcW w:w="426" w:type="pct"/>
                  <w:vAlign w:val="center"/>
                </w:tcPr>
                <w:p w14:paraId="6F1E2747">
                  <w:pPr>
                    <w:jc w:val="center"/>
                    <w:rPr>
                      <w:sz w:val="21"/>
                      <w:szCs w:val="21"/>
                    </w:rPr>
                  </w:pPr>
                  <w:r>
                    <w:rPr>
                      <w:rFonts w:hint="eastAsia"/>
                      <w:sz w:val="21"/>
                      <w:szCs w:val="21"/>
                    </w:rPr>
                    <w:t>废水</w:t>
                  </w:r>
                </w:p>
              </w:tc>
              <w:tc>
                <w:tcPr>
                  <w:tcW w:w="1520" w:type="pct"/>
                  <w:shd w:val="clear" w:color="auto" w:fill="auto"/>
                  <w:vAlign w:val="center"/>
                </w:tcPr>
                <w:p w14:paraId="72D5BA89">
                  <w:pPr>
                    <w:jc w:val="center"/>
                    <w:rPr>
                      <w:sz w:val="21"/>
                      <w:szCs w:val="21"/>
                    </w:rPr>
                  </w:pPr>
                  <w:r>
                    <w:rPr>
                      <w:rFonts w:hint="eastAsia"/>
                      <w:sz w:val="21"/>
                      <w:szCs w:val="21"/>
                    </w:rPr>
                    <w:t>1、场地</w:t>
                  </w:r>
                  <w:r>
                    <w:rPr>
                      <w:sz w:val="21"/>
                      <w:szCs w:val="21"/>
                    </w:rPr>
                    <w:t>雨水：场</w:t>
                  </w:r>
                  <w:r>
                    <w:rPr>
                      <w:rFonts w:hint="eastAsia"/>
                      <w:sz w:val="21"/>
                      <w:szCs w:val="21"/>
                    </w:rPr>
                    <w:t>外雨水由</w:t>
                  </w:r>
                  <w:r>
                    <w:rPr>
                      <w:sz w:val="21"/>
                      <w:szCs w:val="21"/>
                    </w:rPr>
                    <w:t>排水沟收集后外</w:t>
                  </w:r>
                  <w:r>
                    <w:rPr>
                      <w:rFonts w:hint="eastAsia"/>
                      <w:sz w:val="21"/>
                      <w:szCs w:val="21"/>
                    </w:rPr>
                    <w:t>排</w:t>
                  </w:r>
                  <w:r>
                    <w:rPr>
                      <w:sz w:val="21"/>
                      <w:szCs w:val="21"/>
                    </w:rPr>
                    <w:t>周边沟渠；</w:t>
                  </w:r>
                  <w:r>
                    <w:rPr>
                      <w:rFonts w:hint="eastAsia"/>
                      <w:sz w:val="21"/>
                      <w:szCs w:val="21"/>
                    </w:rPr>
                    <w:t>场内雨水由排水沟收集后进入集液池，污水满后泵送运至污水池；</w:t>
                  </w:r>
                </w:p>
                <w:p w14:paraId="0C6221C5">
                  <w:pPr>
                    <w:jc w:val="center"/>
                    <w:rPr>
                      <w:sz w:val="21"/>
                      <w:szCs w:val="21"/>
                    </w:rPr>
                  </w:pPr>
                  <w:r>
                    <w:rPr>
                      <w:rFonts w:hint="eastAsia"/>
                      <w:sz w:val="21"/>
                      <w:szCs w:val="21"/>
                    </w:rPr>
                    <w:t>2、</w:t>
                  </w:r>
                  <w:r>
                    <w:rPr>
                      <w:sz w:val="21"/>
                      <w:szCs w:val="21"/>
                    </w:rPr>
                    <w:t>钻井废水：</w:t>
                  </w:r>
                  <w:r>
                    <w:rPr>
                      <w:rFonts w:hint="eastAsia"/>
                      <w:sz w:val="21"/>
                      <w:szCs w:val="21"/>
                    </w:rPr>
                    <w:t>大钻井废水进入泥浆循环系统，滤液回用；</w:t>
                  </w:r>
                </w:p>
                <w:p w14:paraId="2BB629C1">
                  <w:pPr>
                    <w:jc w:val="center"/>
                    <w:rPr>
                      <w:sz w:val="21"/>
                      <w:szCs w:val="21"/>
                    </w:rPr>
                  </w:pPr>
                  <w:r>
                    <w:rPr>
                      <w:rFonts w:hint="eastAsia"/>
                      <w:sz w:val="21"/>
                      <w:szCs w:val="21"/>
                    </w:rPr>
                    <w:t>3、</w:t>
                  </w:r>
                  <w:r>
                    <w:rPr>
                      <w:sz w:val="21"/>
                      <w:szCs w:val="21"/>
                    </w:rPr>
                    <w:t>洗井废水：大部分回用</w:t>
                  </w:r>
                  <w:r>
                    <w:rPr>
                      <w:rFonts w:hint="eastAsia"/>
                      <w:sz w:val="21"/>
                      <w:szCs w:val="21"/>
                    </w:rPr>
                    <w:t>，少部分进入污水池，定期安排有专业资质的环保车辆拉运至有资质的处理厂处理；</w:t>
                  </w:r>
                </w:p>
                <w:p w14:paraId="066CAAE2">
                  <w:pPr>
                    <w:jc w:val="center"/>
                    <w:rPr>
                      <w:sz w:val="21"/>
                      <w:szCs w:val="21"/>
                    </w:rPr>
                  </w:pPr>
                  <w:r>
                    <w:rPr>
                      <w:rFonts w:hint="eastAsia"/>
                      <w:sz w:val="21"/>
                      <w:szCs w:val="21"/>
                    </w:rPr>
                    <w:t>4、</w:t>
                  </w:r>
                  <w:r>
                    <w:rPr>
                      <w:sz w:val="21"/>
                      <w:szCs w:val="21"/>
                    </w:rPr>
                    <w:t>管道试压废水：回用于场地施工期洒水降尘；</w:t>
                  </w:r>
                </w:p>
                <w:p w14:paraId="11E44472">
                  <w:pPr>
                    <w:jc w:val="center"/>
                    <w:rPr>
                      <w:sz w:val="21"/>
                      <w:szCs w:val="21"/>
                    </w:rPr>
                  </w:pPr>
                  <w:r>
                    <w:rPr>
                      <w:rFonts w:hint="eastAsia"/>
                      <w:sz w:val="21"/>
                      <w:szCs w:val="21"/>
                    </w:rPr>
                    <w:t>5、</w:t>
                  </w:r>
                  <w:r>
                    <w:rPr>
                      <w:sz w:val="21"/>
                      <w:szCs w:val="21"/>
                    </w:rPr>
                    <w:t>生活污水：用于项目周边</w:t>
                  </w:r>
                  <w:r>
                    <w:rPr>
                      <w:rFonts w:hint="eastAsia"/>
                      <w:sz w:val="21"/>
                      <w:szCs w:val="21"/>
                    </w:rPr>
                    <w:t>园地施肥</w:t>
                  </w:r>
                  <w:r>
                    <w:rPr>
                      <w:sz w:val="21"/>
                      <w:szCs w:val="21"/>
                    </w:rPr>
                    <w:t>。</w:t>
                  </w:r>
                </w:p>
              </w:tc>
              <w:tc>
                <w:tcPr>
                  <w:tcW w:w="1438" w:type="pct"/>
                  <w:vAlign w:val="center"/>
                </w:tcPr>
                <w:p w14:paraId="7D22808F">
                  <w:pPr>
                    <w:jc w:val="center"/>
                    <w:rPr>
                      <w:sz w:val="21"/>
                      <w:szCs w:val="21"/>
                    </w:rPr>
                  </w:pPr>
                  <w:r>
                    <w:rPr>
                      <w:rFonts w:hint="eastAsia"/>
                      <w:sz w:val="21"/>
                      <w:szCs w:val="21"/>
                    </w:rPr>
                    <w:t>1、场地污染区雨水：通过挡污墙、集液池收集后泵入污水池暂存，用于钻井液配置、压裂工序压裂液配置使用；</w:t>
                  </w:r>
                </w:p>
                <w:p w14:paraId="2FAAE22A">
                  <w:pPr>
                    <w:jc w:val="center"/>
                    <w:rPr>
                      <w:sz w:val="21"/>
                      <w:szCs w:val="21"/>
                    </w:rPr>
                  </w:pPr>
                  <w:r>
                    <w:rPr>
                      <w:rFonts w:hint="eastAsia"/>
                      <w:sz w:val="21"/>
                      <w:szCs w:val="21"/>
                    </w:rPr>
                    <w:t>2、钻井废水、洗井废水、管道试压废水、压裂返排液：钻井废水进入泥浆循环系统进行固液分离，产生的滤液回用；洗井废水大部分回用，少部分暂存污水池，回用于压裂液配置使用；管道试压废水回用于场地施工期洒水降尘；压裂返排液先在本平台井站回用，收集于循环罐区，项目开工前将于与有资质的污水处理单位签订协议，不能回用时定期通过罐车运输压裂返排液至污水处理单位进行处理；</w:t>
                  </w:r>
                </w:p>
                <w:p w14:paraId="49B3349B">
                  <w:pPr>
                    <w:jc w:val="center"/>
                    <w:rPr>
                      <w:sz w:val="21"/>
                      <w:szCs w:val="21"/>
                    </w:rPr>
                  </w:pPr>
                  <w:r>
                    <w:rPr>
                      <w:rFonts w:hint="eastAsia"/>
                      <w:sz w:val="21"/>
                      <w:szCs w:val="21"/>
                    </w:rPr>
                    <w:t>3、生活污水：项目在开工前与污水处理单位签订协议，采用移动式水冲厕所，粪水和食堂、洗浴废水定期拉运至当地有接收能力且环保手续齐备的生活污水处理厂（站）统一处理及排放。</w:t>
                  </w:r>
                </w:p>
              </w:tc>
              <w:tc>
                <w:tcPr>
                  <w:tcW w:w="661" w:type="pct"/>
                  <w:vAlign w:val="center"/>
                </w:tcPr>
                <w:p w14:paraId="7AF605DB">
                  <w:pPr>
                    <w:jc w:val="center"/>
                    <w:rPr>
                      <w:sz w:val="21"/>
                      <w:szCs w:val="21"/>
                    </w:rPr>
                  </w:pPr>
                  <w:r>
                    <w:rPr>
                      <w:rFonts w:hint="eastAsia"/>
                      <w:sz w:val="21"/>
                      <w:szCs w:val="21"/>
                    </w:rPr>
                    <w:t>/</w:t>
                  </w:r>
                </w:p>
              </w:tc>
            </w:tr>
            <w:tr w14:paraId="10CEE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2FD822C7">
                  <w:pPr>
                    <w:jc w:val="center"/>
                    <w:rPr>
                      <w:sz w:val="21"/>
                      <w:szCs w:val="21"/>
                    </w:rPr>
                  </w:pPr>
                </w:p>
              </w:tc>
              <w:tc>
                <w:tcPr>
                  <w:tcW w:w="426" w:type="pct"/>
                  <w:vAlign w:val="center"/>
                </w:tcPr>
                <w:p w14:paraId="11BAF953">
                  <w:pPr>
                    <w:jc w:val="center"/>
                    <w:rPr>
                      <w:sz w:val="21"/>
                      <w:szCs w:val="21"/>
                    </w:rPr>
                  </w:pPr>
                  <w:r>
                    <w:rPr>
                      <w:rFonts w:hint="eastAsia"/>
                      <w:sz w:val="21"/>
                      <w:szCs w:val="21"/>
                    </w:rPr>
                    <w:t>废气</w:t>
                  </w:r>
                </w:p>
              </w:tc>
              <w:tc>
                <w:tcPr>
                  <w:tcW w:w="1520" w:type="pct"/>
                  <w:shd w:val="clear" w:color="auto" w:fill="auto"/>
                  <w:vAlign w:val="center"/>
                </w:tcPr>
                <w:p w14:paraId="4CFB8E23">
                  <w:pPr>
                    <w:jc w:val="center"/>
                    <w:rPr>
                      <w:sz w:val="21"/>
                      <w:szCs w:val="21"/>
                    </w:rPr>
                  </w:pPr>
                  <w:r>
                    <w:rPr>
                      <w:rFonts w:hint="eastAsia"/>
                      <w:sz w:val="21"/>
                      <w:szCs w:val="21"/>
                    </w:rPr>
                    <w:t>1、</w:t>
                  </w:r>
                  <w:r>
                    <w:rPr>
                      <w:sz w:val="21"/>
                      <w:szCs w:val="21"/>
                    </w:rPr>
                    <w:t>柴油燃烧废气：自由扩散；</w:t>
                  </w:r>
                </w:p>
                <w:p w14:paraId="6988BC43">
                  <w:pPr>
                    <w:jc w:val="center"/>
                    <w:rPr>
                      <w:sz w:val="21"/>
                      <w:szCs w:val="21"/>
                    </w:rPr>
                  </w:pPr>
                  <w:r>
                    <w:rPr>
                      <w:rFonts w:hint="eastAsia"/>
                      <w:sz w:val="21"/>
                      <w:szCs w:val="21"/>
                    </w:rPr>
                    <w:t>2、</w:t>
                  </w:r>
                  <w:r>
                    <w:rPr>
                      <w:sz w:val="21"/>
                      <w:szCs w:val="21"/>
                    </w:rPr>
                    <w:t>放喷废气：</w:t>
                  </w:r>
                  <w:r>
                    <w:rPr>
                      <w:rFonts w:hint="eastAsia"/>
                      <w:sz w:val="21"/>
                      <w:szCs w:val="21"/>
                    </w:rPr>
                    <w:t>井口气体由防喷管线引至</w:t>
                  </w:r>
                  <w:r>
                    <w:rPr>
                      <w:sz w:val="21"/>
                      <w:szCs w:val="21"/>
                    </w:rPr>
                    <w:t>放喷池</w:t>
                  </w:r>
                  <w:r>
                    <w:rPr>
                      <w:rFonts w:hint="eastAsia"/>
                      <w:sz w:val="21"/>
                      <w:szCs w:val="21"/>
                    </w:rPr>
                    <w:t>进行点火燃烧</w:t>
                  </w:r>
                  <w:r>
                    <w:rPr>
                      <w:sz w:val="21"/>
                      <w:szCs w:val="21"/>
                    </w:rPr>
                    <w:t>，池子容量为</w:t>
                  </w:r>
                  <w:r>
                    <w:rPr>
                      <w:rFonts w:hint="eastAsia"/>
                      <w:sz w:val="21"/>
                      <w:szCs w:val="21"/>
                    </w:rPr>
                    <w:t>75</w:t>
                  </w:r>
                  <w:r>
                    <w:rPr>
                      <w:sz w:val="21"/>
                      <w:szCs w:val="21"/>
                    </w:rPr>
                    <w:t>m</w:t>
                  </w:r>
                  <w:r>
                    <w:rPr>
                      <w:sz w:val="21"/>
                      <w:szCs w:val="21"/>
                      <w:vertAlign w:val="superscript"/>
                    </w:rPr>
                    <w:t>3</w:t>
                  </w:r>
                  <w:r>
                    <w:rPr>
                      <w:sz w:val="21"/>
                      <w:szCs w:val="21"/>
                    </w:rPr>
                    <w:t>，尺寸为：长</w:t>
                  </w:r>
                  <w:r>
                    <w:rPr>
                      <w:rFonts w:hint="eastAsia"/>
                      <w:sz w:val="21"/>
                      <w:szCs w:val="21"/>
                    </w:rPr>
                    <w:t>15</w:t>
                  </w:r>
                  <w:r>
                    <w:rPr>
                      <w:sz w:val="21"/>
                      <w:szCs w:val="21"/>
                    </w:rPr>
                    <w:t>m、宽</w:t>
                  </w:r>
                  <w:r>
                    <w:rPr>
                      <w:rFonts w:hint="eastAsia"/>
                      <w:sz w:val="21"/>
                      <w:szCs w:val="21"/>
                    </w:rPr>
                    <w:t>5</w:t>
                  </w:r>
                  <w:r>
                    <w:rPr>
                      <w:sz w:val="21"/>
                      <w:szCs w:val="21"/>
                    </w:rPr>
                    <w:t>m、深1m，设置在井场</w:t>
                  </w:r>
                  <w:r>
                    <w:rPr>
                      <w:rFonts w:hint="eastAsia"/>
                      <w:sz w:val="21"/>
                      <w:szCs w:val="21"/>
                    </w:rPr>
                    <w:t>北</w:t>
                  </w:r>
                  <w:r>
                    <w:rPr>
                      <w:sz w:val="21"/>
                      <w:szCs w:val="21"/>
                    </w:rPr>
                    <w:t>侧。</w:t>
                  </w:r>
                </w:p>
              </w:tc>
              <w:tc>
                <w:tcPr>
                  <w:tcW w:w="1438" w:type="pct"/>
                  <w:vAlign w:val="center"/>
                </w:tcPr>
                <w:p w14:paraId="3DAB5797">
                  <w:pPr>
                    <w:jc w:val="center"/>
                    <w:rPr>
                      <w:sz w:val="21"/>
                      <w:szCs w:val="21"/>
                    </w:rPr>
                  </w:pPr>
                  <w:r>
                    <w:rPr>
                      <w:rFonts w:hint="eastAsia"/>
                      <w:sz w:val="21"/>
                      <w:szCs w:val="21"/>
                    </w:rPr>
                    <w:t>依托现有工程</w:t>
                  </w:r>
                </w:p>
              </w:tc>
              <w:tc>
                <w:tcPr>
                  <w:tcW w:w="661" w:type="pct"/>
                  <w:vAlign w:val="center"/>
                </w:tcPr>
                <w:p w14:paraId="714C225B">
                  <w:pPr>
                    <w:jc w:val="center"/>
                    <w:rPr>
                      <w:sz w:val="21"/>
                      <w:szCs w:val="21"/>
                    </w:rPr>
                  </w:pPr>
                  <w:r>
                    <w:rPr>
                      <w:rFonts w:hint="eastAsia"/>
                      <w:sz w:val="21"/>
                      <w:szCs w:val="21"/>
                    </w:rPr>
                    <w:t>/</w:t>
                  </w:r>
                </w:p>
              </w:tc>
            </w:tr>
            <w:tr w14:paraId="5737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6CDFE73A">
                  <w:pPr>
                    <w:jc w:val="center"/>
                    <w:rPr>
                      <w:sz w:val="21"/>
                      <w:szCs w:val="21"/>
                    </w:rPr>
                  </w:pPr>
                </w:p>
              </w:tc>
              <w:tc>
                <w:tcPr>
                  <w:tcW w:w="426" w:type="pct"/>
                  <w:vAlign w:val="center"/>
                </w:tcPr>
                <w:p w14:paraId="64B68A37">
                  <w:pPr>
                    <w:jc w:val="center"/>
                    <w:rPr>
                      <w:sz w:val="21"/>
                      <w:szCs w:val="21"/>
                    </w:rPr>
                  </w:pPr>
                  <w:r>
                    <w:rPr>
                      <w:rFonts w:hint="eastAsia"/>
                      <w:sz w:val="21"/>
                      <w:szCs w:val="21"/>
                    </w:rPr>
                    <w:t>噪声治理</w:t>
                  </w:r>
                </w:p>
              </w:tc>
              <w:tc>
                <w:tcPr>
                  <w:tcW w:w="1520" w:type="pct"/>
                  <w:shd w:val="clear" w:color="auto" w:fill="auto"/>
                  <w:vAlign w:val="center"/>
                </w:tcPr>
                <w:p w14:paraId="49E13A6B">
                  <w:pPr>
                    <w:jc w:val="center"/>
                    <w:rPr>
                      <w:sz w:val="21"/>
                      <w:szCs w:val="21"/>
                    </w:rPr>
                  </w:pPr>
                  <w:r>
                    <w:rPr>
                      <w:sz w:val="21"/>
                      <w:szCs w:val="21"/>
                    </w:rPr>
                    <w:t>柴油发电机组设置独立的发电机房，钻井设备、泥浆循环处理系统等安装隔振垫进行基础减振降噪。</w:t>
                  </w:r>
                </w:p>
              </w:tc>
              <w:tc>
                <w:tcPr>
                  <w:tcW w:w="1438" w:type="pct"/>
                  <w:vAlign w:val="center"/>
                </w:tcPr>
                <w:p w14:paraId="608AFDED">
                  <w:pPr>
                    <w:jc w:val="center"/>
                    <w:rPr>
                      <w:sz w:val="21"/>
                      <w:szCs w:val="21"/>
                    </w:rPr>
                  </w:pPr>
                  <w:r>
                    <w:rPr>
                      <w:rFonts w:hint="eastAsia"/>
                      <w:sz w:val="21"/>
                      <w:szCs w:val="21"/>
                    </w:rPr>
                    <w:t>依托现有工程</w:t>
                  </w:r>
                </w:p>
              </w:tc>
              <w:tc>
                <w:tcPr>
                  <w:tcW w:w="661" w:type="pct"/>
                  <w:vAlign w:val="center"/>
                </w:tcPr>
                <w:p w14:paraId="4F3C4BE2">
                  <w:pPr>
                    <w:jc w:val="center"/>
                    <w:rPr>
                      <w:sz w:val="21"/>
                      <w:szCs w:val="21"/>
                    </w:rPr>
                  </w:pPr>
                  <w:r>
                    <w:rPr>
                      <w:rFonts w:hint="eastAsia"/>
                      <w:sz w:val="21"/>
                      <w:szCs w:val="21"/>
                    </w:rPr>
                    <w:t>/</w:t>
                  </w:r>
                </w:p>
              </w:tc>
            </w:tr>
            <w:tr w14:paraId="35D0A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17BEBC19">
                  <w:pPr>
                    <w:jc w:val="center"/>
                    <w:rPr>
                      <w:sz w:val="21"/>
                      <w:szCs w:val="21"/>
                    </w:rPr>
                  </w:pPr>
                </w:p>
              </w:tc>
              <w:tc>
                <w:tcPr>
                  <w:tcW w:w="426" w:type="pct"/>
                  <w:vAlign w:val="center"/>
                </w:tcPr>
                <w:p w14:paraId="0B42CBAC">
                  <w:pPr>
                    <w:jc w:val="center"/>
                    <w:rPr>
                      <w:sz w:val="21"/>
                      <w:szCs w:val="21"/>
                    </w:rPr>
                  </w:pPr>
                  <w:r>
                    <w:rPr>
                      <w:rFonts w:hint="eastAsia"/>
                      <w:sz w:val="21"/>
                      <w:szCs w:val="21"/>
                    </w:rPr>
                    <w:t>生态环境保护</w:t>
                  </w:r>
                </w:p>
              </w:tc>
              <w:tc>
                <w:tcPr>
                  <w:tcW w:w="1520" w:type="pct"/>
                  <w:shd w:val="clear" w:color="auto" w:fill="auto"/>
                  <w:vAlign w:val="center"/>
                </w:tcPr>
                <w:p w14:paraId="1C8C4EFE">
                  <w:pPr>
                    <w:jc w:val="center"/>
                    <w:rPr>
                      <w:sz w:val="21"/>
                      <w:szCs w:val="21"/>
                    </w:rPr>
                  </w:pPr>
                  <w:r>
                    <w:rPr>
                      <w:sz w:val="21"/>
                      <w:szCs w:val="21"/>
                    </w:rPr>
                    <w:t>完井后及时进行场地清理、土地复垦、恢复绿化等。</w:t>
                  </w:r>
                </w:p>
              </w:tc>
              <w:tc>
                <w:tcPr>
                  <w:tcW w:w="1438" w:type="pct"/>
                  <w:vAlign w:val="center"/>
                </w:tcPr>
                <w:p w14:paraId="4DBF2104">
                  <w:pPr>
                    <w:jc w:val="center"/>
                    <w:rPr>
                      <w:sz w:val="21"/>
                      <w:szCs w:val="21"/>
                    </w:rPr>
                  </w:pPr>
                  <w:r>
                    <w:rPr>
                      <w:rFonts w:hint="eastAsia"/>
                      <w:sz w:val="21"/>
                      <w:szCs w:val="21"/>
                    </w:rPr>
                    <w:t>试采后确定转为生产井的按相关土地管理制度进行征地，不征收的</w:t>
                  </w:r>
                  <w:r>
                    <w:rPr>
                      <w:sz w:val="21"/>
                      <w:szCs w:val="21"/>
                    </w:rPr>
                    <w:t>及时进行场地清理、土地复垦、恢复绿化。</w:t>
                  </w:r>
                </w:p>
              </w:tc>
              <w:tc>
                <w:tcPr>
                  <w:tcW w:w="661" w:type="pct"/>
                  <w:vAlign w:val="center"/>
                </w:tcPr>
                <w:p w14:paraId="38627FE1">
                  <w:pPr>
                    <w:jc w:val="center"/>
                    <w:rPr>
                      <w:sz w:val="21"/>
                      <w:szCs w:val="21"/>
                    </w:rPr>
                  </w:pPr>
                  <w:r>
                    <w:rPr>
                      <w:rFonts w:hint="eastAsia"/>
                      <w:sz w:val="21"/>
                      <w:szCs w:val="21"/>
                    </w:rPr>
                    <w:t>试采确定后转生产，不征收的恢复地块。</w:t>
                  </w:r>
                </w:p>
              </w:tc>
            </w:tr>
            <w:tr w14:paraId="7FE70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20312005">
                  <w:pPr>
                    <w:jc w:val="center"/>
                    <w:rPr>
                      <w:sz w:val="21"/>
                      <w:szCs w:val="21"/>
                    </w:rPr>
                  </w:pPr>
                </w:p>
              </w:tc>
              <w:tc>
                <w:tcPr>
                  <w:tcW w:w="426" w:type="pct"/>
                  <w:vAlign w:val="center"/>
                </w:tcPr>
                <w:p w14:paraId="17A62F3E">
                  <w:pPr>
                    <w:jc w:val="center"/>
                    <w:rPr>
                      <w:sz w:val="21"/>
                      <w:szCs w:val="21"/>
                    </w:rPr>
                  </w:pPr>
                  <w:r>
                    <w:rPr>
                      <w:rFonts w:hint="eastAsia"/>
                      <w:sz w:val="21"/>
                      <w:szCs w:val="21"/>
                    </w:rPr>
                    <w:t>地下水及土壤</w:t>
                  </w:r>
                </w:p>
              </w:tc>
              <w:tc>
                <w:tcPr>
                  <w:tcW w:w="1520" w:type="pct"/>
                  <w:shd w:val="clear" w:color="auto" w:fill="auto"/>
                  <w:vAlign w:val="center"/>
                </w:tcPr>
                <w:p w14:paraId="5D6F25AE">
                  <w:pPr>
                    <w:jc w:val="center"/>
                    <w:rPr>
                      <w:sz w:val="21"/>
                      <w:szCs w:val="21"/>
                    </w:rPr>
                  </w:pPr>
                  <w:r>
                    <w:rPr>
                      <w:sz w:val="21"/>
                      <w:szCs w:val="21"/>
                    </w:rPr>
                    <w:t>钻台底座、泵房、机房、循环罐、固控设备、油罐、材料房及药品房均在地面上铺盖防渗膜，防止污水及油污污染环境。污水及油污必须排放至专用回收池里，污水沟、污水池均做好池体防渗处理。材料储备下铺上盖。</w:t>
                  </w:r>
                  <w:r>
                    <w:rPr>
                      <w:rFonts w:hint="eastAsia"/>
                      <w:sz w:val="21"/>
                      <w:szCs w:val="21"/>
                    </w:rPr>
                    <w:t>危废间做重点防渗处理。</w:t>
                  </w:r>
                </w:p>
              </w:tc>
              <w:tc>
                <w:tcPr>
                  <w:tcW w:w="1438" w:type="pct"/>
                  <w:vAlign w:val="center"/>
                </w:tcPr>
                <w:p w14:paraId="0C055AFB">
                  <w:pPr>
                    <w:jc w:val="center"/>
                    <w:rPr>
                      <w:sz w:val="21"/>
                      <w:szCs w:val="21"/>
                    </w:rPr>
                  </w:pPr>
                  <w:r>
                    <w:rPr>
                      <w:rFonts w:hint="eastAsia"/>
                      <w:sz w:val="21"/>
                      <w:szCs w:val="21"/>
                    </w:rPr>
                    <w:t>对新增的#2危废暂存间和盐酸罐进行重点防渗处理。</w:t>
                  </w:r>
                </w:p>
              </w:tc>
              <w:tc>
                <w:tcPr>
                  <w:tcW w:w="661" w:type="pct"/>
                  <w:vAlign w:val="center"/>
                </w:tcPr>
                <w:p w14:paraId="44800FB2">
                  <w:pPr>
                    <w:jc w:val="center"/>
                    <w:rPr>
                      <w:sz w:val="21"/>
                      <w:szCs w:val="21"/>
                    </w:rPr>
                  </w:pPr>
                  <w:r>
                    <w:rPr>
                      <w:rFonts w:hint="eastAsia"/>
                      <w:sz w:val="21"/>
                      <w:szCs w:val="21"/>
                    </w:rPr>
                    <w:t>/</w:t>
                  </w:r>
                </w:p>
              </w:tc>
            </w:tr>
            <w:tr w14:paraId="1299C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5D40618A">
                  <w:pPr>
                    <w:jc w:val="center"/>
                    <w:rPr>
                      <w:sz w:val="21"/>
                      <w:szCs w:val="21"/>
                    </w:rPr>
                  </w:pPr>
                </w:p>
              </w:tc>
              <w:tc>
                <w:tcPr>
                  <w:tcW w:w="426" w:type="pct"/>
                  <w:vAlign w:val="center"/>
                </w:tcPr>
                <w:p w14:paraId="09EAD443">
                  <w:pPr>
                    <w:jc w:val="center"/>
                    <w:rPr>
                      <w:sz w:val="21"/>
                      <w:szCs w:val="21"/>
                    </w:rPr>
                  </w:pPr>
                  <w:r>
                    <w:rPr>
                      <w:rFonts w:hint="eastAsia"/>
                      <w:sz w:val="21"/>
                      <w:szCs w:val="21"/>
                    </w:rPr>
                    <w:t>固体废物</w:t>
                  </w:r>
                </w:p>
              </w:tc>
              <w:tc>
                <w:tcPr>
                  <w:tcW w:w="1520" w:type="pct"/>
                  <w:shd w:val="clear" w:color="auto" w:fill="auto"/>
                  <w:vAlign w:val="center"/>
                </w:tcPr>
                <w:p w14:paraId="10DDBBC0">
                  <w:pPr>
                    <w:jc w:val="center"/>
                    <w:rPr>
                      <w:sz w:val="21"/>
                      <w:szCs w:val="21"/>
                    </w:rPr>
                  </w:pPr>
                  <w:r>
                    <w:rPr>
                      <w:rFonts w:hint="eastAsia"/>
                      <w:sz w:val="21"/>
                      <w:szCs w:val="21"/>
                    </w:rPr>
                    <w:t>1、表土储存，</w:t>
                  </w:r>
                  <w:r>
                    <w:rPr>
                      <w:sz w:val="21"/>
                      <w:szCs w:val="21"/>
                    </w:rPr>
                    <w:t>井场</w:t>
                  </w:r>
                  <w:r>
                    <w:rPr>
                      <w:rFonts w:hint="eastAsia"/>
                      <w:sz w:val="21"/>
                      <w:szCs w:val="21"/>
                    </w:rPr>
                    <w:t>东南侧设置表土储存区</w:t>
                  </w:r>
                  <w:r>
                    <w:rPr>
                      <w:sz w:val="21"/>
                      <w:szCs w:val="21"/>
                    </w:rPr>
                    <w:t>，占地面积</w:t>
                  </w:r>
                  <w:r>
                    <w:rPr>
                      <w:rFonts w:hint="eastAsia"/>
                      <w:sz w:val="21"/>
                      <w:szCs w:val="21"/>
                    </w:rPr>
                    <w:t>962</w:t>
                  </w:r>
                  <w:r>
                    <w:rPr>
                      <w:sz w:val="21"/>
                      <w:szCs w:val="21"/>
                    </w:rPr>
                    <w:t>m</w:t>
                  </w:r>
                  <w:r>
                    <w:rPr>
                      <w:rFonts w:hint="eastAsia"/>
                      <w:sz w:val="21"/>
                      <w:szCs w:val="21"/>
                      <w:vertAlign w:val="superscript"/>
                    </w:rPr>
                    <w:t>2</w:t>
                  </w:r>
                  <w:r>
                    <w:rPr>
                      <w:sz w:val="21"/>
                      <w:szCs w:val="21"/>
                    </w:rPr>
                    <w:t>，主要用于暂存表层耕植土，耕植土分层剥离，用于后期覆土绿化</w:t>
                  </w:r>
                  <w:r>
                    <w:rPr>
                      <w:rFonts w:hint="eastAsia"/>
                      <w:sz w:val="21"/>
                      <w:szCs w:val="21"/>
                    </w:rPr>
                    <w:t>。</w:t>
                  </w:r>
                </w:p>
                <w:p w14:paraId="25786B13">
                  <w:pPr>
                    <w:jc w:val="center"/>
                    <w:rPr>
                      <w:sz w:val="21"/>
                      <w:szCs w:val="21"/>
                    </w:rPr>
                  </w:pPr>
                  <w:r>
                    <w:rPr>
                      <w:rFonts w:hint="eastAsia"/>
                      <w:sz w:val="21"/>
                      <w:szCs w:val="21"/>
                    </w:rPr>
                    <w:t>2、</w:t>
                  </w:r>
                  <w:r>
                    <w:rPr>
                      <w:sz w:val="21"/>
                      <w:szCs w:val="21"/>
                    </w:rPr>
                    <w:t>生活垃圾</w:t>
                  </w:r>
                  <w:r>
                    <w:rPr>
                      <w:rFonts w:hint="eastAsia"/>
                      <w:sz w:val="21"/>
                      <w:szCs w:val="21"/>
                    </w:rPr>
                    <w:t>，</w:t>
                  </w:r>
                  <w:r>
                    <w:rPr>
                      <w:sz w:val="21"/>
                      <w:szCs w:val="21"/>
                    </w:rPr>
                    <w:t>生活区设1个，定期外运周边村镇垃圾收集点。</w:t>
                  </w:r>
                </w:p>
                <w:p w14:paraId="17B085D5">
                  <w:pPr>
                    <w:jc w:val="center"/>
                    <w:rPr>
                      <w:sz w:val="21"/>
                      <w:szCs w:val="21"/>
                    </w:rPr>
                  </w:pPr>
                  <w:r>
                    <w:rPr>
                      <w:rFonts w:hint="eastAsia"/>
                      <w:sz w:val="21"/>
                      <w:szCs w:val="21"/>
                    </w:rPr>
                    <w:t>3、</w:t>
                  </w:r>
                  <w:r>
                    <w:rPr>
                      <w:sz w:val="21"/>
                      <w:szCs w:val="21"/>
                    </w:rPr>
                    <w:t>水基岩屑：设置1座清洁化操作平台，用于收集、处理、暂存泥浆循环处理系统产生的固相物质，包含水基岩屑。平台内设专业岩屑堆存区，占地约50m</w:t>
                  </w:r>
                  <w:r>
                    <w:rPr>
                      <w:sz w:val="21"/>
                      <w:szCs w:val="21"/>
                      <w:vertAlign w:val="superscript"/>
                    </w:rPr>
                    <w:t>2</w:t>
                  </w:r>
                  <w:r>
                    <w:rPr>
                      <w:sz w:val="21"/>
                      <w:szCs w:val="21"/>
                    </w:rPr>
                    <w:t>，用于暂存水基岩屑，后期外</w:t>
                  </w:r>
                  <w:r>
                    <w:rPr>
                      <w:rFonts w:hint="eastAsia"/>
                      <w:sz w:val="21"/>
                      <w:szCs w:val="21"/>
                    </w:rPr>
                    <w:t>委</w:t>
                  </w:r>
                  <w:r>
                    <w:rPr>
                      <w:sz w:val="21"/>
                      <w:szCs w:val="21"/>
                    </w:rPr>
                    <w:t>制砖厂家等进行资源化利用。</w:t>
                  </w:r>
                </w:p>
                <w:p w14:paraId="6A0AEC41">
                  <w:pPr>
                    <w:jc w:val="center"/>
                    <w:rPr>
                      <w:sz w:val="21"/>
                      <w:szCs w:val="21"/>
                    </w:rPr>
                  </w:pPr>
                  <w:r>
                    <w:rPr>
                      <w:rFonts w:hint="eastAsia"/>
                      <w:sz w:val="21"/>
                      <w:szCs w:val="21"/>
                    </w:rPr>
                    <w:t>废弃</w:t>
                  </w:r>
                  <w:r>
                    <w:rPr>
                      <w:sz w:val="21"/>
                      <w:szCs w:val="21"/>
                    </w:rPr>
                    <w:t>钻井泥浆</w:t>
                  </w:r>
                  <w:r>
                    <w:rPr>
                      <w:rFonts w:hint="eastAsia"/>
                      <w:sz w:val="21"/>
                      <w:szCs w:val="21"/>
                    </w:rPr>
                    <w:t>：由钻井队回收利用。</w:t>
                  </w:r>
                </w:p>
                <w:p w14:paraId="40167C70">
                  <w:pPr>
                    <w:jc w:val="center"/>
                    <w:rPr>
                      <w:sz w:val="21"/>
                      <w:szCs w:val="21"/>
                    </w:rPr>
                  </w:pPr>
                  <w:r>
                    <w:rPr>
                      <w:rFonts w:hint="eastAsia"/>
                      <w:sz w:val="21"/>
                      <w:szCs w:val="21"/>
                    </w:rPr>
                    <w:t>4、废机油、废油桶、含油抹布</w:t>
                  </w:r>
                  <w:r>
                    <w:rPr>
                      <w:sz w:val="21"/>
                      <w:szCs w:val="21"/>
                    </w:rPr>
                    <w:t>：设置一座</w:t>
                  </w:r>
                  <w:r>
                    <w:rPr>
                      <w:rFonts w:hint="eastAsia"/>
                      <w:sz w:val="21"/>
                      <w:szCs w:val="21"/>
                    </w:rPr>
                    <w:t>危废暂存间</w:t>
                  </w:r>
                  <w:r>
                    <w:rPr>
                      <w:sz w:val="21"/>
                      <w:szCs w:val="21"/>
                    </w:rPr>
                    <w:t>（10m</w:t>
                  </w:r>
                  <w:r>
                    <w:rPr>
                      <w:sz w:val="21"/>
                      <w:szCs w:val="21"/>
                      <w:vertAlign w:val="superscript"/>
                    </w:rPr>
                    <w:t>2</w:t>
                  </w:r>
                  <w:r>
                    <w:rPr>
                      <w:sz w:val="21"/>
                      <w:szCs w:val="21"/>
                    </w:rPr>
                    <w:t>），用于暂存废机油、废油桶、含油抹布，按照危废暂存规范采</w:t>
                  </w:r>
                  <w:r>
                    <w:rPr>
                      <w:rFonts w:hint="eastAsia"/>
                      <w:sz w:val="21"/>
                      <w:szCs w:val="21"/>
                    </w:rPr>
                    <w:t>取“四防”措</w:t>
                  </w:r>
                  <w:r>
                    <w:rPr>
                      <w:sz w:val="21"/>
                      <w:szCs w:val="21"/>
                    </w:rPr>
                    <w:t>施，定期由</w:t>
                  </w:r>
                  <w:r>
                    <w:rPr>
                      <w:rFonts w:hint="eastAsia"/>
                      <w:sz w:val="21"/>
                      <w:szCs w:val="21"/>
                    </w:rPr>
                    <w:t>有危废</w:t>
                  </w:r>
                  <w:r>
                    <w:rPr>
                      <w:sz w:val="21"/>
                      <w:szCs w:val="21"/>
                    </w:rPr>
                    <w:t>资质单位运输处理。</w:t>
                  </w:r>
                </w:p>
                <w:p w14:paraId="39B0B412">
                  <w:pPr>
                    <w:jc w:val="center"/>
                    <w:rPr>
                      <w:sz w:val="21"/>
                      <w:szCs w:val="21"/>
                    </w:rPr>
                  </w:pPr>
                  <w:r>
                    <w:rPr>
                      <w:rFonts w:hint="eastAsia"/>
                      <w:sz w:val="21"/>
                      <w:szCs w:val="21"/>
                    </w:rPr>
                    <w:t>5、</w:t>
                  </w:r>
                  <w:r>
                    <w:rPr>
                      <w:sz w:val="21"/>
                      <w:szCs w:val="21"/>
                    </w:rPr>
                    <w:t>废包装材料：集中收集后由物资公司进行回收处理。</w:t>
                  </w:r>
                </w:p>
              </w:tc>
              <w:tc>
                <w:tcPr>
                  <w:tcW w:w="1438" w:type="pct"/>
                  <w:vAlign w:val="center"/>
                </w:tcPr>
                <w:p w14:paraId="4AF8F925">
                  <w:pPr>
                    <w:jc w:val="center"/>
                    <w:rPr>
                      <w:sz w:val="21"/>
                      <w:szCs w:val="21"/>
                    </w:rPr>
                  </w:pPr>
                  <w:r>
                    <w:rPr>
                      <w:rFonts w:hint="eastAsia"/>
                      <w:sz w:val="21"/>
                      <w:szCs w:val="21"/>
                    </w:rPr>
                    <w:t>1、</w:t>
                  </w:r>
                  <w:r>
                    <w:rPr>
                      <w:sz w:val="21"/>
                      <w:szCs w:val="21"/>
                    </w:rPr>
                    <w:t>生活垃圾</w:t>
                  </w:r>
                  <w:r>
                    <w:rPr>
                      <w:rFonts w:hint="eastAsia"/>
                      <w:sz w:val="21"/>
                      <w:szCs w:val="21"/>
                    </w:rPr>
                    <w:t>，</w:t>
                  </w:r>
                  <w:r>
                    <w:rPr>
                      <w:sz w:val="21"/>
                      <w:szCs w:val="21"/>
                    </w:rPr>
                    <w:t>生活区设1个，定期外运周边村镇垃圾收集点。</w:t>
                  </w:r>
                </w:p>
                <w:p w14:paraId="4C7ADBC7">
                  <w:pPr>
                    <w:jc w:val="center"/>
                    <w:rPr>
                      <w:sz w:val="21"/>
                      <w:szCs w:val="21"/>
                    </w:rPr>
                  </w:pPr>
                  <w:r>
                    <w:rPr>
                      <w:rFonts w:hint="eastAsia"/>
                      <w:sz w:val="21"/>
                      <w:szCs w:val="21"/>
                    </w:rPr>
                    <w:t>2、</w:t>
                  </w:r>
                  <w:r>
                    <w:rPr>
                      <w:sz w:val="21"/>
                      <w:szCs w:val="21"/>
                    </w:rPr>
                    <w:t>水基岩屑</w:t>
                  </w:r>
                  <w:r>
                    <w:rPr>
                      <w:rFonts w:hint="eastAsia"/>
                      <w:sz w:val="21"/>
                      <w:szCs w:val="21"/>
                    </w:rPr>
                    <w:t>、泥渣</w:t>
                  </w:r>
                  <w:r>
                    <w:rPr>
                      <w:sz w:val="21"/>
                      <w:szCs w:val="21"/>
                    </w:rPr>
                    <w:t>：设置1座清洁化操作平台，用于收集、处理、暂存泥浆循环处理系统产生的固相物质。平台内设专业岩屑堆存区，占地约50m</w:t>
                  </w:r>
                  <w:r>
                    <w:rPr>
                      <w:sz w:val="21"/>
                      <w:szCs w:val="21"/>
                      <w:vertAlign w:val="superscript"/>
                    </w:rPr>
                    <w:t>2</w:t>
                  </w:r>
                  <w:r>
                    <w:rPr>
                      <w:sz w:val="21"/>
                      <w:szCs w:val="21"/>
                    </w:rPr>
                    <w:t>，用于暂存水基岩屑</w:t>
                  </w:r>
                  <w:r>
                    <w:rPr>
                      <w:rFonts w:hint="eastAsia"/>
                      <w:sz w:val="21"/>
                      <w:szCs w:val="21"/>
                    </w:rPr>
                    <w:t>以及泥渣</w:t>
                  </w:r>
                  <w:r>
                    <w:rPr>
                      <w:sz w:val="21"/>
                      <w:szCs w:val="21"/>
                    </w:rPr>
                    <w:t>，后期外</w:t>
                  </w:r>
                  <w:r>
                    <w:rPr>
                      <w:rFonts w:hint="eastAsia"/>
                      <w:sz w:val="21"/>
                      <w:szCs w:val="21"/>
                    </w:rPr>
                    <w:t>委</w:t>
                  </w:r>
                  <w:r>
                    <w:rPr>
                      <w:sz w:val="21"/>
                      <w:szCs w:val="21"/>
                    </w:rPr>
                    <w:t>制砖厂家等进行资源化利用。</w:t>
                  </w:r>
                </w:p>
                <w:p w14:paraId="204E4B3E">
                  <w:pPr>
                    <w:jc w:val="center"/>
                    <w:rPr>
                      <w:sz w:val="21"/>
                      <w:szCs w:val="21"/>
                    </w:rPr>
                  </w:pPr>
                  <w:r>
                    <w:rPr>
                      <w:rFonts w:hint="eastAsia"/>
                      <w:sz w:val="21"/>
                      <w:szCs w:val="21"/>
                    </w:rPr>
                    <w:t>3、剩余水基</w:t>
                  </w:r>
                  <w:r>
                    <w:rPr>
                      <w:sz w:val="21"/>
                      <w:szCs w:val="21"/>
                    </w:rPr>
                    <w:t>钻井泥浆</w:t>
                  </w:r>
                  <w:r>
                    <w:rPr>
                      <w:rFonts w:hint="eastAsia"/>
                      <w:sz w:val="21"/>
                      <w:szCs w:val="21"/>
                    </w:rPr>
                    <w:t>：由钻井队回收利用。</w:t>
                  </w:r>
                </w:p>
                <w:p w14:paraId="76A95D37">
                  <w:pPr>
                    <w:jc w:val="center"/>
                    <w:rPr>
                      <w:sz w:val="21"/>
                      <w:szCs w:val="21"/>
                    </w:rPr>
                  </w:pPr>
                  <w:r>
                    <w:rPr>
                      <w:rFonts w:hint="eastAsia"/>
                      <w:sz w:val="21"/>
                      <w:szCs w:val="21"/>
                    </w:rPr>
                    <w:t>4、剩余油基钻井泥浆：项目开工前与有资质的处理单位签订协议，剩余的油基钻井泥浆由储存桶收集后暂存于#2为危废暂存间，后交危废资质单位拉运处置。</w:t>
                  </w:r>
                </w:p>
                <w:p w14:paraId="5A6A030F">
                  <w:pPr>
                    <w:jc w:val="center"/>
                    <w:rPr>
                      <w:sz w:val="21"/>
                      <w:szCs w:val="21"/>
                    </w:rPr>
                  </w:pPr>
                  <w:r>
                    <w:rPr>
                      <w:rFonts w:hint="eastAsia"/>
                      <w:sz w:val="21"/>
                      <w:szCs w:val="21"/>
                    </w:rPr>
                    <w:t>5、油基岩屑：项目在开工前与危废资质处理单位签订协议，由储存桶收集后暂存于#2为危废暂存间，后交危废资质单位拉运处置。</w:t>
                  </w:r>
                </w:p>
                <w:p w14:paraId="30044EDC">
                  <w:pPr>
                    <w:jc w:val="center"/>
                    <w:rPr>
                      <w:sz w:val="21"/>
                      <w:szCs w:val="21"/>
                    </w:rPr>
                  </w:pPr>
                  <w:r>
                    <w:rPr>
                      <w:rFonts w:hint="eastAsia"/>
                      <w:sz w:val="21"/>
                      <w:szCs w:val="21"/>
                    </w:rPr>
                    <w:t>6、废机油、含矿物油废物、沾染毒的</w:t>
                  </w:r>
                  <w:r>
                    <w:rPr>
                      <w:sz w:val="21"/>
                      <w:szCs w:val="21"/>
                    </w:rPr>
                    <w:t>废包装材料：设置</w:t>
                  </w:r>
                  <w:r>
                    <w:rPr>
                      <w:rFonts w:hint="eastAsia"/>
                      <w:sz w:val="21"/>
                      <w:szCs w:val="21"/>
                    </w:rPr>
                    <w:t>#</w:t>
                  </w:r>
                  <w:r>
                    <w:rPr>
                      <w:sz w:val="21"/>
                      <w:szCs w:val="21"/>
                    </w:rPr>
                    <w:t>1</w:t>
                  </w:r>
                  <w:r>
                    <w:rPr>
                      <w:rFonts w:hint="eastAsia"/>
                      <w:sz w:val="21"/>
                      <w:szCs w:val="21"/>
                    </w:rPr>
                    <w:t>危废暂存间</w:t>
                  </w:r>
                  <w:r>
                    <w:rPr>
                      <w:sz w:val="21"/>
                      <w:szCs w:val="21"/>
                    </w:rPr>
                    <w:t>（10m</w:t>
                  </w:r>
                  <w:r>
                    <w:rPr>
                      <w:sz w:val="21"/>
                      <w:szCs w:val="21"/>
                      <w:vertAlign w:val="superscript"/>
                    </w:rPr>
                    <w:t>2</w:t>
                  </w:r>
                  <w:r>
                    <w:rPr>
                      <w:sz w:val="21"/>
                      <w:szCs w:val="21"/>
                    </w:rPr>
                    <w:t>），用于暂存，按照危废暂存规范采</w:t>
                  </w:r>
                  <w:r>
                    <w:rPr>
                      <w:rFonts w:hint="eastAsia"/>
                      <w:sz w:val="21"/>
                      <w:szCs w:val="21"/>
                    </w:rPr>
                    <w:t>取“四防”措</w:t>
                  </w:r>
                  <w:r>
                    <w:rPr>
                      <w:sz w:val="21"/>
                      <w:szCs w:val="21"/>
                    </w:rPr>
                    <w:t>施，定期由</w:t>
                  </w:r>
                  <w:r>
                    <w:rPr>
                      <w:rFonts w:hint="eastAsia"/>
                      <w:sz w:val="21"/>
                      <w:szCs w:val="21"/>
                    </w:rPr>
                    <w:t>有危废</w:t>
                  </w:r>
                  <w:r>
                    <w:rPr>
                      <w:sz w:val="21"/>
                      <w:szCs w:val="21"/>
                    </w:rPr>
                    <w:t>资质单位运输处理。</w:t>
                  </w:r>
                </w:p>
                <w:p w14:paraId="305223CA">
                  <w:pPr>
                    <w:jc w:val="center"/>
                    <w:rPr>
                      <w:sz w:val="21"/>
                      <w:szCs w:val="21"/>
                    </w:rPr>
                  </w:pPr>
                  <w:r>
                    <w:rPr>
                      <w:rFonts w:hint="eastAsia"/>
                      <w:sz w:val="21"/>
                      <w:szCs w:val="21"/>
                    </w:rPr>
                    <w:t>7、</w:t>
                  </w:r>
                  <w:r>
                    <w:rPr>
                      <w:sz w:val="21"/>
                      <w:szCs w:val="21"/>
                    </w:rPr>
                    <w:t>废包装材料：集中收集后由物资公司进行回收处理。</w:t>
                  </w:r>
                </w:p>
              </w:tc>
              <w:tc>
                <w:tcPr>
                  <w:tcW w:w="661" w:type="pct"/>
                  <w:vAlign w:val="center"/>
                </w:tcPr>
                <w:p w14:paraId="5A33DC5D">
                  <w:pPr>
                    <w:jc w:val="center"/>
                    <w:rPr>
                      <w:sz w:val="21"/>
                      <w:szCs w:val="21"/>
                    </w:rPr>
                  </w:pPr>
                  <w:r>
                    <w:rPr>
                      <w:rFonts w:hint="eastAsia"/>
                      <w:sz w:val="21"/>
                      <w:szCs w:val="21"/>
                    </w:rPr>
                    <w:t>新增油基岩屑、油基泥浆的处理，其他固体废物依托现有工程。</w:t>
                  </w:r>
                </w:p>
              </w:tc>
            </w:tr>
            <w:tr w14:paraId="07D1B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3" w:type="pct"/>
                  <w:gridSpan w:val="2"/>
                  <w:vMerge w:val="continue"/>
                  <w:vAlign w:val="center"/>
                </w:tcPr>
                <w:p w14:paraId="31C4BFAA">
                  <w:pPr>
                    <w:jc w:val="center"/>
                    <w:rPr>
                      <w:sz w:val="21"/>
                      <w:szCs w:val="21"/>
                    </w:rPr>
                  </w:pPr>
                </w:p>
              </w:tc>
              <w:tc>
                <w:tcPr>
                  <w:tcW w:w="426" w:type="pct"/>
                  <w:vAlign w:val="center"/>
                </w:tcPr>
                <w:p w14:paraId="63F9A357">
                  <w:pPr>
                    <w:jc w:val="center"/>
                    <w:rPr>
                      <w:sz w:val="21"/>
                      <w:szCs w:val="21"/>
                    </w:rPr>
                  </w:pPr>
                  <w:r>
                    <w:rPr>
                      <w:rFonts w:hint="eastAsia"/>
                      <w:sz w:val="21"/>
                      <w:szCs w:val="21"/>
                    </w:rPr>
                    <w:t>环境风险</w:t>
                  </w:r>
                </w:p>
              </w:tc>
              <w:tc>
                <w:tcPr>
                  <w:tcW w:w="1520" w:type="pct"/>
                  <w:shd w:val="clear" w:color="auto" w:fill="auto"/>
                  <w:vAlign w:val="center"/>
                </w:tcPr>
                <w:p w14:paraId="7AFC1E7D">
                  <w:pPr>
                    <w:jc w:val="center"/>
                    <w:rPr>
                      <w:sz w:val="21"/>
                      <w:szCs w:val="21"/>
                    </w:rPr>
                  </w:pPr>
                  <w:r>
                    <w:rPr>
                      <w:rFonts w:hint="eastAsia"/>
                      <w:sz w:val="21"/>
                      <w:szCs w:val="21"/>
                    </w:rPr>
                    <w:t>油储罐地面应做硬化，罐底设置防渗膜，并在四周设置围堰；根据《钻井井控技术规程》（SY/T 6426-2005），钻井现场应配备独立点火系统，点火人员应佩戴防护器具，并在上风方向，将气体引至放喷池点火；开工建设前应进一步开展水文地质条件勘察，查明地下溶洞、暗河分布情况，采用清水强钻套管封隔技术避免钻井液漏失；当池体发生渗漏时，应立即将池体中废水全部转运井场场内用罐体或采用罐车拉运至其他钻井平台池体内暂存；制定应急预案并加强演练；加强环境风险管及物资储备等；加强岩屑、废水运过程的风险管理。</w:t>
                  </w:r>
                </w:p>
              </w:tc>
              <w:tc>
                <w:tcPr>
                  <w:tcW w:w="1438" w:type="pct"/>
                  <w:vAlign w:val="center"/>
                </w:tcPr>
                <w:p w14:paraId="352A921A">
                  <w:pPr>
                    <w:jc w:val="center"/>
                    <w:rPr>
                      <w:sz w:val="21"/>
                      <w:szCs w:val="21"/>
                    </w:rPr>
                  </w:pPr>
                  <w:r>
                    <w:rPr>
                      <w:rFonts w:hint="eastAsia"/>
                      <w:sz w:val="21"/>
                      <w:szCs w:val="21"/>
                    </w:rPr>
                    <w:t>项目油储罐地面做硬化，罐底设置防渗膜，并在四周设置围堰。其他措施依托现有。</w:t>
                  </w:r>
                </w:p>
              </w:tc>
              <w:tc>
                <w:tcPr>
                  <w:tcW w:w="661" w:type="pct"/>
                  <w:vAlign w:val="center"/>
                </w:tcPr>
                <w:p w14:paraId="3D33D07A">
                  <w:pPr>
                    <w:jc w:val="center"/>
                    <w:rPr>
                      <w:sz w:val="21"/>
                      <w:szCs w:val="21"/>
                    </w:rPr>
                  </w:pPr>
                  <w:r>
                    <w:rPr>
                      <w:rFonts w:hint="eastAsia"/>
                      <w:sz w:val="21"/>
                      <w:szCs w:val="21"/>
                    </w:rPr>
                    <w:t>项目油储罐地面做硬化，罐底设置防渗膜，并在四周设置围堰。其他措施依托现有。</w:t>
                  </w:r>
                </w:p>
              </w:tc>
            </w:tr>
          </w:tbl>
          <w:p w14:paraId="3B7ABA3D">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3、项目主要原辅材料及能源消耗</w:t>
            </w:r>
          </w:p>
          <w:p w14:paraId="6E4792EB">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3.1钻井工程主要原辅材料消耗</w:t>
            </w:r>
          </w:p>
          <w:p w14:paraId="4ADC3C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本项目一开采用清水+膨润土浆钻进，二开采用钙钾基聚合物钻井液体系钻进，三开采用油基钻井液，压裂采用压裂液。项目现有的桂融页4</w:t>
            </w:r>
            <w:r>
              <w:t>-1HF</w:t>
            </w:r>
            <w:r>
              <w:rPr>
                <w:rFonts w:hint="eastAsia"/>
              </w:rPr>
              <w:t>井已经完成导管、一开以及二开开次，导管开次使用清水钻井液，一开开次使用清水+膨润土浆钻井液、二开开次使用钙钾基聚合物钻井液，改扩建后项目增加五口井，钻井液使用量增加，同时增加油基钻井液的使用。项目钻井液使用情况如下表所示。</w:t>
            </w:r>
          </w:p>
          <w:p w14:paraId="7E0EBE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 xml:space="preserve">表2-3 </w:t>
            </w:r>
            <w:r>
              <w:rPr>
                <w:b/>
                <w:bCs/>
              </w:rPr>
              <w:t>项目</w:t>
            </w:r>
            <w:r>
              <w:rPr>
                <w:rFonts w:hint="eastAsia"/>
                <w:b/>
                <w:bCs/>
              </w:rPr>
              <w:t>钻井液使用情况</w:t>
            </w:r>
            <w:r>
              <w:rPr>
                <w:b/>
                <w:bCs/>
              </w:rPr>
              <w:t>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2"/>
              <w:gridCol w:w="1392"/>
              <w:gridCol w:w="1668"/>
              <w:gridCol w:w="876"/>
              <w:gridCol w:w="2284"/>
              <w:gridCol w:w="1213"/>
            </w:tblGrid>
            <w:tr w14:paraId="6461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12" w:type="pct"/>
                  <w:vAlign w:val="center"/>
                </w:tcPr>
                <w:p w14:paraId="16B62362">
                  <w:pPr>
                    <w:jc w:val="center"/>
                    <w:rPr>
                      <w:b/>
                      <w:bCs/>
                      <w:sz w:val="21"/>
                      <w:szCs w:val="21"/>
                    </w:rPr>
                  </w:pPr>
                  <w:r>
                    <w:rPr>
                      <w:rFonts w:hint="eastAsia"/>
                      <w:b/>
                      <w:bCs/>
                      <w:sz w:val="21"/>
                      <w:szCs w:val="21"/>
                    </w:rPr>
                    <w:t>开次</w:t>
                  </w:r>
                </w:p>
              </w:tc>
              <w:tc>
                <w:tcPr>
                  <w:tcW w:w="784" w:type="pct"/>
                  <w:vAlign w:val="center"/>
                </w:tcPr>
                <w:p w14:paraId="647817FA">
                  <w:pPr>
                    <w:jc w:val="center"/>
                    <w:rPr>
                      <w:b/>
                      <w:bCs/>
                      <w:sz w:val="21"/>
                      <w:szCs w:val="21"/>
                    </w:rPr>
                  </w:pPr>
                  <w:r>
                    <w:rPr>
                      <w:rFonts w:hint="eastAsia"/>
                      <w:b/>
                      <w:bCs/>
                      <w:sz w:val="21"/>
                      <w:szCs w:val="21"/>
                    </w:rPr>
                    <w:t>井段（m）</w:t>
                  </w:r>
                </w:p>
              </w:tc>
              <w:tc>
                <w:tcPr>
                  <w:tcW w:w="939" w:type="pct"/>
                  <w:vAlign w:val="center"/>
                </w:tcPr>
                <w:p w14:paraId="6E3CC68E">
                  <w:pPr>
                    <w:jc w:val="center"/>
                    <w:rPr>
                      <w:b/>
                      <w:bCs/>
                      <w:sz w:val="21"/>
                      <w:szCs w:val="21"/>
                    </w:rPr>
                  </w:pPr>
                  <w:r>
                    <w:rPr>
                      <w:rFonts w:hint="eastAsia"/>
                      <w:b/>
                      <w:bCs/>
                      <w:sz w:val="21"/>
                      <w:szCs w:val="21"/>
                    </w:rPr>
                    <w:t>钻井液类型</w:t>
                  </w:r>
                </w:p>
              </w:tc>
              <w:tc>
                <w:tcPr>
                  <w:tcW w:w="493" w:type="pct"/>
                  <w:vAlign w:val="center"/>
                </w:tcPr>
                <w:p w14:paraId="2C9A35A4">
                  <w:pPr>
                    <w:jc w:val="center"/>
                    <w:rPr>
                      <w:b/>
                      <w:bCs/>
                      <w:sz w:val="21"/>
                      <w:szCs w:val="21"/>
                    </w:rPr>
                  </w:pPr>
                  <w:r>
                    <w:rPr>
                      <w:rFonts w:hint="eastAsia"/>
                      <w:b/>
                      <w:bCs/>
                      <w:sz w:val="21"/>
                      <w:szCs w:val="21"/>
                    </w:rPr>
                    <w:t>单位</w:t>
                  </w:r>
                </w:p>
              </w:tc>
              <w:tc>
                <w:tcPr>
                  <w:tcW w:w="1286" w:type="pct"/>
                  <w:vAlign w:val="center"/>
                </w:tcPr>
                <w:p w14:paraId="33089864">
                  <w:pPr>
                    <w:jc w:val="center"/>
                    <w:rPr>
                      <w:b/>
                      <w:bCs/>
                      <w:sz w:val="21"/>
                      <w:szCs w:val="21"/>
                    </w:rPr>
                  </w:pPr>
                  <w:r>
                    <w:rPr>
                      <w:rFonts w:hint="eastAsia"/>
                      <w:b/>
                      <w:bCs/>
                      <w:sz w:val="21"/>
                      <w:szCs w:val="21"/>
                    </w:rPr>
                    <w:t>本项目总用量（m</w:t>
                  </w:r>
                  <w:r>
                    <w:rPr>
                      <w:rFonts w:hint="eastAsia"/>
                      <w:b/>
                      <w:bCs/>
                      <w:sz w:val="21"/>
                      <w:szCs w:val="21"/>
                      <w:vertAlign w:val="superscript"/>
                    </w:rPr>
                    <w:t>3</w:t>
                  </w:r>
                  <w:r>
                    <w:rPr>
                      <w:rFonts w:hint="eastAsia"/>
                      <w:b/>
                      <w:bCs/>
                      <w:sz w:val="21"/>
                      <w:szCs w:val="21"/>
                    </w:rPr>
                    <w:t>）</w:t>
                  </w:r>
                </w:p>
              </w:tc>
              <w:tc>
                <w:tcPr>
                  <w:tcW w:w="683" w:type="pct"/>
                  <w:vAlign w:val="center"/>
                </w:tcPr>
                <w:p w14:paraId="6BCAF690">
                  <w:pPr>
                    <w:jc w:val="center"/>
                    <w:rPr>
                      <w:b/>
                      <w:bCs/>
                      <w:sz w:val="21"/>
                      <w:szCs w:val="21"/>
                    </w:rPr>
                  </w:pPr>
                  <w:r>
                    <w:rPr>
                      <w:rFonts w:hint="eastAsia"/>
                      <w:b/>
                      <w:bCs/>
                      <w:sz w:val="21"/>
                      <w:szCs w:val="21"/>
                    </w:rPr>
                    <w:t>来源</w:t>
                  </w:r>
                </w:p>
              </w:tc>
            </w:tr>
            <w:tr w14:paraId="4FE7A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12" w:type="pct"/>
                  <w:vAlign w:val="center"/>
                </w:tcPr>
                <w:p w14:paraId="501E5E1A">
                  <w:pPr>
                    <w:jc w:val="center"/>
                    <w:rPr>
                      <w:sz w:val="21"/>
                      <w:szCs w:val="21"/>
                    </w:rPr>
                  </w:pPr>
                  <w:r>
                    <w:rPr>
                      <w:rFonts w:hint="eastAsia"/>
                      <w:sz w:val="21"/>
                      <w:szCs w:val="21"/>
                    </w:rPr>
                    <w:t>导管</w:t>
                  </w:r>
                </w:p>
              </w:tc>
              <w:tc>
                <w:tcPr>
                  <w:tcW w:w="784" w:type="pct"/>
                  <w:vAlign w:val="center"/>
                </w:tcPr>
                <w:p w14:paraId="380CE3A3">
                  <w:pPr>
                    <w:jc w:val="center"/>
                    <w:rPr>
                      <w:sz w:val="21"/>
                      <w:szCs w:val="21"/>
                    </w:rPr>
                  </w:pPr>
                  <w:r>
                    <w:rPr>
                      <w:sz w:val="21"/>
                      <w:szCs w:val="21"/>
                    </w:rPr>
                    <w:t>0-</w:t>
                  </w:r>
                  <w:r>
                    <w:rPr>
                      <w:rFonts w:hint="eastAsia"/>
                      <w:sz w:val="21"/>
                      <w:szCs w:val="21"/>
                    </w:rPr>
                    <w:t>50</w:t>
                  </w:r>
                </w:p>
              </w:tc>
              <w:tc>
                <w:tcPr>
                  <w:tcW w:w="939" w:type="pct"/>
                  <w:vAlign w:val="center"/>
                </w:tcPr>
                <w:p w14:paraId="6185B609">
                  <w:pPr>
                    <w:jc w:val="center"/>
                    <w:rPr>
                      <w:sz w:val="21"/>
                      <w:szCs w:val="21"/>
                    </w:rPr>
                  </w:pPr>
                  <w:r>
                    <w:rPr>
                      <w:rFonts w:hint="eastAsia"/>
                      <w:sz w:val="21"/>
                      <w:szCs w:val="21"/>
                    </w:rPr>
                    <w:t>清水</w:t>
                  </w:r>
                </w:p>
              </w:tc>
              <w:tc>
                <w:tcPr>
                  <w:tcW w:w="493" w:type="pct"/>
                  <w:vAlign w:val="center"/>
                </w:tcPr>
                <w:p w14:paraId="61A55E98">
                  <w:pPr>
                    <w:jc w:val="center"/>
                    <w:rPr>
                      <w:sz w:val="21"/>
                      <w:szCs w:val="21"/>
                    </w:rPr>
                  </w:pPr>
                  <w:r>
                    <w:rPr>
                      <w:rFonts w:hint="eastAsia"/>
                      <w:sz w:val="21"/>
                      <w:szCs w:val="21"/>
                    </w:rPr>
                    <w:t>m</w:t>
                  </w:r>
                  <w:r>
                    <w:rPr>
                      <w:rFonts w:hint="eastAsia"/>
                      <w:sz w:val="21"/>
                      <w:szCs w:val="21"/>
                      <w:vertAlign w:val="superscript"/>
                    </w:rPr>
                    <w:t>3</w:t>
                  </w:r>
                </w:p>
              </w:tc>
              <w:tc>
                <w:tcPr>
                  <w:tcW w:w="1286" w:type="pct"/>
                  <w:vAlign w:val="center"/>
                </w:tcPr>
                <w:p w14:paraId="618215A5">
                  <w:pPr>
                    <w:jc w:val="center"/>
                    <w:rPr>
                      <w:sz w:val="21"/>
                      <w:szCs w:val="21"/>
                    </w:rPr>
                  </w:pPr>
                  <w:r>
                    <w:rPr>
                      <w:rFonts w:hint="eastAsia"/>
                      <w:sz w:val="21"/>
                      <w:szCs w:val="21"/>
                    </w:rPr>
                    <w:t>400</w:t>
                  </w:r>
                </w:p>
              </w:tc>
              <w:tc>
                <w:tcPr>
                  <w:tcW w:w="683" w:type="pct"/>
                  <w:vAlign w:val="center"/>
                </w:tcPr>
                <w:p w14:paraId="568538FA">
                  <w:pPr>
                    <w:jc w:val="center"/>
                    <w:rPr>
                      <w:sz w:val="21"/>
                      <w:szCs w:val="21"/>
                    </w:rPr>
                  </w:pPr>
                  <w:r>
                    <w:rPr>
                      <w:rFonts w:hint="eastAsia"/>
                      <w:sz w:val="21"/>
                      <w:szCs w:val="21"/>
                    </w:rPr>
                    <w:t>现场配置</w:t>
                  </w:r>
                </w:p>
              </w:tc>
            </w:tr>
            <w:tr w14:paraId="2C5B4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12" w:type="pct"/>
                  <w:vAlign w:val="center"/>
                </w:tcPr>
                <w:p w14:paraId="0501CFC9">
                  <w:pPr>
                    <w:jc w:val="center"/>
                    <w:rPr>
                      <w:sz w:val="21"/>
                      <w:szCs w:val="21"/>
                    </w:rPr>
                  </w:pPr>
                  <w:r>
                    <w:rPr>
                      <w:rFonts w:hint="eastAsia"/>
                      <w:sz w:val="21"/>
                      <w:szCs w:val="21"/>
                    </w:rPr>
                    <w:t>一开</w:t>
                  </w:r>
                </w:p>
              </w:tc>
              <w:tc>
                <w:tcPr>
                  <w:tcW w:w="784" w:type="pct"/>
                  <w:vAlign w:val="center"/>
                </w:tcPr>
                <w:p w14:paraId="318D0EDD">
                  <w:pPr>
                    <w:jc w:val="center"/>
                    <w:rPr>
                      <w:sz w:val="21"/>
                      <w:szCs w:val="21"/>
                    </w:rPr>
                  </w:pPr>
                  <w:r>
                    <w:rPr>
                      <w:rFonts w:hint="eastAsia"/>
                      <w:sz w:val="21"/>
                      <w:szCs w:val="21"/>
                    </w:rPr>
                    <w:t>50-1213</w:t>
                  </w:r>
                </w:p>
              </w:tc>
              <w:tc>
                <w:tcPr>
                  <w:tcW w:w="939" w:type="pct"/>
                  <w:vAlign w:val="center"/>
                </w:tcPr>
                <w:p w14:paraId="0B7FFAA5">
                  <w:pPr>
                    <w:jc w:val="center"/>
                    <w:rPr>
                      <w:sz w:val="21"/>
                      <w:szCs w:val="21"/>
                    </w:rPr>
                  </w:pPr>
                  <w:r>
                    <w:rPr>
                      <w:rFonts w:hint="eastAsia"/>
                      <w:sz w:val="21"/>
                      <w:szCs w:val="21"/>
                    </w:rPr>
                    <w:t>清水+膨润土浆钻井液体系</w:t>
                  </w:r>
                </w:p>
              </w:tc>
              <w:tc>
                <w:tcPr>
                  <w:tcW w:w="493" w:type="pct"/>
                  <w:vAlign w:val="center"/>
                </w:tcPr>
                <w:p w14:paraId="47BF54EC">
                  <w:pPr>
                    <w:jc w:val="center"/>
                    <w:rPr>
                      <w:sz w:val="21"/>
                      <w:szCs w:val="21"/>
                    </w:rPr>
                  </w:pPr>
                  <w:r>
                    <w:rPr>
                      <w:rFonts w:hint="eastAsia"/>
                      <w:sz w:val="21"/>
                      <w:szCs w:val="21"/>
                    </w:rPr>
                    <w:t>m</w:t>
                  </w:r>
                  <w:r>
                    <w:rPr>
                      <w:rFonts w:hint="eastAsia"/>
                      <w:sz w:val="21"/>
                      <w:szCs w:val="21"/>
                      <w:vertAlign w:val="superscript"/>
                    </w:rPr>
                    <w:t>3</w:t>
                  </w:r>
                </w:p>
              </w:tc>
              <w:tc>
                <w:tcPr>
                  <w:tcW w:w="1286" w:type="pct"/>
                  <w:vAlign w:val="center"/>
                </w:tcPr>
                <w:p w14:paraId="2233FAE3">
                  <w:pPr>
                    <w:jc w:val="center"/>
                    <w:rPr>
                      <w:sz w:val="21"/>
                      <w:szCs w:val="21"/>
                    </w:rPr>
                  </w:pPr>
                  <w:r>
                    <w:rPr>
                      <w:rFonts w:hint="eastAsia"/>
                      <w:sz w:val="21"/>
                      <w:szCs w:val="21"/>
                    </w:rPr>
                    <w:t>2100</w:t>
                  </w:r>
                </w:p>
              </w:tc>
              <w:tc>
                <w:tcPr>
                  <w:tcW w:w="683" w:type="pct"/>
                  <w:vAlign w:val="center"/>
                </w:tcPr>
                <w:p w14:paraId="3F2C94F5">
                  <w:pPr>
                    <w:jc w:val="center"/>
                    <w:rPr>
                      <w:sz w:val="21"/>
                      <w:szCs w:val="21"/>
                    </w:rPr>
                  </w:pPr>
                  <w:r>
                    <w:rPr>
                      <w:rFonts w:hint="eastAsia"/>
                      <w:sz w:val="21"/>
                      <w:szCs w:val="21"/>
                    </w:rPr>
                    <w:t>现场配置</w:t>
                  </w:r>
                </w:p>
              </w:tc>
            </w:tr>
            <w:tr w14:paraId="3D717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12" w:type="pct"/>
                  <w:vAlign w:val="center"/>
                </w:tcPr>
                <w:p w14:paraId="43E19606">
                  <w:pPr>
                    <w:jc w:val="center"/>
                    <w:rPr>
                      <w:sz w:val="21"/>
                      <w:szCs w:val="21"/>
                    </w:rPr>
                  </w:pPr>
                  <w:r>
                    <w:rPr>
                      <w:rFonts w:hint="eastAsia"/>
                      <w:sz w:val="21"/>
                      <w:szCs w:val="21"/>
                    </w:rPr>
                    <w:t>二开</w:t>
                  </w:r>
                  <w:r>
                    <w:rPr>
                      <w:sz w:val="21"/>
                      <w:szCs w:val="21"/>
                    </w:rPr>
                    <w:t>直、斜井</w:t>
                  </w:r>
                </w:p>
              </w:tc>
              <w:tc>
                <w:tcPr>
                  <w:tcW w:w="784" w:type="pct"/>
                  <w:vAlign w:val="center"/>
                </w:tcPr>
                <w:p w14:paraId="4045431D">
                  <w:pPr>
                    <w:jc w:val="center"/>
                    <w:rPr>
                      <w:sz w:val="21"/>
                      <w:szCs w:val="21"/>
                    </w:rPr>
                  </w:pPr>
                  <w:r>
                    <w:rPr>
                      <w:rFonts w:hint="eastAsia"/>
                      <w:sz w:val="21"/>
                      <w:szCs w:val="21"/>
                    </w:rPr>
                    <w:t>1213</w:t>
                  </w:r>
                  <w:r>
                    <w:rPr>
                      <w:sz w:val="21"/>
                      <w:szCs w:val="21"/>
                    </w:rPr>
                    <w:t>-</w:t>
                  </w:r>
                  <w:r>
                    <w:rPr>
                      <w:rFonts w:hint="eastAsia"/>
                      <w:sz w:val="21"/>
                      <w:szCs w:val="21"/>
                    </w:rPr>
                    <w:t>1631</w:t>
                  </w:r>
                </w:p>
              </w:tc>
              <w:tc>
                <w:tcPr>
                  <w:tcW w:w="939" w:type="pct"/>
                  <w:vAlign w:val="center"/>
                </w:tcPr>
                <w:p w14:paraId="3C2C8EB2">
                  <w:pPr>
                    <w:jc w:val="center"/>
                    <w:rPr>
                      <w:sz w:val="21"/>
                      <w:szCs w:val="21"/>
                    </w:rPr>
                  </w:pPr>
                  <w:r>
                    <w:rPr>
                      <w:sz w:val="21"/>
                      <w:szCs w:val="21"/>
                    </w:rPr>
                    <w:t>钙钾基聚合物钻井液体系</w:t>
                  </w:r>
                </w:p>
              </w:tc>
              <w:tc>
                <w:tcPr>
                  <w:tcW w:w="493" w:type="pct"/>
                  <w:vAlign w:val="center"/>
                </w:tcPr>
                <w:p w14:paraId="146B105E">
                  <w:pPr>
                    <w:jc w:val="center"/>
                    <w:rPr>
                      <w:sz w:val="21"/>
                      <w:szCs w:val="21"/>
                    </w:rPr>
                  </w:pPr>
                  <w:r>
                    <w:rPr>
                      <w:rFonts w:hint="eastAsia"/>
                      <w:sz w:val="21"/>
                      <w:szCs w:val="21"/>
                    </w:rPr>
                    <w:t>m</w:t>
                  </w:r>
                  <w:r>
                    <w:rPr>
                      <w:rFonts w:hint="eastAsia"/>
                      <w:sz w:val="21"/>
                      <w:szCs w:val="21"/>
                      <w:vertAlign w:val="superscript"/>
                    </w:rPr>
                    <w:t>3</w:t>
                  </w:r>
                </w:p>
              </w:tc>
              <w:tc>
                <w:tcPr>
                  <w:tcW w:w="1286" w:type="pct"/>
                  <w:vAlign w:val="center"/>
                </w:tcPr>
                <w:p w14:paraId="5E91D145">
                  <w:pPr>
                    <w:jc w:val="center"/>
                    <w:rPr>
                      <w:sz w:val="21"/>
                      <w:szCs w:val="21"/>
                    </w:rPr>
                  </w:pPr>
                  <w:r>
                    <w:rPr>
                      <w:rFonts w:hint="eastAsia"/>
                      <w:sz w:val="21"/>
                      <w:szCs w:val="21"/>
                    </w:rPr>
                    <w:t>700</w:t>
                  </w:r>
                </w:p>
              </w:tc>
              <w:tc>
                <w:tcPr>
                  <w:tcW w:w="683" w:type="pct"/>
                  <w:vAlign w:val="center"/>
                </w:tcPr>
                <w:p w14:paraId="1B163164">
                  <w:pPr>
                    <w:jc w:val="center"/>
                    <w:rPr>
                      <w:sz w:val="21"/>
                      <w:szCs w:val="21"/>
                    </w:rPr>
                  </w:pPr>
                  <w:r>
                    <w:rPr>
                      <w:rFonts w:hint="eastAsia"/>
                      <w:sz w:val="21"/>
                      <w:szCs w:val="21"/>
                    </w:rPr>
                    <w:t>现场配置</w:t>
                  </w:r>
                </w:p>
              </w:tc>
            </w:tr>
            <w:tr w14:paraId="644B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 w:hRule="atLeast"/>
                <w:jc w:val="center"/>
              </w:trPr>
              <w:tc>
                <w:tcPr>
                  <w:tcW w:w="812" w:type="pct"/>
                  <w:vAlign w:val="center"/>
                </w:tcPr>
                <w:p w14:paraId="45E1DB9A">
                  <w:pPr>
                    <w:jc w:val="center"/>
                    <w:rPr>
                      <w:sz w:val="21"/>
                      <w:szCs w:val="21"/>
                    </w:rPr>
                  </w:pPr>
                  <w:r>
                    <w:rPr>
                      <w:rFonts w:hint="eastAsia"/>
                      <w:sz w:val="21"/>
                      <w:szCs w:val="21"/>
                    </w:rPr>
                    <w:t>三</w:t>
                  </w:r>
                  <w:r>
                    <w:rPr>
                      <w:sz w:val="21"/>
                      <w:szCs w:val="21"/>
                    </w:rPr>
                    <w:t>开水平段</w:t>
                  </w:r>
                </w:p>
              </w:tc>
              <w:tc>
                <w:tcPr>
                  <w:tcW w:w="784" w:type="pct"/>
                  <w:vAlign w:val="center"/>
                </w:tcPr>
                <w:p w14:paraId="04B285DB">
                  <w:pPr>
                    <w:jc w:val="center"/>
                    <w:rPr>
                      <w:sz w:val="21"/>
                      <w:szCs w:val="21"/>
                    </w:rPr>
                  </w:pPr>
                  <w:r>
                    <w:rPr>
                      <w:rFonts w:hint="eastAsia"/>
                      <w:sz w:val="21"/>
                      <w:szCs w:val="21"/>
                    </w:rPr>
                    <w:t>1631</w:t>
                  </w:r>
                  <w:r>
                    <w:rPr>
                      <w:sz w:val="21"/>
                      <w:szCs w:val="21"/>
                    </w:rPr>
                    <w:t>-36</w:t>
                  </w:r>
                  <w:r>
                    <w:rPr>
                      <w:rFonts w:hint="eastAsia"/>
                      <w:sz w:val="21"/>
                      <w:szCs w:val="21"/>
                    </w:rPr>
                    <w:t>98</w:t>
                  </w:r>
                </w:p>
              </w:tc>
              <w:tc>
                <w:tcPr>
                  <w:tcW w:w="939" w:type="pct"/>
                  <w:vAlign w:val="center"/>
                </w:tcPr>
                <w:p w14:paraId="4FC5CD0B">
                  <w:pPr>
                    <w:jc w:val="center"/>
                    <w:rPr>
                      <w:sz w:val="21"/>
                      <w:szCs w:val="21"/>
                    </w:rPr>
                  </w:pPr>
                  <w:r>
                    <w:rPr>
                      <w:sz w:val="21"/>
                      <w:szCs w:val="21"/>
                    </w:rPr>
                    <w:t>油基钻井液</w:t>
                  </w:r>
                </w:p>
              </w:tc>
              <w:tc>
                <w:tcPr>
                  <w:tcW w:w="493" w:type="pct"/>
                  <w:vAlign w:val="center"/>
                </w:tcPr>
                <w:p w14:paraId="7257F875">
                  <w:pPr>
                    <w:jc w:val="center"/>
                    <w:rPr>
                      <w:sz w:val="21"/>
                      <w:szCs w:val="21"/>
                    </w:rPr>
                  </w:pPr>
                  <w:r>
                    <w:rPr>
                      <w:rFonts w:hint="eastAsia"/>
                      <w:sz w:val="21"/>
                      <w:szCs w:val="21"/>
                    </w:rPr>
                    <w:t>m</w:t>
                  </w:r>
                  <w:r>
                    <w:rPr>
                      <w:rFonts w:hint="eastAsia"/>
                      <w:sz w:val="21"/>
                      <w:szCs w:val="21"/>
                      <w:vertAlign w:val="superscript"/>
                    </w:rPr>
                    <w:t>3</w:t>
                  </w:r>
                </w:p>
              </w:tc>
              <w:tc>
                <w:tcPr>
                  <w:tcW w:w="1286" w:type="pct"/>
                  <w:vAlign w:val="center"/>
                </w:tcPr>
                <w:p w14:paraId="5C3396A3">
                  <w:pPr>
                    <w:jc w:val="center"/>
                    <w:rPr>
                      <w:sz w:val="21"/>
                      <w:szCs w:val="21"/>
                    </w:rPr>
                  </w:pPr>
                  <w:r>
                    <w:rPr>
                      <w:rFonts w:hint="eastAsia"/>
                      <w:sz w:val="21"/>
                      <w:szCs w:val="21"/>
                    </w:rPr>
                    <w:t>2400</w:t>
                  </w:r>
                </w:p>
              </w:tc>
              <w:tc>
                <w:tcPr>
                  <w:tcW w:w="683" w:type="pct"/>
                  <w:vAlign w:val="center"/>
                </w:tcPr>
                <w:p w14:paraId="4226C474">
                  <w:pPr>
                    <w:jc w:val="center"/>
                    <w:rPr>
                      <w:sz w:val="21"/>
                      <w:szCs w:val="21"/>
                    </w:rPr>
                  </w:pPr>
                  <w:r>
                    <w:rPr>
                      <w:rFonts w:hint="eastAsia"/>
                      <w:sz w:val="21"/>
                      <w:szCs w:val="21"/>
                    </w:rPr>
                    <w:t>现场配置</w:t>
                  </w:r>
                </w:p>
              </w:tc>
            </w:tr>
          </w:tbl>
          <w:p w14:paraId="3EFF4B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（1）清水+膨润土浆钻井液</w:t>
            </w:r>
          </w:p>
          <w:p w14:paraId="630983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清水+膨润土浆钻井液配方如下表所示。</w:t>
            </w:r>
          </w:p>
          <w:p w14:paraId="7EFD162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b/>
                <w:bCs/>
              </w:rPr>
              <w:t>表</w:t>
            </w:r>
            <w:r>
              <w:rPr>
                <w:rFonts w:hint="eastAsia"/>
                <w:b/>
                <w:bCs/>
              </w:rPr>
              <w:t xml:space="preserve">2-4 </w:t>
            </w:r>
            <w:r>
              <w:rPr>
                <w:b/>
                <w:bCs/>
              </w:rPr>
              <w:t>项目清水+膨润土浆钻井液</w:t>
            </w:r>
            <w:r>
              <w:rPr>
                <w:rFonts w:hint="eastAsia"/>
                <w:b/>
                <w:bCs/>
              </w:rPr>
              <w:t>配置材料消耗情况表</w:t>
            </w:r>
          </w:p>
          <w:tbl>
            <w:tblPr>
              <w:tblStyle w:val="1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354"/>
              <w:gridCol w:w="1146"/>
              <w:gridCol w:w="1691"/>
              <w:gridCol w:w="1604"/>
              <w:gridCol w:w="1510"/>
              <w:gridCol w:w="1011"/>
              <w:gridCol w:w="609"/>
              <w:gridCol w:w="950"/>
            </w:tblGrid>
            <w:tr w14:paraId="613F7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4" w:hRule="atLeast"/>
                <w:tblHeader/>
              </w:trPr>
              <w:tc>
                <w:tcPr>
                  <w:tcW w:w="199" w:type="pct"/>
                  <w:tcBorders>
                    <w:top w:val="single" w:color="auto" w:sz="4" w:space="0"/>
                    <w:left w:val="single" w:color="auto" w:sz="4" w:space="0"/>
                    <w:right w:val="single" w:color="auto" w:sz="4" w:space="0"/>
                  </w:tcBorders>
                  <w:shd w:val="clear" w:color="auto" w:fill="FFFFFF"/>
                  <w:vAlign w:val="center"/>
                </w:tcPr>
                <w:p w14:paraId="4E4893B7">
                  <w:pPr>
                    <w:jc w:val="center"/>
                    <w:rPr>
                      <w:b/>
                      <w:bCs/>
                      <w:sz w:val="21"/>
                      <w:szCs w:val="21"/>
                    </w:rPr>
                  </w:pPr>
                  <w:r>
                    <w:rPr>
                      <w:rFonts w:hint="eastAsia"/>
                      <w:b/>
                      <w:bCs/>
                      <w:sz w:val="21"/>
                      <w:szCs w:val="21"/>
                    </w:rPr>
                    <w:t>序号</w:t>
                  </w:r>
                </w:p>
              </w:tc>
              <w:tc>
                <w:tcPr>
                  <w:tcW w:w="645" w:type="pct"/>
                  <w:tcBorders>
                    <w:top w:val="single" w:color="auto" w:sz="4" w:space="0"/>
                    <w:left w:val="single" w:color="auto" w:sz="4" w:space="0"/>
                    <w:right w:val="single" w:color="auto" w:sz="4" w:space="0"/>
                  </w:tcBorders>
                  <w:shd w:val="clear" w:color="auto" w:fill="FFFFFF"/>
                  <w:vAlign w:val="center"/>
                </w:tcPr>
                <w:p w14:paraId="5157A587">
                  <w:pPr>
                    <w:jc w:val="center"/>
                    <w:rPr>
                      <w:b/>
                      <w:bCs/>
                      <w:sz w:val="21"/>
                      <w:szCs w:val="21"/>
                    </w:rPr>
                  </w:pPr>
                  <w:r>
                    <w:rPr>
                      <w:rFonts w:hint="eastAsia"/>
                      <w:b/>
                      <w:bCs/>
                      <w:sz w:val="21"/>
                      <w:szCs w:val="21"/>
                    </w:rPr>
                    <w:t>添加剂名称</w:t>
                  </w:r>
                </w:p>
              </w:tc>
              <w:tc>
                <w:tcPr>
                  <w:tcW w:w="952" w:type="pct"/>
                  <w:tcBorders>
                    <w:top w:val="single" w:color="auto" w:sz="4" w:space="0"/>
                    <w:left w:val="single" w:color="auto" w:sz="4" w:space="0"/>
                    <w:right w:val="single" w:color="auto" w:sz="4" w:space="0"/>
                  </w:tcBorders>
                  <w:shd w:val="clear" w:color="auto" w:fill="FFFFFF"/>
                  <w:vAlign w:val="center"/>
                </w:tcPr>
                <w:p w14:paraId="2A7601EA">
                  <w:pPr>
                    <w:jc w:val="center"/>
                    <w:rPr>
                      <w:b/>
                      <w:bCs/>
                      <w:sz w:val="21"/>
                      <w:szCs w:val="21"/>
                    </w:rPr>
                  </w:pPr>
                  <w:r>
                    <w:rPr>
                      <w:rFonts w:hint="eastAsia"/>
                      <w:b/>
                      <w:bCs/>
                      <w:sz w:val="21"/>
                      <w:szCs w:val="21"/>
                    </w:rPr>
                    <w:t>主要成分</w:t>
                  </w:r>
                </w:p>
              </w:tc>
              <w:tc>
                <w:tcPr>
                  <w:tcW w:w="903" w:type="pct"/>
                  <w:tcBorders>
                    <w:top w:val="single" w:color="auto" w:sz="4" w:space="0"/>
                    <w:left w:val="single" w:color="auto" w:sz="4" w:space="0"/>
                    <w:right w:val="single" w:color="auto" w:sz="4" w:space="0"/>
                  </w:tcBorders>
                  <w:shd w:val="clear" w:color="auto" w:fill="FFFFFF"/>
                  <w:vAlign w:val="center"/>
                </w:tcPr>
                <w:p w14:paraId="0C3427A2">
                  <w:pPr>
                    <w:jc w:val="center"/>
                    <w:rPr>
                      <w:b/>
                      <w:bCs/>
                      <w:sz w:val="21"/>
                      <w:szCs w:val="21"/>
                    </w:rPr>
                  </w:pPr>
                  <w:r>
                    <w:rPr>
                      <w:rFonts w:hint="eastAsia"/>
                      <w:b/>
                      <w:bCs/>
                      <w:sz w:val="21"/>
                      <w:szCs w:val="21"/>
                    </w:rPr>
                    <w:t>本项目总用量（t）</w:t>
                  </w:r>
                </w:p>
              </w:tc>
              <w:tc>
                <w:tcPr>
                  <w:tcW w:w="850" w:type="pct"/>
                  <w:tcBorders>
                    <w:top w:val="single" w:color="auto" w:sz="4" w:space="0"/>
                    <w:left w:val="single" w:color="auto" w:sz="4" w:space="0"/>
                    <w:right w:val="single" w:color="auto" w:sz="4" w:space="0"/>
                  </w:tcBorders>
                  <w:shd w:val="clear" w:color="auto" w:fill="FFFFFF"/>
                  <w:vAlign w:val="center"/>
                </w:tcPr>
                <w:p w14:paraId="47E1191D">
                  <w:pPr>
                    <w:jc w:val="center"/>
                    <w:rPr>
                      <w:b/>
                      <w:bCs/>
                      <w:sz w:val="21"/>
                      <w:szCs w:val="21"/>
                    </w:rPr>
                  </w:pPr>
                  <w:r>
                    <w:rPr>
                      <w:rFonts w:hint="eastAsia"/>
                      <w:b/>
                      <w:bCs/>
                      <w:sz w:val="21"/>
                      <w:szCs w:val="21"/>
                    </w:rPr>
                    <w:t>最大存储量（t）</w:t>
                  </w:r>
                </w:p>
              </w:tc>
              <w:tc>
                <w:tcPr>
                  <w:tcW w:w="569" w:type="pct"/>
                  <w:tcBorders>
                    <w:top w:val="single" w:color="auto" w:sz="4" w:space="0"/>
                    <w:left w:val="single" w:color="auto" w:sz="4" w:space="0"/>
                    <w:right w:val="single" w:color="auto" w:sz="4" w:space="0"/>
                  </w:tcBorders>
                  <w:shd w:val="clear" w:color="auto" w:fill="FFFFFF"/>
                  <w:vAlign w:val="center"/>
                </w:tcPr>
                <w:p w14:paraId="218D4E45">
                  <w:pPr>
                    <w:jc w:val="center"/>
                    <w:rPr>
                      <w:b/>
                      <w:bCs/>
                      <w:sz w:val="21"/>
                      <w:szCs w:val="21"/>
                    </w:rPr>
                  </w:pPr>
                  <w:r>
                    <w:rPr>
                      <w:rFonts w:hint="eastAsia"/>
                      <w:b/>
                      <w:bCs/>
                      <w:sz w:val="21"/>
                      <w:szCs w:val="21"/>
                    </w:rPr>
                    <w:t>储存方式</w:t>
                  </w:r>
                </w:p>
              </w:tc>
              <w:tc>
                <w:tcPr>
                  <w:tcW w:w="343" w:type="pct"/>
                  <w:tcBorders>
                    <w:top w:val="single" w:color="auto" w:sz="4" w:space="0"/>
                    <w:left w:val="single" w:color="auto" w:sz="4" w:space="0"/>
                    <w:right w:val="single" w:color="auto" w:sz="4" w:space="0"/>
                  </w:tcBorders>
                  <w:shd w:val="clear" w:color="auto" w:fill="FFFFFF"/>
                  <w:vAlign w:val="center"/>
                </w:tcPr>
                <w:p w14:paraId="450073A6">
                  <w:pPr>
                    <w:jc w:val="center"/>
                    <w:rPr>
                      <w:b/>
                      <w:bCs/>
                      <w:sz w:val="21"/>
                      <w:szCs w:val="21"/>
                    </w:rPr>
                  </w:pPr>
                  <w:r>
                    <w:rPr>
                      <w:rFonts w:hint="eastAsia"/>
                      <w:b/>
                      <w:bCs/>
                      <w:sz w:val="21"/>
                      <w:szCs w:val="21"/>
                    </w:rPr>
                    <w:t>存放位置</w:t>
                  </w:r>
                </w:p>
              </w:tc>
              <w:tc>
                <w:tcPr>
                  <w:tcW w:w="535" w:type="pct"/>
                  <w:tcBorders>
                    <w:top w:val="single" w:color="auto" w:sz="4" w:space="0"/>
                    <w:left w:val="single" w:color="auto" w:sz="4" w:space="0"/>
                    <w:right w:val="single" w:color="auto" w:sz="4" w:space="0"/>
                  </w:tcBorders>
                  <w:shd w:val="clear" w:color="auto" w:fill="FFFFFF"/>
                  <w:vAlign w:val="center"/>
                </w:tcPr>
                <w:p w14:paraId="3D618531">
                  <w:pPr>
                    <w:jc w:val="center"/>
                    <w:rPr>
                      <w:b/>
                      <w:bCs/>
                      <w:sz w:val="21"/>
                      <w:szCs w:val="21"/>
                    </w:rPr>
                  </w:pPr>
                  <w:r>
                    <w:rPr>
                      <w:rFonts w:hint="eastAsia"/>
                      <w:b/>
                      <w:bCs/>
                      <w:sz w:val="21"/>
                      <w:szCs w:val="21"/>
                    </w:rPr>
                    <w:t>配方(kg/m</w:t>
                  </w:r>
                  <w:r>
                    <w:rPr>
                      <w:rFonts w:hint="eastAsia"/>
                      <w:b/>
                      <w:bCs/>
                      <w:sz w:val="21"/>
                      <w:szCs w:val="21"/>
                      <w:vertAlign w:val="superscript"/>
                    </w:rPr>
                    <w:t>3</w:t>
                  </w:r>
                  <w:r>
                    <w:rPr>
                      <w:rFonts w:hint="eastAsia"/>
                      <w:b/>
                      <w:bCs/>
                      <w:sz w:val="21"/>
                      <w:szCs w:val="21"/>
                    </w:rPr>
                    <w:t>)</w:t>
                  </w:r>
                </w:p>
              </w:tc>
            </w:tr>
            <w:tr w14:paraId="3C9E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9" w:type="pct"/>
                  <w:tcBorders>
                    <w:top w:val="single" w:color="auto" w:sz="4" w:space="0"/>
                    <w:left w:val="single" w:color="auto" w:sz="4" w:space="0"/>
                    <w:bottom w:val="single" w:color="auto" w:sz="4" w:space="0"/>
                    <w:right w:val="single" w:color="auto" w:sz="4" w:space="0"/>
                  </w:tcBorders>
                  <w:shd w:val="clear" w:color="auto" w:fill="FFFFFF"/>
                  <w:vAlign w:val="center"/>
                </w:tcPr>
                <w:p w14:paraId="0D838C44">
                  <w:pPr>
                    <w:jc w:val="center"/>
                    <w:rPr>
                      <w:sz w:val="21"/>
                      <w:szCs w:val="21"/>
                    </w:rPr>
                  </w:pPr>
                  <w:r>
                    <w:rPr>
                      <w:sz w:val="21"/>
                      <w:szCs w:val="21"/>
                    </w:rPr>
                    <w:t>1</w:t>
                  </w:r>
                </w:p>
              </w:tc>
              <w:tc>
                <w:tcPr>
                  <w:tcW w:w="645" w:type="pct"/>
                  <w:tcBorders>
                    <w:top w:val="single" w:color="auto" w:sz="4" w:space="0"/>
                    <w:left w:val="single" w:color="auto" w:sz="4" w:space="0"/>
                    <w:bottom w:val="single" w:color="auto" w:sz="4" w:space="0"/>
                    <w:right w:val="single" w:color="auto" w:sz="4" w:space="0"/>
                  </w:tcBorders>
                  <w:shd w:val="clear" w:color="auto" w:fill="FFFFFF"/>
                  <w:vAlign w:val="center"/>
                </w:tcPr>
                <w:p w14:paraId="0AA8C295">
                  <w:pPr>
                    <w:jc w:val="center"/>
                    <w:rPr>
                      <w:sz w:val="21"/>
                      <w:szCs w:val="21"/>
                    </w:rPr>
                  </w:pPr>
                  <w:r>
                    <w:rPr>
                      <w:rFonts w:hint="eastAsia"/>
                      <w:sz w:val="21"/>
                      <w:szCs w:val="21"/>
                    </w:rPr>
                    <w:t>清水</w:t>
                  </w:r>
                </w:p>
              </w:tc>
              <w:tc>
                <w:tcPr>
                  <w:tcW w:w="952" w:type="pct"/>
                  <w:tcBorders>
                    <w:top w:val="single" w:color="auto" w:sz="4" w:space="0"/>
                    <w:left w:val="single" w:color="auto" w:sz="4" w:space="0"/>
                    <w:bottom w:val="single" w:color="auto" w:sz="4" w:space="0"/>
                    <w:right w:val="single" w:color="auto" w:sz="4" w:space="0"/>
                  </w:tcBorders>
                  <w:shd w:val="clear" w:color="auto" w:fill="FFFFFF"/>
                  <w:vAlign w:val="center"/>
                </w:tcPr>
                <w:p w14:paraId="073D7240">
                  <w:pPr>
                    <w:jc w:val="center"/>
                    <w:rPr>
                      <w:sz w:val="21"/>
                      <w:szCs w:val="21"/>
                    </w:rPr>
                  </w:pPr>
                  <w:r>
                    <w:rPr>
                      <w:rFonts w:hint="eastAsia"/>
                      <w:sz w:val="21"/>
                      <w:szCs w:val="21"/>
                    </w:rPr>
                    <w:t>/</w:t>
                  </w:r>
                </w:p>
              </w:tc>
              <w:tc>
                <w:tcPr>
                  <w:tcW w:w="903" w:type="pct"/>
                  <w:tcBorders>
                    <w:top w:val="single" w:color="auto" w:sz="4" w:space="0"/>
                    <w:left w:val="single" w:color="auto" w:sz="4" w:space="0"/>
                    <w:bottom w:val="single" w:color="auto" w:sz="4" w:space="0"/>
                    <w:right w:val="single" w:color="auto" w:sz="4" w:space="0"/>
                  </w:tcBorders>
                  <w:shd w:val="clear" w:color="auto" w:fill="FFFFFF"/>
                  <w:vAlign w:val="center"/>
                </w:tcPr>
                <w:p w14:paraId="7A46A20F">
                  <w:pPr>
                    <w:jc w:val="center"/>
                    <w:rPr>
                      <w:sz w:val="21"/>
                      <w:szCs w:val="21"/>
                    </w:rPr>
                  </w:pPr>
                  <w:r>
                    <w:rPr>
                      <w:rFonts w:hint="eastAsia"/>
                      <w:sz w:val="21"/>
                      <w:szCs w:val="21"/>
                    </w:rPr>
                    <w:t>2400</w:t>
                  </w:r>
                </w:p>
              </w:tc>
              <w:tc>
                <w:tcPr>
                  <w:tcW w:w="850" w:type="pct"/>
                  <w:tcBorders>
                    <w:top w:val="single" w:color="auto" w:sz="4" w:space="0"/>
                    <w:left w:val="single" w:color="auto" w:sz="4" w:space="0"/>
                    <w:bottom w:val="single" w:color="auto" w:sz="4" w:space="0"/>
                    <w:right w:val="single" w:color="auto" w:sz="4" w:space="0"/>
                  </w:tcBorders>
                  <w:shd w:val="clear" w:color="auto" w:fill="FFFFFF"/>
                  <w:vAlign w:val="center"/>
                </w:tcPr>
                <w:p w14:paraId="02C4049A">
                  <w:pPr>
                    <w:jc w:val="center"/>
                    <w:rPr>
                      <w:sz w:val="21"/>
                      <w:szCs w:val="21"/>
                    </w:rPr>
                  </w:pPr>
                  <w:r>
                    <w:rPr>
                      <w:rFonts w:hint="eastAsia"/>
                      <w:sz w:val="21"/>
                      <w:szCs w:val="21"/>
                    </w:rPr>
                    <w:t>/</w:t>
                  </w:r>
                </w:p>
              </w:tc>
              <w:tc>
                <w:tcPr>
                  <w:tcW w:w="569" w:type="pct"/>
                  <w:tcBorders>
                    <w:top w:val="single" w:color="auto" w:sz="4" w:space="0"/>
                    <w:left w:val="single" w:color="auto" w:sz="4" w:space="0"/>
                    <w:bottom w:val="single" w:color="auto" w:sz="4" w:space="0"/>
                    <w:right w:val="single" w:color="auto" w:sz="4" w:space="0"/>
                  </w:tcBorders>
                  <w:shd w:val="clear" w:color="auto" w:fill="FFFFFF"/>
                  <w:vAlign w:val="center"/>
                </w:tcPr>
                <w:p w14:paraId="34F131D5">
                  <w:pPr>
                    <w:jc w:val="center"/>
                    <w:rPr>
                      <w:sz w:val="21"/>
                      <w:szCs w:val="21"/>
                    </w:rPr>
                  </w:pPr>
                  <w:r>
                    <w:rPr>
                      <w:rFonts w:hint="eastAsia"/>
                      <w:sz w:val="21"/>
                      <w:szCs w:val="21"/>
                    </w:rPr>
                    <w:t>/</w:t>
                  </w:r>
                </w:p>
              </w:tc>
              <w:tc>
                <w:tcPr>
                  <w:tcW w:w="343" w:type="pct"/>
                  <w:tcBorders>
                    <w:top w:val="single" w:color="auto" w:sz="4" w:space="0"/>
                    <w:left w:val="single" w:color="auto" w:sz="4" w:space="0"/>
                    <w:bottom w:val="single" w:color="auto" w:sz="4" w:space="0"/>
                    <w:right w:val="single" w:color="auto" w:sz="4" w:space="0"/>
                  </w:tcBorders>
                  <w:shd w:val="clear" w:color="auto" w:fill="FFFFFF"/>
                  <w:vAlign w:val="center"/>
                </w:tcPr>
                <w:p w14:paraId="24118077">
                  <w:pPr>
                    <w:jc w:val="center"/>
                    <w:rPr>
                      <w:sz w:val="21"/>
                      <w:szCs w:val="21"/>
                    </w:rPr>
                  </w:pPr>
                  <w:r>
                    <w:rPr>
                      <w:rFonts w:hint="eastAsia"/>
                      <w:sz w:val="21"/>
                      <w:szCs w:val="21"/>
                    </w:rPr>
                    <w:t>/</w:t>
                  </w:r>
                </w:p>
              </w:tc>
              <w:tc>
                <w:tcPr>
                  <w:tcW w:w="535" w:type="pct"/>
                  <w:tcBorders>
                    <w:top w:val="single" w:color="auto" w:sz="4" w:space="0"/>
                    <w:left w:val="single" w:color="auto" w:sz="4" w:space="0"/>
                    <w:bottom w:val="single" w:color="auto" w:sz="4" w:space="0"/>
                    <w:right w:val="single" w:color="auto" w:sz="4" w:space="0"/>
                  </w:tcBorders>
                  <w:shd w:val="clear" w:color="auto" w:fill="FFFFFF"/>
                  <w:vAlign w:val="center"/>
                </w:tcPr>
                <w:p w14:paraId="4E7A15AB">
                  <w:pPr>
                    <w:jc w:val="center"/>
                    <w:rPr>
                      <w:sz w:val="21"/>
                      <w:szCs w:val="21"/>
                    </w:rPr>
                  </w:pPr>
                  <w:r>
                    <w:rPr>
                      <w:rFonts w:hint="eastAsia"/>
                      <w:sz w:val="21"/>
                      <w:szCs w:val="21"/>
                    </w:rPr>
                    <w:t>/</w:t>
                  </w:r>
                </w:p>
              </w:tc>
            </w:tr>
            <w:tr w14:paraId="2498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9" w:type="pct"/>
                  <w:tcBorders>
                    <w:top w:val="single" w:color="auto" w:sz="4" w:space="0"/>
                    <w:left w:val="single" w:color="auto" w:sz="4" w:space="0"/>
                    <w:bottom w:val="single" w:color="auto" w:sz="4" w:space="0"/>
                    <w:right w:val="single" w:color="auto" w:sz="4" w:space="0"/>
                  </w:tcBorders>
                  <w:shd w:val="clear" w:color="auto" w:fill="FFFFFF"/>
                  <w:vAlign w:val="center"/>
                </w:tcPr>
                <w:p w14:paraId="19B39313">
                  <w:pPr>
                    <w:jc w:val="center"/>
                    <w:rPr>
                      <w:sz w:val="21"/>
                      <w:szCs w:val="21"/>
                    </w:rPr>
                  </w:pPr>
                  <w:r>
                    <w:rPr>
                      <w:sz w:val="21"/>
                      <w:szCs w:val="21"/>
                    </w:rPr>
                    <w:t>2</w:t>
                  </w:r>
                </w:p>
              </w:tc>
              <w:tc>
                <w:tcPr>
                  <w:tcW w:w="645" w:type="pct"/>
                  <w:tcBorders>
                    <w:top w:val="single" w:color="auto" w:sz="4" w:space="0"/>
                    <w:left w:val="single" w:color="auto" w:sz="4" w:space="0"/>
                    <w:bottom w:val="single" w:color="auto" w:sz="4" w:space="0"/>
                    <w:right w:val="single" w:color="auto" w:sz="4" w:space="0"/>
                  </w:tcBorders>
                  <w:shd w:val="clear" w:color="auto" w:fill="FFFFFF"/>
                  <w:vAlign w:val="center"/>
                </w:tcPr>
                <w:p w14:paraId="191E0237">
                  <w:pPr>
                    <w:jc w:val="center"/>
                    <w:rPr>
                      <w:sz w:val="21"/>
                      <w:szCs w:val="21"/>
                    </w:rPr>
                  </w:pPr>
                  <w:r>
                    <w:rPr>
                      <w:rFonts w:hint="eastAsia"/>
                      <w:sz w:val="21"/>
                      <w:szCs w:val="21"/>
                    </w:rPr>
                    <w:t>膨润土</w:t>
                  </w:r>
                </w:p>
              </w:tc>
              <w:tc>
                <w:tcPr>
                  <w:tcW w:w="952" w:type="pct"/>
                  <w:tcBorders>
                    <w:top w:val="single" w:color="auto" w:sz="4" w:space="0"/>
                    <w:left w:val="single" w:color="auto" w:sz="4" w:space="0"/>
                    <w:bottom w:val="single" w:color="auto" w:sz="4" w:space="0"/>
                    <w:right w:val="single" w:color="auto" w:sz="4" w:space="0"/>
                  </w:tcBorders>
                  <w:shd w:val="clear" w:color="auto" w:fill="FFFFFF"/>
                  <w:vAlign w:val="center"/>
                </w:tcPr>
                <w:p w14:paraId="2F47C84E">
                  <w:pPr>
                    <w:jc w:val="center"/>
                    <w:rPr>
                      <w:sz w:val="21"/>
                      <w:szCs w:val="21"/>
                    </w:rPr>
                  </w:pPr>
                  <w:r>
                    <w:rPr>
                      <w:rFonts w:hint="eastAsia"/>
                      <w:sz w:val="21"/>
                      <w:szCs w:val="21"/>
                    </w:rPr>
                    <w:t>蒙脱石</w:t>
                  </w:r>
                </w:p>
              </w:tc>
              <w:tc>
                <w:tcPr>
                  <w:tcW w:w="903" w:type="pct"/>
                  <w:tcBorders>
                    <w:top w:val="single" w:color="auto" w:sz="4" w:space="0"/>
                    <w:left w:val="single" w:color="auto" w:sz="4" w:space="0"/>
                    <w:bottom w:val="single" w:color="auto" w:sz="4" w:space="0"/>
                    <w:right w:val="single" w:color="auto" w:sz="4" w:space="0"/>
                  </w:tcBorders>
                  <w:shd w:val="clear" w:color="auto" w:fill="FFFFFF"/>
                  <w:vAlign w:val="center"/>
                </w:tcPr>
                <w:p w14:paraId="03BA9B1B">
                  <w:pPr>
                    <w:jc w:val="center"/>
                    <w:rPr>
                      <w:sz w:val="21"/>
                      <w:szCs w:val="21"/>
                    </w:rPr>
                  </w:pPr>
                  <w:r>
                    <w:rPr>
                      <w:rFonts w:hint="eastAsia"/>
                      <w:sz w:val="21"/>
                      <w:szCs w:val="21"/>
                    </w:rPr>
                    <w:t>168</w:t>
                  </w:r>
                </w:p>
              </w:tc>
              <w:tc>
                <w:tcPr>
                  <w:tcW w:w="850" w:type="pct"/>
                  <w:tcBorders>
                    <w:top w:val="single" w:color="auto" w:sz="4" w:space="0"/>
                    <w:left w:val="single" w:color="auto" w:sz="4" w:space="0"/>
                    <w:bottom w:val="single" w:color="auto" w:sz="4" w:space="0"/>
                    <w:right w:val="single" w:color="auto" w:sz="4" w:space="0"/>
                  </w:tcBorders>
                  <w:shd w:val="clear" w:color="auto" w:fill="FFFFFF"/>
                  <w:vAlign w:val="center"/>
                </w:tcPr>
                <w:p w14:paraId="28DD0119">
                  <w:pPr>
                    <w:jc w:val="center"/>
                    <w:rPr>
                      <w:sz w:val="21"/>
                      <w:szCs w:val="21"/>
                    </w:rPr>
                  </w:pPr>
                  <w:r>
                    <w:rPr>
                      <w:rFonts w:hint="eastAsia"/>
                      <w:sz w:val="21"/>
                      <w:szCs w:val="21"/>
                    </w:rPr>
                    <w:t>28</w:t>
                  </w:r>
                </w:p>
              </w:tc>
              <w:tc>
                <w:tcPr>
                  <w:tcW w:w="569" w:type="pct"/>
                  <w:tcBorders>
                    <w:top w:val="single" w:color="auto" w:sz="4" w:space="0"/>
                    <w:left w:val="single" w:color="auto" w:sz="4" w:space="0"/>
                    <w:bottom w:val="single" w:color="auto" w:sz="4" w:space="0"/>
                    <w:right w:val="single" w:color="auto" w:sz="4" w:space="0"/>
                  </w:tcBorders>
                  <w:shd w:val="clear" w:color="auto" w:fill="FFFFFF"/>
                  <w:vAlign w:val="center"/>
                </w:tcPr>
                <w:p w14:paraId="417FEEF4">
                  <w:pPr>
                    <w:jc w:val="center"/>
                    <w:rPr>
                      <w:sz w:val="21"/>
                      <w:szCs w:val="21"/>
                    </w:rPr>
                  </w:pPr>
                  <w:r>
                    <w:rPr>
                      <w:sz w:val="21"/>
                      <w:szCs w:val="21"/>
                    </w:rPr>
                    <w:t>袋装</w:t>
                  </w:r>
                  <w:r>
                    <w:rPr>
                      <w:rFonts w:hint="eastAsia"/>
                      <w:sz w:val="21"/>
                      <w:szCs w:val="21"/>
                    </w:rPr>
                    <w:t>，</w:t>
                  </w:r>
                  <w:r>
                    <w:rPr>
                      <w:sz w:val="21"/>
                      <w:szCs w:val="21"/>
                    </w:rPr>
                    <w:t>25kg/袋</w:t>
                  </w:r>
                </w:p>
              </w:tc>
              <w:tc>
                <w:tcPr>
                  <w:tcW w:w="343" w:type="pct"/>
                  <w:tcBorders>
                    <w:top w:val="single" w:color="auto" w:sz="4" w:space="0"/>
                    <w:left w:val="single" w:color="auto" w:sz="4" w:space="0"/>
                    <w:bottom w:val="single" w:color="auto" w:sz="4" w:space="0"/>
                    <w:right w:val="single" w:color="auto" w:sz="4" w:space="0"/>
                  </w:tcBorders>
                  <w:shd w:val="clear" w:color="auto" w:fill="FFFFFF"/>
                  <w:vAlign w:val="center"/>
                </w:tcPr>
                <w:p w14:paraId="63FEDC6F">
                  <w:pPr>
                    <w:jc w:val="center"/>
                    <w:rPr>
                      <w:sz w:val="21"/>
                      <w:szCs w:val="21"/>
                    </w:rPr>
                  </w:pPr>
                  <w:r>
                    <w:rPr>
                      <w:rFonts w:hint="eastAsia"/>
                      <w:sz w:val="21"/>
                      <w:szCs w:val="21"/>
                    </w:rPr>
                    <w:t>材料房</w:t>
                  </w:r>
                </w:p>
              </w:tc>
              <w:tc>
                <w:tcPr>
                  <w:tcW w:w="535" w:type="pct"/>
                  <w:tcBorders>
                    <w:top w:val="single" w:color="auto" w:sz="4" w:space="0"/>
                    <w:left w:val="single" w:color="auto" w:sz="4" w:space="0"/>
                    <w:bottom w:val="single" w:color="auto" w:sz="4" w:space="0"/>
                    <w:right w:val="single" w:color="auto" w:sz="4" w:space="0"/>
                  </w:tcBorders>
                  <w:shd w:val="clear" w:color="auto" w:fill="FFFFFF"/>
                  <w:vAlign w:val="center"/>
                </w:tcPr>
                <w:p w14:paraId="435B6757">
                  <w:pPr>
                    <w:jc w:val="center"/>
                    <w:rPr>
                      <w:sz w:val="21"/>
                      <w:szCs w:val="21"/>
                    </w:rPr>
                  </w:pPr>
                  <w:r>
                    <w:rPr>
                      <w:rFonts w:hint="eastAsia"/>
                      <w:sz w:val="21"/>
                      <w:szCs w:val="21"/>
                    </w:rPr>
                    <w:t>60~80</w:t>
                  </w:r>
                </w:p>
              </w:tc>
            </w:tr>
            <w:tr w14:paraId="3892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9" w:type="pct"/>
                  <w:tcBorders>
                    <w:top w:val="single" w:color="auto" w:sz="4" w:space="0"/>
                    <w:left w:val="single" w:color="auto" w:sz="4" w:space="0"/>
                    <w:bottom w:val="single" w:color="auto" w:sz="4" w:space="0"/>
                    <w:right w:val="single" w:color="auto" w:sz="4" w:space="0"/>
                  </w:tcBorders>
                  <w:shd w:val="clear" w:color="auto" w:fill="FFFFFF"/>
                  <w:vAlign w:val="center"/>
                </w:tcPr>
                <w:p w14:paraId="00CFCB0F">
                  <w:pPr>
                    <w:jc w:val="center"/>
                    <w:rPr>
                      <w:sz w:val="21"/>
                      <w:szCs w:val="21"/>
                    </w:rPr>
                  </w:pPr>
                  <w:r>
                    <w:rPr>
                      <w:sz w:val="21"/>
                      <w:szCs w:val="21"/>
                    </w:rPr>
                    <w:t>3</w:t>
                  </w:r>
                </w:p>
              </w:tc>
              <w:tc>
                <w:tcPr>
                  <w:tcW w:w="645" w:type="pct"/>
                  <w:tcBorders>
                    <w:top w:val="single" w:color="auto" w:sz="4" w:space="0"/>
                    <w:left w:val="single" w:color="auto" w:sz="4" w:space="0"/>
                    <w:bottom w:val="single" w:color="auto" w:sz="4" w:space="0"/>
                    <w:right w:val="single" w:color="auto" w:sz="4" w:space="0"/>
                  </w:tcBorders>
                  <w:shd w:val="clear" w:color="auto" w:fill="FFFFFF"/>
                  <w:vAlign w:val="center"/>
                </w:tcPr>
                <w:p w14:paraId="3EADA231">
                  <w:pPr>
                    <w:jc w:val="center"/>
                    <w:rPr>
                      <w:sz w:val="21"/>
                      <w:szCs w:val="21"/>
                    </w:rPr>
                  </w:pPr>
                  <w:r>
                    <w:rPr>
                      <w:rFonts w:hint="eastAsia"/>
                      <w:sz w:val="21"/>
                      <w:szCs w:val="21"/>
                    </w:rPr>
                    <w:t>纯碱</w:t>
                  </w:r>
                </w:p>
              </w:tc>
              <w:tc>
                <w:tcPr>
                  <w:tcW w:w="952" w:type="pct"/>
                  <w:tcBorders>
                    <w:top w:val="single" w:color="auto" w:sz="4" w:space="0"/>
                    <w:left w:val="single" w:color="auto" w:sz="4" w:space="0"/>
                    <w:bottom w:val="single" w:color="auto" w:sz="4" w:space="0"/>
                    <w:right w:val="single" w:color="auto" w:sz="4" w:space="0"/>
                  </w:tcBorders>
                  <w:shd w:val="clear" w:color="auto" w:fill="FFFFFF"/>
                  <w:vAlign w:val="center"/>
                </w:tcPr>
                <w:p w14:paraId="2633FDEE">
                  <w:pPr>
                    <w:jc w:val="center"/>
                    <w:rPr>
                      <w:sz w:val="21"/>
                      <w:szCs w:val="21"/>
                    </w:rPr>
                  </w:pPr>
                  <w:r>
                    <w:rPr>
                      <w:sz w:val="21"/>
                      <w:szCs w:val="21"/>
                    </w:rPr>
                    <w:t>Na</w:t>
                  </w:r>
                  <w:r>
                    <w:rPr>
                      <w:sz w:val="21"/>
                      <w:szCs w:val="21"/>
                      <w:vertAlign w:val="subscript"/>
                    </w:rPr>
                    <w:t>2</w:t>
                  </w:r>
                  <w:r>
                    <w:rPr>
                      <w:sz w:val="21"/>
                      <w:szCs w:val="21"/>
                    </w:rPr>
                    <w:t>CO</w:t>
                  </w:r>
                  <w:r>
                    <w:rPr>
                      <w:sz w:val="21"/>
                      <w:szCs w:val="21"/>
                      <w:vertAlign w:val="subscript"/>
                    </w:rPr>
                    <w:t>3</w:t>
                  </w:r>
                </w:p>
              </w:tc>
              <w:tc>
                <w:tcPr>
                  <w:tcW w:w="903" w:type="pct"/>
                  <w:tcBorders>
                    <w:top w:val="single" w:color="auto" w:sz="4" w:space="0"/>
                    <w:left w:val="single" w:color="auto" w:sz="4" w:space="0"/>
                    <w:bottom w:val="single" w:color="auto" w:sz="4" w:space="0"/>
                    <w:right w:val="single" w:color="auto" w:sz="4" w:space="0"/>
                  </w:tcBorders>
                  <w:shd w:val="clear" w:color="auto" w:fill="FFFFFF"/>
                  <w:vAlign w:val="center"/>
                </w:tcPr>
                <w:p w14:paraId="12FD89F9">
                  <w:pPr>
                    <w:jc w:val="center"/>
                    <w:rPr>
                      <w:sz w:val="21"/>
                      <w:szCs w:val="21"/>
                    </w:rPr>
                  </w:pPr>
                  <w:r>
                    <w:rPr>
                      <w:rFonts w:hint="eastAsia"/>
                      <w:sz w:val="21"/>
                      <w:szCs w:val="21"/>
                    </w:rPr>
                    <w:t>6.0</w:t>
                  </w:r>
                </w:p>
              </w:tc>
              <w:tc>
                <w:tcPr>
                  <w:tcW w:w="850" w:type="pct"/>
                  <w:tcBorders>
                    <w:top w:val="single" w:color="auto" w:sz="4" w:space="0"/>
                    <w:left w:val="single" w:color="auto" w:sz="4" w:space="0"/>
                    <w:bottom w:val="single" w:color="auto" w:sz="4" w:space="0"/>
                    <w:right w:val="single" w:color="auto" w:sz="4" w:space="0"/>
                  </w:tcBorders>
                  <w:shd w:val="clear" w:color="auto" w:fill="FFFFFF"/>
                  <w:vAlign w:val="center"/>
                </w:tcPr>
                <w:p w14:paraId="23A2C616">
                  <w:pPr>
                    <w:jc w:val="center"/>
                    <w:rPr>
                      <w:sz w:val="21"/>
                      <w:szCs w:val="21"/>
                    </w:rPr>
                  </w:pPr>
                  <w:r>
                    <w:rPr>
                      <w:rFonts w:hint="eastAsia"/>
                      <w:sz w:val="21"/>
                      <w:szCs w:val="21"/>
                    </w:rPr>
                    <w:t>1.0</w:t>
                  </w:r>
                </w:p>
              </w:tc>
              <w:tc>
                <w:tcPr>
                  <w:tcW w:w="569" w:type="pct"/>
                  <w:tcBorders>
                    <w:top w:val="single" w:color="auto" w:sz="4" w:space="0"/>
                    <w:left w:val="single" w:color="auto" w:sz="4" w:space="0"/>
                    <w:bottom w:val="single" w:color="auto" w:sz="4" w:space="0"/>
                    <w:right w:val="single" w:color="auto" w:sz="4" w:space="0"/>
                  </w:tcBorders>
                  <w:shd w:val="clear" w:color="auto" w:fill="FFFFFF"/>
                  <w:vAlign w:val="center"/>
                </w:tcPr>
                <w:p w14:paraId="36960F69">
                  <w:pPr>
                    <w:jc w:val="center"/>
                    <w:rPr>
                      <w:sz w:val="21"/>
                      <w:szCs w:val="21"/>
                    </w:rPr>
                  </w:pPr>
                  <w:r>
                    <w:rPr>
                      <w:sz w:val="21"/>
                      <w:szCs w:val="21"/>
                    </w:rPr>
                    <w:t>袋装</w:t>
                  </w:r>
                  <w:r>
                    <w:rPr>
                      <w:rFonts w:hint="eastAsia"/>
                      <w:sz w:val="21"/>
                      <w:szCs w:val="21"/>
                    </w:rPr>
                    <w:t>，</w:t>
                  </w:r>
                  <w:r>
                    <w:rPr>
                      <w:sz w:val="21"/>
                      <w:szCs w:val="21"/>
                    </w:rPr>
                    <w:t>25kg/袋</w:t>
                  </w:r>
                </w:p>
              </w:tc>
              <w:tc>
                <w:tcPr>
                  <w:tcW w:w="343" w:type="pct"/>
                  <w:tcBorders>
                    <w:top w:val="single" w:color="auto" w:sz="4" w:space="0"/>
                    <w:left w:val="single" w:color="auto" w:sz="4" w:space="0"/>
                    <w:bottom w:val="single" w:color="auto" w:sz="4" w:space="0"/>
                    <w:right w:val="single" w:color="auto" w:sz="4" w:space="0"/>
                  </w:tcBorders>
                  <w:shd w:val="clear" w:color="auto" w:fill="FFFFFF"/>
                  <w:vAlign w:val="center"/>
                </w:tcPr>
                <w:p w14:paraId="35DA0BAF">
                  <w:pPr>
                    <w:jc w:val="center"/>
                    <w:rPr>
                      <w:sz w:val="21"/>
                      <w:szCs w:val="21"/>
                    </w:rPr>
                  </w:pPr>
                  <w:r>
                    <w:rPr>
                      <w:rFonts w:hint="eastAsia"/>
                      <w:sz w:val="21"/>
                      <w:szCs w:val="21"/>
                    </w:rPr>
                    <w:t>材料房</w:t>
                  </w:r>
                </w:p>
              </w:tc>
              <w:tc>
                <w:tcPr>
                  <w:tcW w:w="535" w:type="pct"/>
                  <w:tcBorders>
                    <w:top w:val="single" w:color="auto" w:sz="4" w:space="0"/>
                    <w:left w:val="single" w:color="auto" w:sz="4" w:space="0"/>
                    <w:bottom w:val="single" w:color="auto" w:sz="4" w:space="0"/>
                    <w:right w:val="single" w:color="auto" w:sz="4" w:space="0"/>
                  </w:tcBorders>
                  <w:shd w:val="clear" w:color="auto" w:fill="FFFFFF"/>
                  <w:vAlign w:val="center"/>
                </w:tcPr>
                <w:p w14:paraId="08FEF891">
                  <w:pPr>
                    <w:jc w:val="center"/>
                    <w:rPr>
                      <w:sz w:val="21"/>
                      <w:szCs w:val="21"/>
                    </w:rPr>
                  </w:pPr>
                  <w:r>
                    <w:rPr>
                      <w:rFonts w:hint="eastAsia"/>
                      <w:sz w:val="21"/>
                      <w:szCs w:val="21"/>
                    </w:rPr>
                    <w:t>2.0~3.0</w:t>
                  </w:r>
                </w:p>
              </w:tc>
            </w:tr>
            <w:tr w14:paraId="4FC4E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199" w:type="pct"/>
                  <w:tcBorders>
                    <w:top w:val="single" w:color="auto" w:sz="4" w:space="0"/>
                    <w:left w:val="single" w:color="auto" w:sz="4" w:space="0"/>
                    <w:bottom w:val="single" w:color="auto" w:sz="4" w:space="0"/>
                    <w:right w:val="single" w:color="auto" w:sz="4" w:space="0"/>
                  </w:tcBorders>
                  <w:shd w:val="clear" w:color="auto" w:fill="FFFFFF"/>
                  <w:vAlign w:val="center"/>
                </w:tcPr>
                <w:p w14:paraId="68E38FD2">
                  <w:pPr>
                    <w:jc w:val="center"/>
                    <w:rPr>
                      <w:sz w:val="21"/>
                      <w:szCs w:val="21"/>
                    </w:rPr>
                  </w:pPr>
                  <w:r>
                    <w:rPr>
                      <w:sz w:val="21"/>
                      <w:szCs w:val="21"/>
                    </w:rPr>
                    <w:t>4</w:t>
                  </w:r>
                </w:p>
              </w:tc>
              <w:tc>
                <w:tcPr>
                  <w:tcW w:w="645" w:type="pct"/>
                  <w:tcBorders>
                    <w:top w:val="single" w:color="auto" w:sz="4" w:space="0"/>
                    <w:left w:val="single" w:color="auto" w:sz="4" w:space="0"/>
                    <w:bottom w:val="single" w:color="auto" w:sz="4" w:space="0"/>
                    <w:right w:val="single" w:color="auto" w:sz="4" w:space="0"/>
                  </w:tcBorders>
                  <w:shd w:val="clear" w:color="auto" w:fill="FFFFFF"/>
                  <w:vAlign w:val="center"/>
                </w:tcPr>
                <w:p w14:paraId="7D1151B6">
                  <w:pPr>
                    <w:jc w:val="center"/>
                    <w:rPr>
                      <w:sz w:val="21"/>
                      <w:szCs w:val="21"/>
                    </w:rPr>
                  </w:pPr>
                  <w:r>
                    <w:rPr>
                      <w:rFonts w:hint="eastAsia"/>
                      <w:sz w:val="21"/>
                      <w:szCs w:val="21"/>
                    </w:rPr>
                    <w:t>高粘HV-CMC</w:t>
                  </w:r>
                </w:p>
              </w:tc>
              <w:tc>
                <w:tcPr>
                  <w:tcW w:w="952" w:type="pct"/>
                  <w:tcBorders>
                    <w:top w:val="single" w:color="auto" w:sz="4" w:space="0"/>
                    <w:left w:val="single" w:color="auto" w:sz="4" w:space="0"/>
                    <w:bottom w:val="single" w:color="auto" w:sz="4" w:space="0"/>
                    <w:right w:val="single" w:color="auto" w:sz="4" w:space="0"/>
                  </w:tcBorders>
                  <w:shd w:val="clear" w:color="auto" w:fill="FFFFFF"/>
                  <w:vAlign w:val="center"/>
                </w:tcPr>
                <w:p w14:paraId="1C78BEF0">
                  <w:pPr>
                    <w:jc w:val="center"/>
                    <w:rPr>
                      <w:sz w:val="21"/>
                      <w:szCs w:val="21"/>
                    </w:rPr>
                  </w:pPr>
                  <w:r>
                    <w:rPr>
                      <w:rFonts w:hint="eastAsia"/>
                      <w:sz w:val="21"/>
                      <w:szCs w:val="21"/>
                    </w:rPr>
                    <w:t>高粘度羧甲基纤维素钠盐</w:t>
                  </w:r>
                </w:p>
              </w:tc>
              <w:tc>
                <w:tcPr>
                  <w:tcW w:w="903" w:type="pct"/>
                  <w:tcBorders>
                    <w:top w:val="single" w:color="auto" w:sz="4" w:space="0"/>
                    <w:left w:val="single" w:color="auto" w:sz="4" w:space="0"/>
                    <w:bottom w:val="single" w:color="auto" w:sz="4" w:space="0"/>
                    <w:right w:val="single" w:color="auto" w:sz="4" w:space="0"/>
                  </w:tcBorders>
                  <w:shd w:val="clear" w:color="auto" w:fill="FFFFFF"/>
                  <w:vAlign w:val="center"/>
                </w:tcPr>
                <w:p w14:paraId="30F82F6A">
                  <w:pPr>
                    <w:jc w:val="center"/>
                    <w:rPr>
                      <w:sz w:val="21"/>
                      <w:szCs w:val="21"/>
                    </w:rPr>
                  </w:pPr>
                  <w:r>
                    <w:rPr>
                      <w:rFonts w:hint="eastAsia"/>
                      <w:sz w:val="21"/>
                      <w:szCs w:val="21"/>
                    </w:rPr>
                    <w:t>12</w:t>
                  </w:r>
                </w:p>
              </w:tc>
              <w:tc>
                <w:tcPr>
                  <w:tcW w:w="850" w:type="pct"/>
                  <w:tcBorders>
                    <w:top w:val="single" w:color="auto" w:sz="4" w:space="0"/>
                    <w:left w:val="single" w:color="auto" w:sz="4" w:space="0"/>
                    <w:bottom w:val="single" w:color="auto" w:sz="4" w:space="0"/>
                    <w:right w:val="single" w:color="auto" w:sz="4" w:space="0"/>
                  </w:tcBorders>
                  <w:shd w:val="clear" w:color="auto" w:fill="FFFFFF"/>
                  <w:vAlign w:val="center"/>
                </w:tcPr>
                <w:p w14:paraId="3C3FB952">
                  <w:pPr>
                    <w:jc w:val="center"/>
                    <w:rPr>
                      <w:sz w:val="21"/>
                      <w:szCs w:val="21"/>
                    </w:rPr>
                  </w:pPr>
                  <w:r>
                    <w:rPr>
                      <w:rFonts w:hint="eastAsia"/>
                      <w:sz w:val="21"/>
                      <w:szCs w:val="21"/>
                    </w:rPr>
                    <w:t>2.0</w:t>
                  </w:r>
                </w:p>
              </w:tc>
              <w:tc>
                <w:tcPr>
                  <w:tcW w:w="569" w:type="pct"/>
                  <w:tcBorders>
                    <w:top w:val="single" w:color="auto" w:sz="4" w:space="0"/>
                    <w:left w:val="single" w:color="auto" w:sz="4" w:space="0"/>
                    <w:bottom w:val="single" w:color="auto" w:sz="4" w:space="0"/>
                    <w:right w:val="single" w:color="auto" w:sz="4" w:space="0"/>
                  </w:tcBorders>
                  <w:shd w:val="clear" w:color="auto" w:fill="FFFFFF"/>
                  <w:vAlign w:val="center"/>
                </w:tcPr>
                <w:p w14:paraId="73B54106">
                  <w:pPr>
                    <w:jc w:val="center"/>
                    <w:rPr>
                      <w:sz w:val="21"/>
                      <w:szCs w:val="21"/>
                    </w:rPr>
                  </w:pPr>
                  <w:r>
                    <w:rPr>
                      <w:sz w:val="21"/>
                      <w:szCs w:val="21"/>
                    </w:rPr>
                    <w:t>袋装</w:t>
                  </w:r>
                  <w:r>
                    <w:rPr>
                      <w:rFonts w:hint="eastAsia"/>
                      <w:sz w:val="21"/>
                      <w:szCs w:val="21"/>
                    </w:rPr>
                    <w:t>，</w:t>
                  </w:r>
                  <w:r>
                    <w:rPr>
                      <w:sz w:val="21"/>
                      <w:szCs w:val="21"/>
                    </w:rPr>
                    <w:t>25kg/袋</w:t>
                  </w:r>
                </w:p>
              </w:tc>
              <w:tc>
                <w:tcPr>
                  <w:tcW w:w="343" w:type="pct"/>
                  <w:tcBorders>
                    <w:top w:val="single" w:color="auto" w:sz="4" w:space="0"/>
                    <w:left w:val="single" w:color="auto" w:sz="4" w:space="0"/>
                    <w:bottom w:val="single" w:color="auto" w:sz="4" w:space="0"/>
                    <w:right w:val="single" w:color="auto" w:sz="4" w:space="0"/>
                  </w:tcBorders>
                  <w:shd w:val="clear" w:color="auto" w:fill="FFFFFF"/>
                  <w:vAlign w:val="center"/>
                </w:tcPr>
                <w:p w14:paraId="0B8C72E7">
                  <w:pPr>
                    <w:jc w:val="center"/>
                    <w:rPr>
                      <w:sz w:val="21"/>
                      <w:szCs w:val="21"/>
                    </w:rPr>
                  </w:pPr>
                  <w:r>
                    <w:rPr>
                      <w:rFonts w:hint="eastAsia"/>
                      <w:sz w:val="21"/>
                      <w:szCs w:val="21"/>
                    </w:rPr>
                    <w:t>材料房</w:t>
                  </w:r>
                </w:p>
              </w:tc>
              <w:tc>
                <w:tcPr>
                  <w:tcW w:w="535" w:type="pct"/>
                  <w:tcBorders>
                    <w:top w:val="single" w:color="auto" w:sz="4" w:space="0"/>
                    <w:left w:val="single" w:color="auto" w:sz="4" w:space="0"/>
                    <w:bottom w:val="single" w:color="auto" w:sz="4" w:space="0"/>
                    <w:right w:val="single" w:color="auto" w:sz="4" w:space="0"/>
                  </w:tcBorders>
                  <w:shd w:val="clear" w:color="auto" w:fill="FFFFFF"/>
                  <w:vAlign w:val="center"/>
                </w:tcPr>
                <w:p w14:paraId="2620B4CD">
                  <w:pPr>
                    <w:jc w:val="center"/>
                    <w:rPr>
                      <w:sz w:val="21"/>
                      <w:szCs w:val="21"/>
                    </w:rPr>
                  </w:pPr>
                  <w:r>
                    <w:rPr>
                      <w:rFonts w:hint="eastAsia"/>
                      <w:sz w:val="21"/>
                      <w:szCs w:val="21"/>
                    </w:rPr>
                    <w:t>3.0~6.0</w:t>
                  </w:r>
                </w:p>
              </w:tc>
            </w:tr>
          </w:tbl>
          <w:p w14:paraId="5107D9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（2）钙钾基钻井液</w:t>
            </w:r>
          </w:p>
          <w:p w14:paraId="353B3A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钙钾基钻井液配方如下表所示。</w:t>
            </w:r>
          </w:p>
          <w:p w14:paraId="3C48E6A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b/>
                <w:bCs/>
              </w:rPr>
              <w:t>表</w:t>
            </w:r>
            <w:r>
              <w:rPr>
                <w:rFonts w:hint="eastAsia"/>
                <w:b/>
                <w:bCs/>
              </w:rPr>
              <w:t xml:space="preserve">2-5 </w:t>
            </w:r>
            <w:r>
              <w:rPr>
                <w:b/>
                <w:bCs/>
              </w:rPr>
              <w:t>项目钙钾基钻井液</w:t>
            </w:r>
            <w:r>
              <w:rPr>
                <w:rFonts w:hint="eastAsia"/>
                <w:b/>
                <w:bCs/>
              </w:rPr>
              <w:t>配置材料消耗情况表</w:t>
            </w:r>
          </w:p>
          <w:tbl>
            <w:tblPr>
              <w:tblStyle w:val="1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352"/>
              <w:gridCol w:w="1339"/>
              <w:gridCol w:w="1410"/>
              <w:gridCol w:w="1403"/>
              <w:gridCol w:w="1169"/>
              <w:gridCol w:w="1456"/>
              <w:gridCol w:w="812"/>
              <w:gridCol w:w="934"/>
            </w:tblGrid>
            <w:tr w14:paraId="6E802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634" w:hRule="atLeast"/>
                <w:tblHeader/>
                <w:jc w:val="center"/>
              </w:trPr>
              <w:tc>
                <w:tcPr>
                  <w:tcW w:w="198" w:type="pct"/>
                  <w:tcBorders>
                    <w:top w:val="single" w:color="auto" w:sz="4" w:space="0"/>
                    <w:left w:val="single" w:color="auto" w:sz="4" w:space="0"/>
                    <w:right w:val="single" w:color="auto" w:sz="4" w:space="0"/>
                  </w:tcBorders>
                  <w:shd w:val="clear" w:color="auto" w:fill="FFFFFF"/>
                  <w:vAlign w:val="center"/>
                </w:tcPr>
                <w:p w14:paraId="53C69DBE">
                  <w:pPr>
                    <w:jc w:val="center"/>
                    <w:rPr>
                      <w:b/>
                      <w:bCs/>
                      <w:sz w:val="21"/>
                      <w:szCs w:val="21"/>
                    </w:rPr>
                  </w:pPr>
                  <w:r>
                    <w:rPr>
                      <w:b/>
                      <w:bCs/>
                      <w:sz w:val="21"/>
                      <w:szCs w:val="21"/>
                    </w:rPr>
                    <w:t>序号</w:t>
                  </w:r>
                </w:p>
              </w:tc>
              <w:tc>
                <w:tcPr>
                  <w:tcW w:w="754" w:type="pct"/>
                  <w:tcBorders>
                    <w:top w:val="single" w:color="auto" w:sz="4" w:space="0"/>
                    <w:left w:val="single" w:color="auto" w:sz="4" w:space="0"/>
                    <w:right w:val="single" w:color="auto" w:sz="4" w:space="0"/>
                  </w:tcBorders>
                  <w:shd w:val="clear" w:color="auto" w:fill="FFFFFF"/>
                  <w:vAlign w:val="center"/>
                </w:tcPr>
                <w:p w14:paraId="059E5785">
                  <w:pPr>
                    <w:jc w:val="center"/>
                    <w:rPr>
                      <w:b/>
                      <w:bCs/>
                      <w:sz w:val="21"/>
                      <w:szCs w:val="21"/>
                    </w:rPr>
                  </w:pPr>
                  <w:r>
                    <w:rPr>
                      <w:b/>
                      <w:bCs/>
                      <w:sz w:val="21"/>
                      <w:szCs w:val="21"/>
                    </w:rPr>
                    <w:t>处理剂名称</w:t>
                  </w:r>
                </w:p>
              </w:tc>
              <w:tc>
                <w:tcPr>
                  <w:tcW w:w="794" w:type="pct"/>
                  <w:tcBorders>
                    <w:top w:val="single" w:color="auto" w:sz="4" w:space="0"/>
                    <w:left w:val="single" w:color="auto" w:sz="4" w:space="0"/>
                    <w:right w:val="single" w:color="auto" w:sz="4" w:space="0"/>
                  </w:tcBorders>
                  <w:shd w:val="clear" w:color="auto" w:fill="FFFFFF"/>
                  <w:vAlign w:val="center"/>
                </w:tcPr>
                <w:p w14:paraId="26904676">
                  <w:pPr>
                    <w:jc w:val="center"/>
                    <w:rPr>
                      <w:b/>
                      <w:bCs/>
                      <w:sz w:val="21"/>
                      <w:szCs w:val="21"/>
                    </w:rPr>
                  </w:pPr>
                  <w:r>
                    <w:rPr>
                      <w:rFonts w:hint="eastAsia"/>
                      <w:b/>
                      <w:bCs/>
                      <w:sz w:val="21"/>
                      <w:szCs w:val="21"/>
                    </w:rPr>
                    <w:t>主要成分</w:t>
                  </w:r>
                </w:p>
              </w:tc>
              <w:tc>
                <w:tcPr>
                  <w:tcW w:w="790" w:type="pct"/>
                  <w:tcBorders>
                    <w:top w:val="single" w:color="auto" w:sz="4" w:space="0"/>
                    <w:left w:val="single" w:color="auto" w:sz="4" w:space="0"/>
                    <w:right w:val="single" w:color="auto" w:sz="4" w:space="0"/>
                  </w:tcBorders>
                  <w:shd w:val="clear" w:color="auto" w:fill="FFFFFF"/>
                  <w:vAlign w:val="center"/>
                </w:tcPr>
                <w:p w14:paraId="07EBD8BD">
                  <w:pPr>
                    <w:jc w:val="center"/>
                    <w:rPr>
                      <w:b/>
                      <w:bCs/>
                      <w:sz w:val="21"/>
                      <w:szCs w:val="21"/>
                    </w:rPr>
                  </w:pPr>
                  <w:r>
                    <w:rPr>
                      <w:rFonts w:hint="eastAsia"/>
                      <w:b/>
                      <w:bCs/>
                      <w:sz w:val="21"/>
                      <w:szCs w:val="21"/>
                    </w:rPr>
                    <w:t>本项目总用量（t）</w:t>
                  </w:r>
                </w:p>
              </w:tc>
              <w:tc>
                <w:tcPr>
                  <w:tcW w:w="658" w:type="pct"/>
                  <w:tcBorders>
                    <w:top w:val="single" w:color="auto" w:sz="4" w:space="0"/>
                    <w:left w:val="single" w:color="auto" w:sz="4" w:space="0"/>
                    <w:right w:val="single" w:color="auto" w:sz="4" w:space="0"/>
                  </w:tcBorders>
                  <w:shd w:val="clear" w:color="auto" w:fill="FFFFFF"/>
                  <w:vAlign w:val="center"/>
                </w:tcPr>
                <w:p w14:paraId="7DE68327">
                  <w:pPr>
                    <w:jc w:val="center"/>
                    <w:rPr>
                      <w:b/>
                      <w:bCs/>
                      <w:sz w:val="21"/>
                      <w:szCs w:val="21"/>
                    </w:rPr>
                  </w:pPr>
                  <w:r>
                    <w:rPr>
                      <w:rFonts w:hint="eastAsia"/>
                      <w:b/>
                      <w:bCs/>
                      <w:sz w:val="21"/>
                      <w:szCs w:val="21"/>
                    </w:rPr>
                    <w:t>最大暂存量（t）</w:t>
                  </w:r>
                </w:p>
              </w:tc>
              <w:tc>
                <w:tcPr>
                  <w:tcW w:w="820" w:type="pct"/>
                  <w:tcBorders>
                    <w:top w:val="single" w:color="auto" w:sz="4" w:space="0"/>
                    <w:left w:val="single" w:color="auto" w:sz="4" w:space="0"/>
                    <w:right w:val="single" w:color="auto" w:sz="4" w:space="0"/>
                  </w:tcBorders>
                  <w:shd w:val="clear" w:color="auto" w:fill="FFFFFF"/>
                  <w:vAlign w:val="center"/>
                </w:tcPr>
                <w:p w14:paraId="0F426DBA">
                  <w:pPr>
                    <w:jc w:val="center"/>
                    <w:rPr>
                      <w:b/>
                      <w:bCs/>
                      <w:sz w:val="21"/>
                      <w:szCs w:val="21"/>
                    </w:rPr>
                  </w:pPr>
                  <w:r>
                    <w:rPr>
                      <w:rFonts w:hint="eastAsia"/>
                      <w:b/>
                      <w:bCs/>
                      <w:sz w:val="21"/>
                      <w:szCs w:val="21"/>
                    </w:rPr>
                    <w:t>储存方式</w:t>
                  </w:r>
                </w:p>
              </w:tc>
              <w:tc>
                <w:tcPr>
                  <w:tcW w:w="457" w:type="pct"/>
                  <w:tcBorders>
                    <w:top w:val="single" w:color="auto" w:sz="4" w:space="0"/>
                    <w:left w:val="single" w:color="auto" w:sz="4" w:space="0"/>
                    <w:right w:val="single" w:color="auto" w:sz="4" w:space="0"/>
                  </w:tcBorders>
                  <w:shd w:val="clear" w:color="auto" w:fill="FFFFFF"/>
                  <w:vAlign w:val="center"/>
                </w:tcPr>
                <w:p w14:paraId="0278241C">
                  <w:pPr>
                    <w:jc w:val="center"/>
                    <w:rPr>
                      <w:b/>
                      <w:bCs/>
                      <w:sz w:val="21"/>
                      <w:szCs w:val="21"/>
                    </w:rPr>
                  </w:pPr>
                  <w:r>
                    <w:rPr>
                      <w:rFonts w:hint="eastAsia"/>
                      <w:b/>
                      <w:bCs/>
                      <w:sz w:val="21"/>
                      <w:szCs w:val="21"/>
                    </w:rPr>
                    <w:t>存放位置</w:t>
                  </w:r>
                </w:p>
              </w:tc>
              <w:tc>
                <w:tcPr>
                  <w:tcW w:w="526" w:type="pct"/>
                  <w:tcBorders>
                    <w:top w:val="single" w:color="auto" w:sz="4" w:space="0"/>
                    <w:left w:val="single" w:color="auto" w:sz="4" w:space="0"/>
                    <w:right w:val="single" w:color="auto" w:sz="4" w:space="0"/>
                  </w:tcBorders>
                  <w:shd w:val="clear" w:color="auto" w:fill="FFFFFF"/>
                  <w:vAlign w:val="center"/>
                </w:tcPr>
                <w:p w14:paraId="560DE7BD">
                  <w:pPr>
                    <w:jc w:val="center"/>
                    <w:rPr>
                      <w:b/>
                      <w:bCs/>
                      <w:sz w:val="21"/>
                      <w:szCs w:val="21"/>
                    </w:rPr>
                  </w:pPr>
                  <w:r>
                    <w:rPr>
                      <w:b/>
                      <w:bCs/>
                      <w:sz w:val="21"/>
                      <w:szCs w:val="21"/>
                    </w:rPr>
                    <w:t>配方(kg/m</w:t>
                  </w:r>
                  <w:r>
                    <w:rPr>
                      <w:b/>
                      <w:bCs/>
                      <w:sz w:val="21"/>
                      <w:szCs w:val="21"/>
                      <w:vertAlign w:val="superscript"/>
                    </w:rPr>
                    <w:t>3</w:t>
                  </w:r>
                  <w:r>
                    <w:rPr>
                      <w:b/>
                      <w:bCs/>
                      <w:sz w:val="21"/>
                      <w:szCs w:val="21"/>
                    </w:rPr>
                    <w:t>)</w:t>
                  </w:r>
                </w:p>
              </w:tc>
            </w:tr>
            <w:tr w14:paraId="73D05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49D8482A">
                  <w:pPr>
                    <w:jc w:val="center"/>
                    <w:rPr>
                      <w:sz w:val="21"/>
                      <w:szCs w:val="21"/>
                    </w:rPr>
                  </w:pPr>
                  <w:r>
                    <w:rPr>
                      <w:rFonts w:hint="eastAsia"/>
                      <w:sz w:val="21"/>
                      <w:szCs w:val="21"/>
                    </w:rPr>
                    <w:t>1</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10A66579">
                  <w:pPr>
                    <w:jc w:val="center"/>
                    <w:rPr>
                      <w:sz w:val="21"/>
                      <w:szCs w:val="21"/>
                    </w:rPr>
                  </w:pPr>
                  <w:r>
                    <w:rPr>
                      <w:rFonts w:hint="eastAsia"/>
                      <w:sz w:val="21"/>
                      <w:szCs w:val="21"/>
                    </w:rPr>
                    <w:t>清水</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38F7A0FD">
                  <w:pPr>
                    <w:jc w:val="center"/>
                    <w:rPr>
                      <w:sz w:val="21"/>
                      <w:szCs w:val="21"/>
                    </w:rPr>
                  </w:pPr>
                  <w:r>
                    <w:rPr>
                      <w:rFonts w:hint="eastAsia"/>
                      <w:sz w:val="21"/>
                      <w:szCs w:val="21"/>
                    </w:rPr>
                    <w:t>/</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36DA1F36">
                  <w:pPr>
                    <w:jc w:val="center"/>
                    <w:rPr>
                      <w:sz w:val="21"/>
                      <w:szCs w:val="21"/>
                    </w:rPr>
                  </w:pPr>
                  <w:r>
                    <w:rPr>
                      <w:rFonts w:hint="eastAsia"/>
                      <w:sz w:val="21"/>
                      <w:szCs w:val="21"/>
                    </w:rPr>
                    <w:t>600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60F537BD">
                  <w:pPr>
                    <w:jc w:val="center"/>
                    <w:rPr>
                      <w:sz w:val="21"/>
                      <w:szCs w:val="21"/>
                    </w:rPr>
                  </w:pPr>
                  <w:r>
                    <w:rPr>
                      <w:rFonts w:hint="eastAsia"/>
                      <w:sz w:val="21"/>
                      <w:szCs w:val="21"/>
                    </w:rPr>
                    <w:t>/</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5B73DEDB">
                  <w:pPr>
                    <w:jc w:val="center"/>
                    <w:rPr>
                      <w:sz w:val="21"/>
                      <w:szCs w:val="21"/>
                    </w:rPr>
                  </w:pPr>
                  <w:r>
                    <w:rPr>
                      <w:rFonts w:hint="eastAsia"/>
                      <w:sz w:val="21"/>
                      <w:szCs w:val="21"/>
                    </w:rPr>
                    <w:t>/</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58D0EB5E">
                  <w:pPr>
                    <w:jc w:val="center"/>
                    <w:rPr>
                      <w:sz w:val="21"/>
                      <w:szCs w:val="21"/>
                    </w:rPr>
                  </w:pPr>
                  <w:r>
                    <w:rPr>
                      <w:rFonts w:hint="eastAsia"/>
                      <w:sz w:val="21"/>
                      <w:szCs w:val="21"/>
                    </w:rPr>
                    <w:t>/</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0DCBFBB3">
                  <w:pPr>
                    <w:jc w:val="center"/>
                    <w:rPr>
                      <w:sz w:val="21"/>
                      <w:szCs w:val="21"/>
                    </w:rPr>
                  </w:pPr>
                  <w:r>
                    <w:rPr>
                      <w:rFonts w:hint="eastAsia"/>
                      <w:sz w:val="21"/>
                      <w:szCs w:val="21"/>
                    </w:rPr>
                    <w:t>/</w:t>
                  </w:r>
                </w:p>
              </w:tc>
            </w:tr>
            <w:tr w14:paraId="7EB1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69CF605B">
                  <w:pPr>
                    <w:jc w:val="center"/>
                    <w:rPr>
                      <w:sz w:val="21"/>
                      <w:szCs w:val="21"/>
                    </w:rPr>
                  </w:pPr>
                  <w:r>
                    <w:rPr>
                      <w:rFonts w:hint="eastAsia"/>
                      <w:sz w:val="21"/>
                      <w:szCs w:val="21"/>
                    </w:rPr>
                    <w:t>2</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53B08535">
                  <w:pPr>
                    <w:jc w:val="center"/>
                    <w:rPr>
                      <w:sz w:val="21"/>
                      <w:szCs w:val="21"/>
                    </w:rPr>
                  </w:pPr>
                  <w:r>
                    <w:rPr>
                      <w:sz w:val="21"/>
                      <w:szCs w:val="21"/>
                    </w:rPr>
                    <w:t>膨润土</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35F32FA6">
                  <w:pPr>
                    <w:jc w:val="center"/>
                    <w:rPr>
                      <w:sz w:val="21"/>
                      <w:szCs w:val="21"/>
                    </w:rPr>
                  </w:pPr>
                  <w:r>
                    <w:rPr>
                      <w:rFonts w:hint="eastAsia"/>
                      <w:sz w:val="21"/>
                      <w:szCs w:val="21"/>
                    </w:rPr>
                    <w:t>蒙脱石</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76754CFD">
                  <w:pPr>
                    <w:jc w:val="center"/>
                    <w:rPr>
                      <w:sz w:val="21"/>
                      <w:szCs w:val="21"/>
                    </w:rPr>
                  </w:pPr>
                  <w:r>
                    <w:rPr>
                      <w:rFonts w:hint="eastAsia"/>
                      <w:sz w:val="21"/>
                      <w:szCs w:val="21"/>
                    </w:rPr>
                    <w:t>48</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0D17799A">
                  <w:pPr>
                    <w:jc w:val="center"/>
                    <w:rPr>
                      <w:sz w:val="21"/>
                      <w:szCs w:val="21"/>
                    </w:rPr>
                  </w:pPr>
                  <w:r>
                    <w:rPr>
                      <w:rFonts w:hint="eastAsia"/>
                      <w:sz w:val="21"/>
                      <w:szCs w:val="21"/>
                    </w:rPr>
                    <w:t>8</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58A0CDCE">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2C042EE7">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3788304E">
                  <w:pPr>
                    <w:jc w:val="center"/>
                    <w:rPr>
                      <w:sz w:val="21"/>
                      <w:szCs w:val="21"/>
                    </w:rPr>
                  </w:pPr>
                  <w:r>
                    <w:rPr>
                      <w:sz w:val="21"/>
                      <w:szCs w:val="21"/>
                    </w:rPr>
                    <w:t>20～30</w:t>
                  </w:r>
                </w:p>
              </w:tc>
            </w:tr>
            <w:tr w14:paraId="00EB4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0CA0C47B">
                  <w:pPr>
                    <w:jc w:val="center"/>
                    <w:rPr>
                      <w:sz w:val="21"/>
                      <w:szCs w:val="21"/>
                    </w:rPr>
                  </w:pPr>
                  <w:r>
                    <w:rPr>
                      <w:rFonts w:hint="eastAsia"/>
                      <w:sz w:val="21"/>
                      <w:szCs w:val="21"/>
                    </w:rPr>
                    <w:t>3</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0E9E575D">
                  <w:pPr>
                    <w:jc w:val="center"/>
                    <w:rPr>
                      <w:sz w:val="21"/>
                      <w:szCs w:val="21"/>
                    </w:rPr>
                  </w:pPr>
                  <w:r>
                    <w:rPr>
                      <w:sz w:val="21"/>
                      <w:szCs w:val="21"/>
                    </w:rPr>
                    <w:t>纯碱</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6B8A327F">
                  <w:pPr>
                    <w:jc w:val="center"/>
                    <w:rPr>
                      <w:sz w:val="21"/>
                      <w:szCs w:val="21"/>
                    </w:rPr>
                  </w:pPr>
                  <w:r>
                    <w:rPr>
                      <w:sz w:val="21"/>
                      <w:szCs w:val="21"/>
                    </w:rPr>
                    <w:t>Na</w:t>
                  </w:r>
                  <w:r>
                    <w:rPr>
                      <w:sz w:val="21"/>
                      <w:szCs w:val="21"/>
                      <w:vertAlign w:val="subscript"/>
                    </w:rPr>
                    <w:t>2</w:t>
                  </w:r>
                  <w:r>
                    <w:rPr>
                      <w:sz w:val="21"/>
                      <w:szCs w:val="21"/>
                    </w:rPr>
                    <w:t>CO</w:t>
                  </w:r>
                  <w:r>
                    <w:rPr>
                      <w:sz w:val="21"/>
                      <w:szCs w:val="21"/>
                      <w:vertAlign w:val="subscript"/>
                    </w:rPr>
                    <w:t>3</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5FF37AF2">
                  <w:pPr>
                    <w:jc w:val="center"/>
                    <w:rPr>
                      <w:sz w:val="21"/>
                      <w:szCs w:val="21"/>
                    </w:rPr>
                  </w:pPr>
                  <w:r>
                    <w:rPr>
                      <w:rFonts w:hint="eastAsia"/>
                      <w:sz w:val="21"/>
                      <w:szCs w:val="21"/>
                    </w:rPr>
                    <w:t>9</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1AC06D5C">
                  <w:pPr>
                    <w:jc w:val="center"/>
                    <w:rPr>
                      <w:sz w:val="21"/>
                      <w:szCs w:val="21"/>
                    </w:rPr>
                  </w:pPr>
                  <w:r>
                    <w:rPr>
                      <w:rFonts w:hint="eastAsia"/>
                      <w:sz w:val="21"/>
                      <w:szCs w:val="21"/>
                    </w:rPr>
                    <w:t>1.5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633014EC">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69F8BE8">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71C72BE1">
                  <w:pPr>
                    <w:jc w:val="center"/>
                    <w:rPr>
                      <w:sz w:val="21"/>
                      <w:szCs w:val="21"/>
                    </w:rPr>
                  </w:pPr>
                  <w:r>
                    <w:rPr>
                      <w:sz w:val="21"/>
                      <w:szCs w:val="21"/>
                    </w:rPr>
                    <w:t>2.0～5.0</w:t>
                  </w:r>
                </w:p>
              </w:tc>
            </w:tr>
            <w:tr w14:paraId="45650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5CFAC9BF">
                  <w:pPr>
                    <w:jc w:val="center"/>
                    <w:rPr>
                      <w:sz w:val="21"/>
                      <w:szCs w:val="21"/>
                    </w:rPr>
                  </w:pPr>
                  <w:r>
                    <w:rPr>
                      <w:rFonts w:hint="eastAsia"/>
                      <w:sz w:val="21"/>
                      <w:szCs w:val="21"/>
                    </w:rPr>
                    <w:t>4</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1C1A9D06">
                  <w:pPr>
                    <w:jc w:val="center"/>
                    <w:rPr>
                      <w:sz w:val="21"/>
                      <w:szCs w:val="21"/>
                    </w:rPr>
                  </w:pPr>
                  <w:r>
                    <w:rPr>
                      <w:sz w:val="21"/>
                      <w:szCs w:val="21"/>
                    </w:rPr>
                    <w:t>氢氧化钠</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4406BF0E">
                  <w:pPr>
                    <w:jc w:val="center"/>
                    <w:rPr>
                      <w:sz w:val="21"/>
                      <w:szCs w:val="21"/>
                    </w:rPr>
                  </w:pPr>
                  <w:r>
                    <w:rPr>
                      <w:sz w:val="21"/>
                      <w:szCs w:val="21"/>
                    </w:rPr>
                    <w:t>NaOH</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2BD465BB">
                  <w:pPr>
                    <w:jc w:val="center"/>
                    <w:rPr>
                      <w:sz w:val="21"/>
                      <w:szCs w:val="21"/>
                    </w:rPr>
                  </w:pPr>
                  <w:r>
                    <w:rPr>
                      <w:rFonts w:hint="eastAsia"/>
                      <w:sz w:val="21"/>
                      <w:szCs w:val="21"/>
                    </w:rPr>
                    <w:t>9</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0E4F8AB5">
                  <w:pPr>
                    <w:jc w:val="center"/>
                    <w:rPr>
                      <w:sz w:val="21"/>
                      <w:szCs w:val="21"/>
                    </w:rPr>
                  </w:pPr>
                  <w:r>
                    <w:rPr>
                      <w:rFonts w:hint="eastAsia"/>
                      <w:sz w:val="21"/>
                      <w:szCs w:val="21"/>
                    </w:rPr>
                    <w:t>1.5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1C88F814">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DA1E531">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56E25F0B">
                  <w:pPr>
                    <w:jc w:val="center"/>
                    <w:rPr>
                      <w:sz w:val="21"/>
                      <w:szCs w:val="21"/>
                    </w:rPr>
                  </w:pPr>
                  <w:r>
                    <w:rPr>
                      <w:sz w:val="21"/>
                      <w:szCs w:val="21"/>
                    </w:rPr>
                    <w:t>3.0～6.0</w:t>
                  </w:r>
                </w:p>
              </w:tc>
            </w:tr>
            <w:tr w14:paraId="289EC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4F8F38E3">
                  <w:pPr>
                    <w:jc w:val="center"/>
                    <w:rPr>
                      <w:sz w:val="21"/>
                      <w:szCs w:val="21"/>
                    </w:rPr>
                  </w:pPr>
                  <w:r>
                    <w:rPr>
                      <w:rFonts w:hint="eastAsia"/>
                      <w:sz w:val="21"/>
                      <w:szCs w:val="21"/>
                    </w:rPr>
                    <w:t>5</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44863F12">
                  <w:pPr>
                    <w:jc w:val="center"/>
                    <w:rPr>
                      <w:sz w:val="21"/>
                      <w:szCs w:val="21"/>
                    </w:rPr>
                  </w:pPr>
                  <w:r>
                    <w:rPr>
                      <w:sz w:val="21"/>
                      <w:szCs w:val="21"/>
                    </w:rPr>
                    <w:t>防塌降滤失剂</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6D2E70E0">
                  <w:pPr>
                    <w:jc w:val="center"/>
                    <w:rPr>
                      <w:sz w:val="21"/>
                      <w:szCs w:val="21"/>
                    </w:rPr>
                  </w:pPr>
                  <w:r>
                    <w:rPr>
                      <w:rFonts w:hint="eastAsia"/>
                      <w:sz w:val="21"/>
                      <w:szCs w:val="21"/>
                    </w:rPr>
                    <w:t>聚丙烯酸衍生物</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5A08344A">
                  <w:pPr>
                    <w:jc w:val="center"/>
                    <w:rPr>
                      <w:sz w:val="21"/>
                      <w:szCs w:val="21"/>
                    </w:rPr>
                  </w:pPr>
                  <w:r>
                    <w:rPr>
                      <w:rFonts w:hint="eastAsia"/>
                      <w:sz w:val="21"/>
                      <w:szCs w:val="21"/>
                    </w:rPr>
                    <w:t>24</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07CAEB34">
                  <w:pPr>
                    <w:jc w:val="center"/>
                    <w:rPr>
                      <w:sz w:val="21"/>
                      <w:szCs w:val="21"/>
                    </w:rPr>
                  </w:pPr>
                  <w:r>
                    <w:rPr>
                      <w:rFonts w:hint="eastAsia"/>
                      <w:sz w:val="21"/>
                      <w:szCs w:val="21"/>
                    </w:rPr>
                    <w:t>4</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EADE816">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0AD3E54">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513CE80B">
                  <w:pPr>
                    <w:jc w:val="center"/>
                    <w:rPr>
                      <w:sz w:val="21"/>
                      <w:szCs w:val="21"/>
                    </w:rPr>
                  </w:pPr>
                  <w:r>
                    <w:rPr>
                      <w:sz w:val="21"/>
                      <w:szCs w:val="21"/>
                    </w:rPr>
                    <w:t>10～15</w:t>
                  </w:r>
                </w:p>
              </w:tc>
            </w:tr>
            <w:tr w14:paraId="7379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6EEF2834">
                  <w:pPr>
                    <w:jc w:val="center"/>
                    <w:rPr>
                      <w:sz w:val="21"/>
                      <w:szCs w:val="21"/>
                    </w:rPr>
                  </w:pPr>
                  <w:r>
                    <w:rPr>
                      <w:rFonts w:hint="eastAsia"/>
                      <w:sz w:val="21"/>
                      <w:szCs w:val="21"/>
                    </w:rPr>
                    <w:t>6</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67E64CA6">
                  <w:pPr>
                    <w:jc w:val="center"/>
                    <w:rPr>
                      <w:sz w:val="21"/>
                      <w:szCs w:val="21"/>
                    </w:rPr>
                  </w:pPr>
                  <w:r>
                    <w:rPr>
                      <w:sz w:val="21"/>
                      <w:szCs w:val="21"/>
                    </w:rPr>
                    <w:t>LV-CMC</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09175C97">
                  <w:pPr>
                    <w:jc w:val="center"/>
                    <w:rPr>
                      <w:sz w:val="21"/>
                      <w:szCs w:val="21"/>
                    </w:rPr>
                  </w:pPr>
                  <w:r>
                    <w:rPr>
                      <w:rFonts w:hint="eastAsia"/>
                      <w:sz w:val="21"/>
                      <w:szCs w:val="21"/>
                    </w:rPr>
                    <w:t>淀粉</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1710C3C3">
                  <w:pPr>
                    <w:jc w:val="center"/>
                    <w:rPr>
                      <w:sz w:val="21"/>
                      <w:szCs w:val="21"/>
                    </w:rPr>
                  </w:pPr>
                  <w:r>
                    <w:rPr>
                      <w:rFonts w:hint="eastAsia"/>
                      <w:sz w:val="21"/>
                      <w:szCs w:val="21"/>
                    </w:rPr>
                    <w:t>30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7932DFA3">
                  <w:pPr>
                    <w:jc w:val="center"/>
                    <w:rPr>
                      <w:sz w:val="21"/>
                      <w:szCs w:val="21"/>
                    </w:rPr>
                  </w:pPr>
                  <w:r>
                    <w:rPr>
                      <w:rFonts w:hint="eastAsia"/>
                      <w:sz w:val="21"/>
                      <w:szCs w:val="21"/>
                    </w:rPr>
                    <w:t>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2FBA5B37">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1B4A0F25">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0333C0D5">
                  <w:pPr>
                    <w:jc w:val="center"/>
                    <w:rPr>
                      <w:sz w:val="21"/>
                      <w:szCs w:val="21"/>
                    </w:rPr>
                  </w:pPr>
                  <w:r>
                    <w:rPr>
                      <w:sz w:val="21"/>
                      <w:szCs w:val="21"/>
                    </w:rPr>
                    <w:t>10～20</w:t>
                  </w:r>
                </w:p>
              </w:tc>
            </w:tr>
            <w:tr w14:paraId="3E9B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11D70DA2">
                  <w:pPr>
                    <w:jc w:val="center"/>
                    <w:rPr>
                      <w:sz w:val="21"/>
                      <w:szCs w:val="21"/>
                    </w:rPr>
                  </w:pPr>
                  <w:r>
                    <w:rPr>
                      <w:rFonts w:hint="eastAsia"/>
                      <w:sz w:val="21"/>
                      <w:szCs w:val="21"/>
                    </w:rPr>
                    <w:t>7</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0232BC9F">
                  <w:pPr>
                    <w:jc w:val="center"/>
                    <w:rPr>
                      <w:sz w:val="21"/>
                      <w:szCs w:val="21"/>
                    </w:rPr>
                  </w:pPr>
                  <w:r>
                    <w:rPr>
                      <w:sz w:val="21"/>
                      <w:szCs w:val="21"/>
                    </w:rPr>
                    <w:t>PAM</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6F7ADF26">
                  <w:pPr>
                    <w:jc w:val="center"/>
                    <w:rPr>
                      <w:sz w:val="21"/>
                      <w:szCs w:val="21"/>
                    </w:rPr>
                  </w:pPr>
                  <w:r>
                    <w:rPr>
                      <w:rFonts w:hint="eastAsia"/>
                      <w:sz w:val="21"/>
                      <w:szCs w:val="21"/>
                    </w:rPr>
                    <w:t>聚丙烯酰胺</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7FBA4C53">
                  <w:pPr>
                    <w:jc w:val="center"/>
                    <w:rPr>
                      <w:sz w:val="21"/>
                      <w:szCs w:val="21"/>
                    </w:rPr>
                  </w:pPr>
                  <w:r>
                    <w:rPr>
                      <w:rFonts w:hint="eastAsia"/>
                      <w:sz w:val="21"/>
                      <w:szCs w:val="21"/>
                    </w:rPr>
                    <w:t>9</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290F0E9B">
                  <w:pPr>
                    <w:jc w:val="center"/>
                    <w:rPr>
                      <w:sz w:val="21"/>
                      <w:szCs w:val="21"/>
                    </w:rPr>
                  </w:pPr>
                  <w:r>
                    <w:rPr>
                      <w:rFonts w:hint="eastAsia"/>
                      <w:sz w:val="21"/>
                      <w:szCs w:val="21"/>
                    </w:rPr>
                    <w:t>1.5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41B00CED">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19ECB7EB">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2958615A">
                  <w:pPr>
                    <w:jc w:val="center"/>
                    <w:rPr>
                      <w:sz w:val="21"/>
                      <w:szCs w:val="21"/>
                    </w:rPr>
                  </w:pPr>
                  <w:r>
                    <w:rPr>
                      <w:sz w:val="21"/>
                      <w:szCs w:val="21"/>
                    </w:rPr>
                    <w:t>2～4</w:t>
                  </w:r>
                </w:p>
              </w:tc>
            </w:tr>
            <w:tr w14:paraId="392B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70D3E7CF">
                  <w:pPr>
                    <w:jc w:val="center"/>
                    <w:rPr>
                      <w:sz w:val="21"/>
                      <w:szCs w:val="21"/>
                    </w:rPr>
                  </w:pPr>
                  <w:r>
                    <w:rPr>
                      <w:rFonts w:hint="eastAsia"/>
                      <w:sz w:val="21"/>
                      <w:szCs w:val="21"/>
                    </w:rPr>
                    <w:t>8</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0C70F4AD">
                  <w:pPr>
                    <w:jc w:val="center"/>
                    <w:rPr>
                      <w:sz w:val="21"/>
                      <w:szCs w:val="21"/>
                    </w:rPr>
                  </w:pPr>
                  <w:r>
                    <w:rPr>
                      <w:sz w:val="21"/>
                      <w:szCs w:val="21"/>
                    </w:rPr>
                    <w:t>K-PAM</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646749B7">
                  <w:pPr>
                    <w:jc w:val="center"/>
                    <w:rPr>
                      <w:sz w:val="21"/>
                      <w:szCs w:val="21"/>
                    </w:rPr>
                  </w:pPr>
                  <w:r>
                    <w:rPr>
                      <w:rFonts w:hint="eastAsia"/>
                      <w:sz w:val="21"/>
                      <w:szCs w:val="21"/>
                    </w:rPr>
                    <w:t>聚丙烯酰胺钾盐</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1B71F7D3">
                  <w:pPr>
                    <w:jc w:val="center"/>
                    <w:rPr>
                      <w:sz w:val="21"/>
                      <w:szCs w:val="21"/>
                    </w:rPr>
                  </w:pPr>
                  <w:r>
                    <w:rPr>
                      <w:rFonts w:hint="eastAsia"/>
                      <w:sz w:val="21"/>
                      <w:szCs w:val="21"/>
                    </w:rPr>
                    <w:t>9</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7E3D0E06">
                  <w:pPr>
                    <w:jc w:val="center"/>
                    <w:rPr>
                      <w:sz w:val="21"/>
                      <w:szCs w:val="21"/>
                    </w:rPr>
                  </w:pPr>
                  <w:r>
                    <w:rPr>
                      <w:rFonts w:hint="eastAsia"/>
                      <w:sz w:val="21"/>
                      <w:szCs w:val="21"/>
                    </w:rPr>
                    <w:t>1.5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74FFB1D">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22612FA0">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056CC76C">
                  <w:pPr>
                    <w:jc w:val="center"/>
                    <w:rPr>
                      <w:sz w:val="21"/>
                      <w:szCs w:val="21"/>
                    </w:rPr>
                  </w:pPr>
                  <w:r>
                    <w:rPr>
                      <w:sz w:val="21"/>
                      <w:szCs w:val="21"/>
                    </w:rPr>
                    <w:t>3～5</w:t>
                  </w:r>
                </w:p>
              </w:tc>
            </w:tr>
            <w:tr w14:paraId="0093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4A571BD7">
                  <w:pPr>
                    <w:jc w:val="center"/>
                    <w:rPr>
                      <w:sz w:val="21"/>
                      <w:szCs w:val="21"/>
                    </w:rPr>
                  </w:pPr>
                  <w:r>
                    <w:rPr>
                      <w:rFonts w:hint="eastAsia"/>
                      <w:sz w:val="21"/>
                      <w:szCs w:val="21"/>
                    </w:rPr>
                    <w:t>9</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0AD3D110">
                  <w:pPr>
                    <w:jc w:val="center"/>
                    <w:rPr>
                      <w:sz w:val="21"/>
                      <w:szCs w:val="21"/>
                    </w:rPr>
                  </w:pPr>
                  <w:r>
                    <w:rPr>
                      <w:rFonts w:hint="eastAsia"/>
                      <w:sz w:val="21"/>
                      <w:szCs w:val="21"/>
                    </w:rPr>
                    <w:t>超细碳酸钙</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7B081100">
                  <w:pPr>
                    <w:jc w:val="center"/>
                    <w:rPr>
                      <w:sz w:val="21"/>
                      <w:szCs w:val="21"/>
                    </w:rPr>
                  </w:pPr>
                  <w:r>
                    <w:rPr>
                      <w:sz w:val="21"/>
                      <w:szCs w:val="21"/>
                    </w:rPr>
                    <w:t>CaCO</w:t>
                  </w:r>
                  <w:r>
                    <w:rPr>
                      <w:sz w:val="21"/>
                      <w:szCs w:val="21"/>
                      <w:vertAlign w:val="subscript"/>
                    </w:rPr>
                    <w:t>3</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00E0D7FE">
                  <w:pPr>
                    <w:jc w:val="center"/>
                    <w:rPr>
                      <w:sz w:val="21"/>
                      <w:szCs w:val="21"/>
                    </w:rPr>
                  </w:pPr>
                  <w:r>
                    <w:rPr>
                      <w:rFonts w:hint="eastAsia"/>
                      <w:sz w:val="21"/>
                      <w:szCs w:val="21"/>
                    </w:rPr>
                    <w:t>60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4CCACEA4">
                  <w:pPr>
                    <w:jc w:val="center"/>
                    <w:rPr>
                      <w:sz w:val="21"/>
                      <w:szCs w:val="21"/>
                    </w:rPr>
                  </w:pPr>
                  <w:r>
                    <w:rPr>
                      <w:rFonts w:hint="eastAsia"/>
                      <w:sz w:val="21"/>
                      <w:szCs w:val="21"/>
                    </w:rPr>
                    <w:t>10</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1B66393B">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3BAE4E99">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290A05F8">
                  <w:pPr>
                    <w:jc w:val="center"/>
                    <w:rPr>
                      <w:sz w:val="21"/>
                      <w:szCs w:val="21"/>
                    </w:rPr>
                  </w:pPr>
                  <w:r>
                    <w:rPr>
                      <w:sz w:val="21"/>
                      <w:szCs w:val="21"/>
                    </w:rPr>
                    <w:t>30～40</w:t>
                  </w:r>
                </w:p>
              </w:tc>
            </w:tr>
            <w:tr w14:paraId="529D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41FAEAE5">
                  <w:pPr>
                    <w:jc w:val="center"/>
                    <w:rPr>
                      <w:sz w:val="21"/>
                      <w:szCs w:val="21"/>
                    </w:rPr>
                  </w:pPr>
                  <w:r>
                    <w:rPr>
                      <w:rFonts w:hint="eastAsia"/>
                      <w:sz w:val="21"/>
                      <w:szCs w:val="21"/>
                    </w:rPr>
                    <w:t>10</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52121F3E">
                  <w:pPr>
                    <w:jc w:val="center"/>
                    <w:rPr>
                      <w:sz w:val="21"/>
                      <w:szCs w:val="21"/>
                    </w:rPr>
                  </w:pPr>
                  <w:r>
                    <w:rPr>
                      <w:sz w:val="21"/>
                      <w:szCs w:val="21"/>
                    </w:rPr>
                    <w:t>KCl</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1C4580D7">
                  <w:pPr>
                    <w:jc w:val="center"/>
                    <w:rPr>
                      <w:sz w:val="21"/>
                      <w:szCs w:val="21"/>
                    </w:rPr>
                  </w:pPr>
                  <w:r>
                    <w:rPr>
                      <w:sz w:val="21"/>
                      <w:szCs w:val="21"/>
                    </w:rPr>
                    <w:t>KCl</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0B4A6D5C">
                  <w:pPr>
                    <w:jc w:val="center"/>
                    <w:rPr>
                      <w:sz w:val="21"/>
                      <w:szCs w:val="21"/>
                    </w:rPr>
                  </w:pPr>
                  <w:r>
                    <w:rPr>
                      <w:rFonts w:hint="eastAsia"/>
                      <w:sz w:val="21"/>
                      <w:szCs w:val="21"/>
                    </w:rPr>
                    <w:t>90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41522615">
                  <w:pPr>
                    <w:jc w:val="center"/>
                    <w:rPr>
                      <w:sz w:val="21"/>
                      <w:szCs w:val="21"/>
                    </w:rPr>
                  </w:pPr>
                  <w:r>
                    <w:rPr>
                      <w:rFonts w:hint="eastAsia"/>
                      <w:sz w:val="21"/>
                      <w:szCs w:val="21"/>
                    </w:rPr>
                    <w:t>15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78BCE4C">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1975E4D8">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5AD904E3">
                  <w:pPr>
                    <w:jc w:val="center"/>
                    <w:rPr>
                      <w:sz w:val="21"/>
                      <w:szCs w:val="21"/>
                    </w:rPr>
                  </w:pPr>
                  <w:r>
                    <w:rPr>
                      <w:sz w:val="21"/>
                      <w:szCs w:val="21"/>
                    </w:rPr>
                    <w:t>40～50</w:t>
                  </w:r>
                </w:p>
              </w:tc>
            </w:tr>
            <w:tr w14:paraId="235D6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7D0B96B9">
                  <w:pPr>
                    <w:jc w:val="center"/>
                    <w:rPr>
                      <w:sz w:val="21"/>
                      <w:szCs w:val="21"/>
                    </w:rPr>
                  </w:pPr>
                  <w:r>
                    <w:rPr>
                      <w:rFonts w:hint="eastAsia"/>
                      <w:sz w:val="21"/>
                      <w:szCs w:val="21"/>
                    </w:rPr>
                    <w:t>11</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40A22D12">
                  <w:pPr>
                    <w:jc w:val="center"/>
                    <w:rPr>
                      <w:sz w:val="21"/>
                      <w:szCs w:val="21"/>
                    </w:rPr>
                  </w:pPr>
                  <w:r>
                    <w:rPr>
                      <w:sz w:val="21"/>
                      <w:szCs w:val="21"/>
                    </w:rPr>
                    <w:t>氯化钙</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28A7DABD">
                  <w:pPr>
                    <w:jc w:val="center"/>
                    <w:rPr>
                      <w:sz w:val="21"/>
                      <w:szCs w:val="21"/>
                    </w:rPr>
                  </w:pPr>
                  <w:r>
                    <w:rPr>
                      <w:sz w:val="21"/>
                      <w:szCs w:val="21"/>
                    </w:rPr>
                    <w:t>CaCl</w:t>
                  </w:r>
                  <w:r>
                    <w:rPr>
                      <w:sz w:val="21"/>
                      <w:szCs w:val="21"/>
                      <w:vertAlign w:val="subscript"/>
                    </w:rPr>
                    <w:t>2</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134701B4">
                  <w:pPr>
                    <w:jc w:val="center"/>
                    <w:rPr>
                      <w:sz w:val="21"/>
                      <w:szCs w:val="21"/>
                    </w:rPr>
                  </w:pPr>
                  <w:r>
                    <w:rPr>
                      <w:rFonts w:hint="eastAsia"/>
                      <w:sz w:val="21"/>
                      <w:szCs w:val="21"/>
                    </w:rPr>
                    <w:t>15</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2619237E">
                  <w:pPr>
                    <w:jc w:val="center"/>
                    <w:rPr>
                      <w:sz w:val="21"/>
                      <w:szCs w:val="21"/>
                    </w:rPr>
                  </w:pPr>
                  <w:r>
                    <w:rPr>
                      <w:rFonts w:hint="eastAsia"/>
                      <w:sz w:val="21"/>
                      <w:szCs w:val="21"/>
                    </w:rPr>
                    <w:t>2.5</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2D736F18">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079A8C9">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164D0249">
                  <w:pPr>
                    <w:jc w:val="center"/>
                    <w:rPr>
                      <w:sz w:val="21"/>
                      <w:szCs w:val="21"/>
                    </w:rPr>
                  </w:pPr>
                  <w:r>
                    <w:rPr>
                      <w:sz w:val="21"/>
                      <w:szCs w:val="21"/>
                    </w:rPr>
                    <w:t>5～8</w:t>
                  </w:r>
                </w:p>
              </w:tc>
            </w:tr>
            <w:tr w14:paraId="660D6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514A8188">
                  <w:pPr>
                    <w:jc w:val="center"/>
                    <w:rPr>
                      <w:sz w:val="21"/>
                      <w:szCs w:val="21"/>
                    </w:rPr>
                  </w:pPr>
                  <w:r>
                    <w:rPr>
                      <w:rFonts w:hint="eastAsia"/>
                      <w:sz w:val="21"/>
                      <w:szCs w:val="21"/>
                    </w:rPr>
                    <w:t>12</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325813C0">
                  <w:pPr>
                    <w:jc w:val="center"/>
                    <w:rPr>
                      <w:sz w:val="21"/>
                      <w:szCs w:val="21"/>
                    </w:rPr>
                  </w:pPr>
                  <w:r>
                    <w:rPr>
                      <w:sz w:val="21"/>
                      <w:szCs w:val="21"/>
                    </w:rPr>
                    <w:t>石灰石粉</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77FA8251">
                  <w:pPr>
                    <w:jc w:val="center"/>
                    <w:rPr>
                      <w:sz w:val="21"/>
                      <w:szCs w:val="21"/>
                    </w:rPr>
                  </w:pPr>
                  <w:r>
                    <w:rPr>
                      <w:sz w:val="21"/>
                      <w:szCs w:val="21"/>
                    </w:rPr>
                    <w:t>CaO</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2DB1D8DD">
                  <w:pPr>
                    <w:jc w:val="center"/>
                    <w:rPr>
                      <w:sz w:val="21"/>
                      <w:szCs w:val="21"/>
                    </w:rPr>
                  </w:pPr>
                  <w:r>
                    <w:rPr>
                      <w:rFonts w:hint="eastAsia"/>
                      <w:sz w:val="21"/>
                      <w:szCs w:val="21"/>
                    </w:rPr>
                    <w:t>900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1AD966D6">
                  <w:pPr>
                    <w:jc w:val="center"/>
                    <w:rPr>
                      <w:sz w:val="21"/>
                      <w:szCs w:val="21"/>
                    </w:rPr>
                  </w:pPr>
                  <w:r>
                    <w:rPr>
                      <w:rFonts w:hint="eastAsia"/>
                      <w:sz w:val="21"/>
                      <w:szCs w:val="21"/>
                    </w:rPr>
                    <w:t>150</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214ADD56">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5019EB8E">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0D6E9316">
                  <w:pPr>
                    <w:jc w:val="center"/>
                    <w:rPr>
                      <w:sz w:val="21"/>
                      <w:szCs w:val="21"/>
                    </w:rPr>
                  </w:pPr>
                  <w:r>
                    <w:rPr>
                      <w:sz w:val="21"/>
                      <w:szCs w:val="21"/>
                    </w:rPr>
                    <w:t>根据需要</w:t>
                  </w:r>
                </w:p>
              </w:tc>
            </w:tr>
            <w:tr w14:paraId="590F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2B37DA3C">
                  <w:pPr>
                    <w:jc w:val="center"/>
                    <w:rPr>
                      <w:sz w:val="21"/>
                      <w:szCs w:val="21"/>
                    </w:rPr>
                  </w:pPr>
                  <w:r>
                    <w:rPr>
                      <w:rFonts w:hint="eastAsia"/>
                      <w:sz w:val="21"/>
                      <w:szCs w:val="21"/>
                    </w:rPr>
                    <w:t>13</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18BBE838">
                  <w:pPr>
                    <w:jc w:val="center"/>
                    <w:rPr>
                      <w:sz w:val="21"/>
                      <w:szCs w:val="21"/>
                    </w:rPr>
                  </w:pPr>
                  <w:r>
                    <w:rPr>
                      <w:sz w:val="21"/>
                      <w:szCs w:val="21"/>
                    </w:rPr>
                    <w:t>多功能固体润滑剂</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7BC87D90">
                  <w:pPr>
                    <w:jc w:val="center"/>
                    <w:rPr>
                      <w:sz w:val="21"/>
                      <w:szCs w:val="21"/>
                    </w:rPr>
                  </w:pPr>
                  <w:r>
                    <w:rPr>
                      <w:rFonts w:hint="eastAsia"/>
                      <w:sz w:val="21"/>
                      <w:szCs w:val="21"/>
                    </w:rPr>
                    <w:t>石墨</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3B646B12">
                  <w:pPr>
                    <w:jc w:val="center"/>
                    <w:rPr>
                      <w:sz w:val="21"/>
                      <w:szCs w:val="21"/>
                    </w:rPr>
                  </w:pPr>
                  <w:r>
                    <w:rPr>
                      <w:rFonts w:hint="eastAsia"/>
                      <w:sz w:val="21"/>
                      <w:szCs w:val="21"/>
                    </w:rPr>
                    <w:t>48</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166C6E87">
                  <w:pPr>
                    <w:jc w:val="center"/>
                    <w:rPr>
                      <w:sz w:val="21"/>
                      <w:szCs w:val="21"/>
                    </w:rPr>
                  </w:pPr>
                  <w:r>
                    <w:rPr>
                      <w:rFonts w:hint="eastAsia"/>
                      <w:sz w:val="21"/>
                      <w:szCs w:val="21"/>
                    </w:rPr>
                    <w:t>8</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58D8F47A">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1627D872">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11A74504">
                  <w:pPr>
                    <w:jc w:val="center"/>
                    <w:rPr>
                      <w:sz w:val="21"/>
                      <w:szCs w:val="21"/>
                    </w:rPr>
                  </w:pPr>
                  <w:r>
                    <w:rPr>
                      <w:sz w:val="21"/>
                      <w:szCs w:val="21"/>
                    </w:rPr>
                    <w:t>20～30</w:t>
                  </w:r>
                </w:p>
              </w:tc>
            </w:tr>
            <w:tr w14:paraId="573F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3C4B93E0">
                  <w:pPr>
                    <w:jc w:val="center"/>
                    <w:rPr>
                      <w:sz w:val="21"/>
                      <w:szCs w:val="21"/>
                    </w:rPr>
                  </w:pPr>
                  <w:r>
                    <w:rPr>
                      <w:rFonts w:hint="eastAsia"/>
                      <w:sz w:val="21"/>
                      <w:szCs w:val="21"/>
                    </w:rPr>
                    <w:t>14</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3A74DB35">
                  <w:pPr>
                    <w:jc w:val="center"/>
                    <w:rPr>
                      <w:sz w:val="21"/>
                      <w:szCs w:val="21"/>
                    </w:rPr>
                  </w:pPr>
                  <w:r>
                    <w:rPr>
                      <w:sz w:val="21"/>
                      <w:szCs w:val="21"/>
                    </w:rPr>
                    <w:t>单封</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300A4A22">
                  <w:pPr>
                    <w:jc w:val="center"/>
                    <w:rPr>
                      <w:sz w:val="21"/>
                      <w:szCs w:val="21"/>
                    </w:rPr>
                  </w:pPr>
                  <w:r>
                    <w:rPr>
                      <w:rFonts w:hint="eastAsia"/>
                      <w:sz w:val="21"/>
                      <w:szCs w:val="21"/>
                    </w:rPr>
                    <w:t>植物纤维</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000D02E2">
                  <w:pPr>
                    <w:jc w:val="center"/>
                    <w:rPr>
                      <w:sz w:val="21"/>
                      <w:szCs w:val="21"/>
                    </w:rPr>
                  </w:pPr>
                  <w:r>
                    <w:rPr>
                      <w:rFonts w:hint="eastAsia"/>
                      <w:sz w:val="21"/>
                      <w:szCs w:val="21"/>
                    </w:rPr>
                    <w:t>60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0E3452B3">
                  <w:pPr>
                    <w:jc w:val="center"/>
                    <w:rPr>
                      <w:sz w:val="21"/>
                      <w:szCs w:val="21"/>
                    </w:rPr>
                  </w:pPr>
                  <w:r>
                    <w:rPr>
                      <w:sz w:val="21"/>
                      <w:szCs w:val="21"/>
                    </w:rPr>
                    <w:t>10</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8555228">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C3D8158">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6E97F92E">
                  <w:pPr>
                    <w:jc w:val="center"/>
                    <w:rPr>
                      <w:sz w:val="21"/>
                      <w:szCs w:val="21"/>
                    </w:rPr>
                  </w:pPr>
                  <w:r>
                    <w:rPr>
                      <w:rFonts w:hint="eastAsia"/>
                      <w:sz w:val="21"/>
                      <w:szCs w:val="21"/>
                    </w:rPr>
                    <w:t>/</w:t>
                  </w:r>
                </w:p>
              </w:tc>
            </w:tr>
            <w:tr w14:paraId="0202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34E4D245">
                  <w:pPr>
                    <w:jc w:val="center"/>
                    <w:rPr>
                      <w:sz w:val="21"/>
                      <w:szCs w:val="21"/>
                    </w:rPr>
                  </w:pPr>
                  <w:r>
                    <w:rPr>
                      <w:rFonts w:hint="eastAsia"/>
                      <w:sz w:val="21"/>
                      <w:szCs w:val="21"/>
                    </w:rPr>
                    <w:t>15</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496370A4">
                  <w:pPr>
                    <w:jc w:val="center"/>
                    <w:rPr>
                      <w:sz w:val="21"/>
                      <w:szCs w:val="21"/>
                    </w:rPr>
                  </w:pPr>
                  <w:r>
                    <w:rPr>
                      <w:sz w:val="21"/>
                      <w:szCs w:val="21"/>
                    </w:rPr>
                    <w:t>复合堵漏剂</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06E519AD">
                  <w:pPr>
                    <w:jc w:val="center"/>
                    <w:rPr>
                      <w:sz w:val="21"/>
                      <w:szCs w:val="21"/>
                    </w:rPr>
                  </w:pPr>
                  <w:r>
                    <w:rPr>
                      <w:rFonts w:hint="eastAsia"/>
                      <w:sz w:val="21"/>
                      <w:szCs w:val="21"/>
                    </w:rPr>
                    <w:t>植物纤维</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15EBBC8E">
                  <w:pPr>
                    <w:jc w:val="center"/>
                    <w:rPr>
                      <w:sz w:val="21"/>
                      <w:szCs w:val="21"/>
                    </w:rPr>
                  </w:pPr>
                  <w:r>
                    <w:rPr>
                      <w:rFonts w:hint="eastAsia"/>
                      <w:sz w:val="21"/>
                      <w:szCs w:val="21"/>
                    </w:rPr>
                    <w:t>60</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0FAD4F9B">
                  <w:pPr>
                    <w:jc w:val="center"/>
                    <w:rPr>
                      <w:sz w:val="21"/>
                      <w:szCs w:val="21"/>
                    </w:rPr>
                  </w:pPr>
                  <w:r>
                    <w:rPr>
                      <w:sz w:val="21"/>
                      <w:szCs w:val="21"/>
                    </w:rPr>
                    <w:t>10</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6D3B3BF">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02A34FFA">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4E3FD607">
                  <w:pPr>
                    <w:jc w:val="center"/>
                    <w:rPr>
                      <w:sz w:val="21"/>
                      <w:szCs w:val="21"/>
                    </w:rPr>
                  </w:pPr>
                  <w:r>
                    <w:rPr>
                      <w:rFonts w:hint="eastAsia"/>
                      <w:sz w:val="21"/>
                      <w:szCs w:val="21"/>
                    </w:rPr>
                    <w:t>/</w:t>
                  </w:r>
                </w:p>
              </w:tc>
            </w:tr>
            <w:tr w14:paraId="156AC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3B606128">
                  <w:pPr>
                    <w:jc w:val="center"/>
                    <w:rPr>
                      <w:sz w:val="21"/>
                      <w:szCs w:val="21"/>
                    </w:rPr>
                  </w:pPr>
                  <w:r>
                    <w:rPr>
                      <w:rFonts w:hint="eastAsia"/>
                      <w:sz w:val="21"/>
                      <w:szCs w:val="21"/>
                    </w:rPr>
                    <w:t>16</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7B7C02B6">
                  <w:pPr>
                    <w:jc w:val="center"/>
                    <w:rPr>
                      <w:sz w:val="21"/>
                      <w:szCs w:val="21"/>
                    </w:rPr>
                  </w:pPr>
                  <w:r>
                    <w:rPr>
                      <w:sz w:val="21"/>
                      <w:szCs w:val="21"/>
                    </w:rPr>
                    <w:t>碱式碳酸锌</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5F810663">
                  <w:pPr>
                    <w:jc w:val="center"/>
                    <w:rPr>
                      <w:sz w:val="21"/>
                      <w:szCs w:val="21"/>
                    </w:rPr>
                  </w:pPr>
                  <w:r>
                    <w:rPr>
                      <w:sz w:val="21"/>
                      <w:szCs w:val="21"/>
                    </w:rPr>
                    <w:t>Zn</w:t>
                  </w:r>
                  <w:r>
                    <w:rPr>
                      <w:sz w:val="21"/>
                      <w:szCs w:val="21"/>
                      <w:vertAlign w:val="subscript"/>
                    </w:rPr>
                    <w:t>2</w:t>
                  </w:r>
                  <w:r>
                    <w:rPr>
                      <w:sz w:val="21"/>
                      <w:szCs w:val="21"/>
                    </w:rPr>
                    <w:t>(OH)</w:t>
                  </w:r>
                  <w:r>
                    <w:rPr>
                      <w:sz w:val="21"/>
                      <w:szCs w:val="21"/>
                      <w:vertAlign w:val="subscript"/>
                    </w:rPr>
                    <w:t>2</w:t>
                  </w:r>
                  <w:r>
                    <w:rPr>
                      <w:sz w:val="21"/>
                      <w:szCs w:val="21"/>
                    </w:rPr>
                    <w:t>CO</w:t>
                  </w:r>
                  <w:r>
                    <w:rPr>
                      <w:sz w:val="21"/>
                      <w:szCs w:val="21"/>
                      <w:vertAlign w:val="subscript"/>
                    </w:rPr>
                    <w:t>3</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22ADADC7">
                  <w:pPr>
                    <w:jc w:val="center"/>
                    <w:rPr>
                      <w:sz w:val="21"/>
                      <w:szCs w:val="21"/>
                    </w:rPr>
                  </w:pPr>
                  <w:r>
                    <w:rPr>
                      <w:rFonts w:hint="eastAsia"/>
                      <w:sz w:val="21"/>
                      <w:szCs w:val="21"/>
                    </w:rPr>
                    <w:t>12</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7BF07445">
                  <w:pPr>
                    <w:jc w:val="center"/>
                    <w:rPr>
                      <w:sz w:val="21"/>
                      <w:szCs w:val="21"/>
                    </w:rPr>
                  </w:pPr>
                  <w:r>
                    <w:rPr>
                      <w:sz w:val="21"/>
                      <w:szCs w:val="21"/>
                    </w:rPr>
                    <w:t>2</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52A9781F">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4A721D3F">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16D8C784">
                  <w:pPr>
                    <w:jc w:val="center"/>
                    <w:rPr>
                      <w:sz w:val="21"/>
                      <w:szCs w:val="21"/>
                    </w:rPr>
                  </w:pPr>
                  <w:r>
                    <w:rPr>
                      <w:rFonts w:hint="eastAsia"/>
                      <w:sz w:val="21"/>
                      <w:szCs w:val="21"/>
                    </w:rPr>
                    <w:t>/</w:t>
                  </w:r>
                </w:p>
              </w:tc>
            </w:tr>
            <w:tr w14:paraId="0E462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98" w:type="pct"/>
                  <w:tcBorders>
                    <w:top w:val="single" w:color="auto" w:sz="4" w:space="0"/>
                    <w:left w:val="single" w:color="auto" w:sz="4" w:space="0"/>
                    <w:bottom w:val="single" w:color="auto" w:sz="4" w:space="0"/>
                    <w:right w:val="single" w:color="auto" w:sz="4" w:space="0"/>
                  </w:tcBorders>
                  <w:shd w:val="clear" w:color="auto" w:fill="FFFFFF"/>
                  <w:vAlign w:val="center"/>
                </w:tcPr>
                <w:p w14:paraId="3D53AFBC">
                  <w:pPr>
                    <w:jc w:val="center"/>
                    <w:rPr>
                      <w:sz w:val="21"/>
                      <w:szCs w:val="21"/>
                    </w:rPr>
                  </w:pPr>
                  <w:r>
                    <w:rPr>
                      <w:rFonts w:hint="eastAsia"/>
                      <w:sz w:val="21"/>
                      <w:szCs w:val="21"/>
                    </w:rPr>
                    <w:t>17</w:t>
                  </w:r>
                </w:p>
              </w:tc>
              <w:tc>
                <w:tcPr>
                  <w:tcW w:w="754" w:type="pct"/>
                  <w:tcBorders>
                    <w:top w:val="single" w:color="auto" w:sz="4" w:space="0"/>
                    <w:left w:val="single" w:color="auto" w:sz="4" w:space="0"/>
                    <w:bottom w:val="single" w:color="auto" w:sz="4" w:space="0"/>
                    <w:right w:val="single" w:color="auto" w:sz="4" w:space="0"/>
                  </w:tcBorders>
                  <w:shd w:val="clear" w:color="auto" w:fill="FFFFFF"/>
                  <w:vAlign w:val="center"/>
                </w:tcPr>
                <w:p w14:paraId="4E899D2E">
                  <w:pPr>
                    <w:jc w:val="center"/>
                    <w:rPr>
                      <w:sz w:val="21"/>
                      <w:szCs w:val="21"/>
                    </w:rPr>
                  </w:pPr>
                  <w:r>
                    <w:rPr>
                      <w:rFonts w:hint="eastAsia"/>
                      <w:sz w:val="21"/>
                      <w:szCs w:val="21"/>
                    </w:rPr>
                    <w:t>油层保护剂</w:t>
                  </w:r>
                </w:p>
              </w:tc>
              <w:tc>
                <w:tcPr>
                  <w:tcW w:w="794" w:type="pct"/>
                  <w:tcBorders>
                    <w:top w:val="single" w:color="auto" w:sz="4" w:space="0"/>
                    <w:left w:val="single" w:color="auto" w:sz="4" w:space="0"/>
                    <w:bottom w:val="single" w:color="auto" w:sz="4" w:space="0"/>
                    <w:right w:val="single" w:color="auto" w:sz="4" w:space="0"/>
                  </w:tcBorders>
                  <w:shd w:val="clear" w:color="auto" w:fill="FFFFFF"/>
                  <w:vAlign w:val="center"/>
                </w:tcPr>
                <w:p w14:paraId="105FDE68">
                  <w:pPr>
                    <w:jc w:val="center"/>
                    <w:rPr>
                      <w:sz w:val="21"/>
                      <w:szCs w:val="21"/>
                    </w:rPr>
                  </w:pPr>
                  <w:r>
                    <w:rPr>
                      <w:rFonts w:hint="eastAsia"/>
                      <w:sz w:val="21"/>
                      <w:szCs w:val="21"/>
                    </w:rPr>
                    <w:t>/</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7F14D732">
                  <w:pPr>
                    <w:jc w:val="center"/>
                    <w:rPr>
                      <w:sz w:val="21"/>
                      <w:szCs w:val="21"/>
                    </w:rPr>
                  </w:pPr>
                  <w:r>
                    <w:rPr>
                      <w:rFonts w:hint="eastAsia"/>
                      <w:sz w:val="21"/>
                      <w:szCs w:val="21"/>
                    </w:rPr>
                    <w:t>36</w:t>
                  </w:r>
                </w:p>
              </w:tc>
              <w:tc>
                <w:tcPr>
                  <w:tcW w:w="658" w:type="pct"/>
                  <w:tcBorders>
                    <w:top w:val="single" w:color="auto" w:sz="4" w:space="0"/>
                    <w:left w:val="single" w:color="auto" w:sz="4" w:space="0"/>
                    <w:bottom w:val="single" w:color="auto" w:sz="4" w:space="0"/>
                    <w:right w:val="single" w:color="auto" w:sz="4" w:space="0"/>
                  </w:tcBorders>
                  <w:shd w:val="clear" w:color="auto" w:fill="FFFFFF"/>
                  <w:vAlign w:val="center"/>
                </w:tcPr>
                <w:p w14:paraId="5D908B6E">
                  <w:pPr>
                    <w:jc w:val="center"/>
                    <w:rPr>
                      <w:sz w:val="21"/>
                      <w:szCs w:val="21"/>
                    </w:rPr>
                  </w:pPr>
                  <w:r>
                    <w:rPr>
                      <w:rFonts w:hint="eastAsia"/>
                      <w:sz w:val="21"/>
                      <w:szCs w:val="21"/>
                    </w:rPr>
                    <w:t>6</w:t>
                  </w:r>
                </w:p>
              </w:tc>
              <w:tc>
                <w:tcPr>
                  <w:tcW w:w="820" w:type="pct"/>
                  <w:tcBorders>
                    <w:top w:val="single" w:color="auto" w:sz="4" w:space="0"/>
                    <w:left w:val="single" w:color="auto" w:sz="4" w:space="0"/>
                    <w:bottom w:val="single" w:color="auto" w:sz="4" w:space="0"/>
                    <w:right w:val="single" w:color="auto" w:sz="4" w:space="0"/>
                  </w:tcBorders>
                  <w:shd w:val="clear" w:color="auto" w:fill="FFFFFF"/>
                  <w:vAlign w:val="center"/>
                </w:tcPr>
                <w:p w14:paraId="0D41D4F4">
                  <w:pPr>
                    <w:jc w:val="center"/>
                    <w:rPr>
                      <w:sz w:val="21"/>
                      <w:szCs w:val="21"/>
                    </w:rPr>
                  </w:pPr>
                  <w:r>
                    <w:rPr>
                      <w:sz w:val="21"/>
                      <w:szCs w:val="21"/>
                    </w:rPr>
                    <w:t>袋装</w:t>
                  </w:r>
                  <w:r>
                    <w:rPr>
                      <w:rFonts w:hint="eastAsia"/>
                      <w:sz w:val="21"/>
                      <w:szCs w:val="21"/>
                    </w:rPr>
                    <w:t>，</w:t>
                  </w:r>
                  <w:r>
                    <w:rPr>
                      <w:sz w:val="21"/>
                      <w:szCs w:val="21"/>
                    </w:rPr>
                    <w:t>25kg/袋</w:t>
                  </w:r>
                </w:p>
              </w:tc>
              <w:tc>
                <w:tcPr>
                  <w:tcW w:w="457" w:type="pct"/>
                  <w:tcBorders>
                    <w:top w:val="single" w:color="auto" w:sz="4" w:space="0"/>
                    <w:left w:val="single" w:color="auto" w:sz="4" w:space="0"/>
                    <w:bottom w:val="single" w:color="auto" w:sz="4" w:space="0"/>
                    <w:right w:val="single" w:color="auto" w:sz="4" w:space="0"/>
                  </w:tcBorders>
                  <w:shd w:val="clear" w:color="auto" w:fill="FFFFFF"/>
                  <w:vAlign w:val="center"/>
                </w:tcPr>
                <w:p w14:paraId="31934DE3">
                  <w:pPr>
                    <w:jc w:val="center"/>
                    <w:rPr>
                      <w:sz w:val="21"/>
                      <w:szCs w:val="21"/>
                    </w:rPr>
                  </w:pPr>
                  <w:r>
                    <w:rPr>
                      <w:sz w:val="21"/>
                      <w:szCs w:val="21"/>
                    </w:rPr>
                    <w:t>材料房</w:t>
                  </w:r>
                </w:p>
              </w:tc>
              <w:tc>
                <w:tcPr>
                  <w:tcW w:w="526" w:type="pct"/>
                  <w:tcBorders>
                    <w:top w:val="single" w:color="auto" w:sz="4" w:space="0"/>
                    <w:left w:val="single" w:color="auto" w:sz="4" w:space="0"/>
                    <w:bottom w:val="single" w:color="auto" w:sz="4" w:space="0"/>
                    <w:right w:val="single" w:color="auto" w:sz="4" w:space="0"/>
                  </w:tcBorders>
                  <w:shd w:val="clear" w:color="auto" w:fill="FFFFFF"/>
                  <w:vAlign w:val="center"/>
                </w:tcPr>
                <w:p w14:paraId="7B1FCE9C">
                  <w:pPr>
                    <w:jc w:val="center"/>
                    <w:rPr>
                      <w:sz w:val="21"/>
                      <w:szCs w:val="21"/>
                    </w:rPr>
                  </w:pPr>
                  <w:r>
                    <w:rPr>
                      <w:rFonts w:hint="eastAsia"/>
                      <w:sz w:val="21"/>
                      <w:szCs w:val="21"/>
                    </w:rPr>
                    <w:t>/</w:t>
                  </w:r>
                </w:p>
              </w:tc>
            </w:tr>
          </w:tbl>
          <w:p w14:paraId="351333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（3）油基钻井液</w:t>
            </w:r>
          </w:p>
          <w:p w14:paraId="3CBCC8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油基钻井液配方如下表所示。</w:t>
            </w:r>
          </w:p>
          <w:p w14:paraId="315EB4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b/>
                <w:bCs/>
              </w:rPr>
              <w:t>表</w:t>
            </w:r>
            <w:r>
              <w:rPr>
                <w:rFonts w:hint="eastAsia"/>
                <w:b/>
                <w:bCs/>
              </w:rPr>
              <w:t xml:space="preserve">2-6 </w:t>
            </w:r>
            <w:r>
              <w:rPr>
                <w:b/>
                <w:bCs/>
              </w:rPr>
              <w:t>项目</w:t>
            </w:r>
            <w:r>
              <w:rPr>
                <w:rFonts w:hint="eastAsia"/>
                <w:b/>
                <w:bCs/>
              </w:rPr>
              <w:t>油基</w:t>
            </w:r>
            <w:r>
              <w:rPr>
                <w:b/>
                <w:bCs/>
              </w:rPr>
              <w:t>钻井液</w:t>
            </w:r>
            <w:r>
              <w:rPr>
                <w:rFonts w:hint="eastAsia"/>
                <w:b/>
                <w:bCs/>
              </w:rPr>
              <w:t>配方消耗情况表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2244"/>
              <w:gridCol w:w="1601"/>
              <w:gridCol w:w="1312"/>
              <w:gridCol w:w="1166"/>
              <w:gridCol w:w="932"/>
              <w:gridCol w:w="1108"/>
            </w:tblGrid>
            <w:tr w14:paraId="707F7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289" w:type="pct"/>
                  <w:shd w:val="clear" w:color="auto" w:fill="FFFFFF"/>
                  <w:vAlign w:val="center"/>
                </w:tcPr>
                <w:p w14:paraId="1939DF7A">
                  <w:pPr>
                    <w:jc w:val="center"/>
                    <w:rPr>
                      <w:b/>
                      <w:bCs/>
                      <w:sz w:val="21"/>
                      <w:szCs w:val="21"/>
                    </w:rPr>
                  </w:pPr>
                  <w:r>
                    <w:rPr>
                      <w:b/>
                      <w:bCs/>
                      <w:sz w:val="21"/>
                      <w:szCs w:val="21"/>
                    </w:rPr>
                    <w:t>序号</w:t>
                  </w:r>
                </w:p>
              </w:tc>
              <w:tc>
                <w:tcPr>
                  <w:tcW w:w="1264" w:type="pct"/>
                  <w:shd w:val="clear" w:color="auto" w:fill="FFFFFF"/>
                  <w:vAlign w:val="center"/>
                </w:tcPr>
                <w:p w14:paraId="5C3F0BAF">
                  <w:pPr>
                    <w:jc w:val="center"/>
                    <w:rPr>
                      <w:b/>
                      <w:bCs/>
                      <w:sz w:val="21"/>
                      <w:szCs w:val="21"/>
                    </w:rPr>
                  </w:pPr>
                  <w:r>
                    <w:rPr>
                      <w:b/>
                      <w:bCs/>
                      <w:sz w:val="21"/>
                      <w:szCs w:val="21"/>
                    </w:rPr>
                    <w:t>处理剂名称</w:t>
                  </w:r>
                </w:p>
              </w:tc>
              <w:tc>
                <w:tcPr>
                  <w:tcW w:w="902" w:type="pct"/>
                  <w:shd w:val="clear" w:color="auto" w:fill="FFFFFF"/>
                  <w:vAlign w:val="center"/>
                </w:tcPr>
                <w:p w14:paraId="79B01389">
                  <w:pPr>
                    <w:jc w:val="center"/>
                    <w:rPr>
                      <w:b/>
                      <w:bCs/>
                      <w:sz w:val="21"/>
                      <w:szCs w:val="21"/>
                    </w:rPr>
                  </w:pPr>
                  <w:r>
                    <w:rPr>
                      <w:rFonts w:hint="eastAsia"/>
                      <w:b/>
                      <w:bCs/>
                      <w:sz w:val="21"/>
                      <w:szCs w:val="21"/>
                    </w:rPr>
                    <w:t>本项目</w:t>
                  </w:r>
                  <w:r>
                    <w:rPr>
                      <w:b/>
                      <w:bCs/>
                      <w:sz w:val="21"/>
                      <w:szCs w:val="21"/>
                    </w:rPr>
                    <w:t>总用量(t)</w:t>
                  </w:r>
                </w:p>
              </w:tc>
              <w:tc>
                <w:tcPr>
                  <w:tcW w:w="739" w:type="pct"/>
                  <w:shd w:val="clear" w:color="auto" w:fill="FFFFFF"/>
                  <w:vAlign w:val="center"/>
                </w:tcPr>
                <w:p w14:paraId="72EA5C3D">
                  <w:pPr>
                    <w:jc w:val="center"/>
                    <w:rPr>
                      <w:b/>
                      <w:bCs/>
                      <w:sz w:val="21"/>
                      <w:szCs w:val="21"/>
                    </w:rPr>
                  </w:pPr>
                  <w:r>
                    <w:rPr>
                      <w:b/>
                      <w:bCs/>
                      <w:sz w:val="21"/>
                      <w:szCs w:val="21"/>
                    </w:rPr>
                    <w:t>最大暂存量(t)</w:t>
                  </w:r>
                </w:p>
              </w:tc>
              <w:tc>
                <w:tcPr>
                  <w:tcW w:w="657" w:type="pct"/>
                  <w:shd w:val="clear" w:color="auto" w:fill="FFFFFF"/>
                  <w:vAlign w:val="center"/>
                </w:tcPr>
                <w:p w14:paraId="23E1788A">
                  <w:pPr>
                    <w:jc w:val="center"/>
                    <w:rPr>
                      <w:b/>
                      <w:bCs/>
                      <w:sz w:val="21"/>
                      <w:szCs w:val="21"/>
                    </w:rPr>
                  </w:pPr>
                  <w:r>
                    <w:rPr>
                      <w:b/>
                      <w:bCs/>
                      <w:sz w:val="21"/>
                      <w:szCs w:val="21"/>
                    </w:rPr>
                    <w:t>储存方式</w:t>
                  </w:r>
                </w:p>
              </w:tc>
              <w:tc>
                <w:tcPr>
                  <w:tcW w:w="525" w:type="pct"/>
                  <w:shd w:val="clear" w:color="auto" w:fill="FFFFFF"/>
                  <w:vAlign w:val="center"/>
                </w:tcPr>
                <w:p w14:paraId="1BD9FAA9">
                  <w:pPr>
                    <w:jc w:val="center"/>
                    <w:rPr>
                      <w:b/>
                      <w:bCs/>
                      <w:sz w:val="21"/>
                      <w:szCs w:val="21"/>
                    </w:rPr>
                  </w:pPr>
                  <w:r>
                    <w:rPr>
                      <w:b/>
                      <w:bCs/>
                      <w:sz w:val="21"/>
                      <w:szCs w:val="21"/>
                    </w:rPr>
                    <w:t>存放位置</w:t>
                  </w:r>
                </w:p>
              </w:tc>
              <w:tc>
                <w:tcPr>
                  <w:tcW w:w="624" w:type="pct"/>
                  <w:shd w:val="clear" w:color="auto" w:fill="FFFFFF"/>
                  <w:vAlign w:val="center"/>
                </w:tcPr>
                <w:p w14:paraId="1471E589">
                  <w:pPr>
                    <w:jc w:val="center"/>
                    <w:rPr>
                      <w:b/>
                      <w:bCs/>
                      <w:sz w:val="21"/>
                      <w:szCs w:val="21"/>
                    </w:rPr>
                  </w:pPr>
                  <w:r>
                    <w:rPr>
                      <w:b/>
                      <w:bCs/>
                      <w:sz w:val="21"/>
                      <w:szCs w:val="21"/>
                    </w:rPr>
                    <w:t>配方(kg/m</w:t>
                  </w:r>
                  <w:r>
                    <w:rPr>
                      <w:b/>
                      <w:bCs/>
                      <w:sz w:val="21"/>
                      <w:szCs w:val="21"/>
                      <w:vertAlign w:val="superscript"/>
                    </w:rPr>
                    <w:t>3</w:t>
                  </w:r>
                  <w:r>
                    <w:rPr>
                      <w:b/>
                      <w:bCs/>
                      <w:sz w:val="21"/>
                      <w:szCs w:val="21"/>
                    </w:rPr>
                    <w:t>)</w:t>
                  </w:r>
                </w:p>
              </w:tc>
            </w:tr>
            <w:tr w14:paraId="053D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769553E">
                  <w:pPr>
                    <w:jc w:val="center"/>
                    <w:rPr>
                      <w:sz w:val="21"/>
                      <w:szCs w:val="21"/>
                    </w:rPr>
                  </w:pPr>
                  <w:r>
                    <w:rPr>
                      <w:sz w:val="21"/>
                      <w:szCs w:val="21"/>
                    </w:rPr>
                    <w:t>1</w:t>
                  </w:r>
                </w:p>
              </w:tc>
              <w:tc>
                <w:tcPr>
                  <w:tcW w:w="1264" w:type="pct"/>
                  <w:vAlign w:val="center"/>
                </w:tcPr>
                <w:p w14:paraId="7EF816F8">
                  <w:pPr>
                    <w:jc w:val="center"/>
                    <w:rPr>
                      <w:sz w:val="21"/>
                      <w:szCs w:val="21"/>
                    </w:rPr>
                  </w:pPr>
                  <w:r>
                    <w:rPr>
                      <w:sz w:val="21"/>
                      <w:szCs w:val="21"/>
                    </w:rPr>
                    <w:t>柴油</w:t>
                  </w:r>
                </w:p>
              </w:tc>
              <w:tc>
                <w:tcPr>
                  <w:tcW w:w="902" w:type="pct"/>
                  <w:shd w:val="clear" w:color="auto" w:fill="auto"/>
                  <w:vAlign w:val="center"/>
                </w:tcPr>
                <w:p w14:paraId="63ED7DEF">
                  <w:pPr>
                    <w:jc w:val="center"/>
                    <w:rPr>
                      <w:sz w:val="21"/>
                      <w:szCs w:val="21"/>
                    </w:rPr>
                  </w:pPr>
                  <w:r>
                    <w:rPr>
                      <w:rFonts w:hint="eastAsia"/>
                      <w:sz w:val="21"/>
                      <w:szCs w:val="21"/>
                    </w:rPr>
                    <w:t>1500</w:t>
                  </w:r>
                </w:p>
              </w:tc>
              <w:tc>
                <w:tcPr>
                  <w:tcW w:w="739" w:type="pct"/>
                  <w:shd w:val="clear" w:color="auto" w:fill="auto"/>
                  <w:vAlign w:val="center"/>
                </w:tcPr>
                <w:p w14:paraId="2905383B">
                  <w:pPr>
                    <w:jc w:val="center"/>
                    <w:rPr>
                      <w:sz w:val="21"/>
                      <w:szCs w:val="21"/>
                    </w:rPr>
                  </w:pPr>
                  <w:r>
                    <w:rPr>
                      <w:sz w:val="21"/>
                      <w:szCs w:val="21"/>
                    </w:rPr>
                    <w:t>250</w:t>
                  </w:r>
                </w:p>
              </w:tc>
              <w:tc>
                <w:tcPr>
                  <w:tcW w:w="657" w:type="pct"/>
                  <w:vAlign w:val="center"/>
                </w:tcPr>
                <w:p w14:paraId="484AF352">
                  <w:pPr>
                    <w:jc w:val="center"/>
                    <w:rPr>
                      <w:sz w:val="21"/>
                      <w:szCs w:val="21"/>
                    </w:rPr>
                  </w:pPr>
                  <w:r>
                    <w:rPr>
                      <w:sz w:val="21"/>
                      <w:szCs w:val="21"/>
                    </w:rPr>
                    <w:t>油罐存储</w:t>
                  </w:r>
                </w:p>
              </w:tc>
              <w:tc>
                <w:tcPr>
                  <w:tcW w:w="525" w:type="pct"/>
                  <w:shd w:val="clear" w:color="auto" w:fill="FFFFFF"/>
                  <w:vAlign w:val="center"/>
                </w:tcPr>
                <w:p w14:paraId="7E6559FE">
                  <w:pPr>
                    <w:jc w:val="center"/>
                    <w:rPr>
                      <w:sz w:val="21"/>
                      <w:szCs w:val="21"/>
                    </w:rPr>
                  </w:pPr>
                  <w:r>
                    <w:rPr>
                      <w:sz w:val="21"/>
                      <w:szCs w:val="21"/>
                    </w:rPr>
                    <w:t>油罐</w:t>
                  </w:r>
                </w:p>
              </w:tc>
              <w:tc>
                <w:tcPr>
                  <w:tcW w:w="624" w:type="pct"/>
                  <w:vAlign w:val="center"/>
                </w:tcPr>
                <w:p w14:paraId="113A50E0">
                  <w:pPr>
                    <w:jc w:val="center"/>
                    <w:rPr>
                      <w:sz w:val="21"/>
                      <w:szCs w:val="21"/>
                    </w:rPr>
                  </w:pPr>
                  <w:r>
                    <w:rPr>
                      <w:sz w:val="21"/>
                      <w:szCs w:val="21"/>
                    </w:rPr>
                    <w:t>310</w:t>
                  </w:r>
                  <w:r>
                    <w:rPr>
                      <w:sz w:val="21"/>
                      <w:szCs w:val="21"/>
                    </w:rPr>
                    <w:noBreakHyphen/>
                  </w:r>
                  <w:r>
                    <w:rPr>
                      <w:sz w:val="21"/>
                      <w:szCs w:val="21"/>
                    </w:rPr>
                    <w:t>330</w:t>
                  </w:r>
                </w:p>
              </w:tc>
            </w:tr>
            <w:tr w14:paraId="4B997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1BFB8BBC">
                  <w:pPr>
                    <w:jc w:val="center"/>
                    <w:rPr>
                      <w:sz w:val="21"/>
                      <w:szCs w:val="21"/>
                    </w:rPr>
                  </w:pPr>
                  <w:r>
                    <w:rPr>
                      <w:sz w:val="21"/>
                      <w:szCs w:val="21"/>
                    </w:rPr>
                    <w:t>2</w:t>
                  </w:r>
                </w:p>
              </w:tc>
              <w:tc>
                <w:tcPr>
                  <w:tcW w:w="1264" w:type="pct"/>
                  <w:vAlign w:val="center"/>
                </w:tcPr>
                <w:p w14:paraId="1C2C5F3A">
                  <w:pPr>
                    <w:jc w:val="center"/>
                    <w:rPr>
                      <w:sz w:val="21"/>
                      <w:szCs w:val="21"/>
                    </w:rPr>
                  </w:pPr>
                  <w:r>
                    <w:rPr>
                      <w:sz w:val="21"/>
                      <w:szCs w:val="21"/>
                    </w:rPr>
                    <w:t>主乳化剂/石油磺酸钠</w:t>
                  </w:r>
                </w:p>
              </w:tc>
              <w:tc>
                <w:tcPr>
                  <w:tcW w:w="902" w:type="pct"/>
                  <w:shd w:val="clear" w:color="auto" w:fill="auto"/>
                  <w:vAlign w:val="center"/>
                </w:tcPr>
                <w:p w14:paraId="0611A6C3">
                  <w:pPr>
                    <w:jc w:val="center"/>
                    <w:rPr>
                      <w:sz w:val="21"/>
                      <w:szCs w:val="21"/>
                    </w:rPr>
                  </w:pPr>
                  <w:r>
                    <w:rPr>
                      <w:rFonts w:hint="eastAsia"/>
                      <w:sz w:val="21"/>
                      <w:szCs w:val="21"/>
                    </w:rPr>
                    <w:t>54</w:t>
                  </w:r>
                </w:p>
              </w:tc>
              <w:tc>
                <w:tcPr>
                  <w:tcW w:w="739" w:type="pct"/>
                  <w:shd w:val="clear" w:color="auto" w:fill="auto"/>
                  <w:vAlign w:val="center"/>
                </w:tcPr>
                <w:p w14:paraId="6E37446E">
                  <w:pPr>
                    <w:jc w:val="center"/>
                    <w:rPr>
                      <w:sz w:val="21"/>
                      <w:szCs w:val="21"/>
                    </w:rPr>
                  </w:pPr>
                  <w:r>
                    <w:rPr>
                      <w:sz w:val="21"/>
                      <w:szCs w:val="21"/>
                    </w:rPr>
                    <w:t>9</w:t>
                  </w:r>
                </w:p>
              </w:tc>
              <w:tc>
                <w:tcPr>
                  <w:tcW w:w="657" w:type="pct"/>
                  <w:vAlign w:val="center"/>
                </w:tcPr>
                <w:p w14:paraId="594915A3">
                  <w:pPr>
                    <w:jc w:val="center"/>
                    <w:rPr>
                      <w:sz w:val="21"/>
                      <w:szCs w:val="21"/>
                    </w:rPr>
                  </w:pPr>
                  <w:r>
                    <w:rPr>
                      <w:sz w:val="21"/>
                      <w:szCs w:val="21"/>
                    </w:rPr>
                    <w:t>桶装，25kg/桶</w:t>
                  </w:r>
                </w:p>
              </w:tc>
              <w:tc>
                <w:tcPr>
                  <w:tcW w:w="525" w:type="pct"/>
                  <w:shd w:val="clear" w:color="auto" w:fill="FFFFFF"/>
                  <w:vAlign w:val="center"/>
                </w:tcPr>
                <w:p w14:paraId="63CFFAC9">
                  <w:pPr>
                    <w:jc w:val="center"/>
                    <w:rPr>
                      <w:sz w:val="21"/>
                      <w:szCs w:val="21"/>
                    </w:rPr>
                  </w:pPr>
                  <w:r>
                    <w:rPr>
                      <w:sz w:val="21"/>
                      <w:szCs w:val="21"/>
                    </w:rPr>
                    <w:t>材料房</w:t>
                  </w:r>
                </w:p>
              </w:tc>
              <w:tc>
                <w:tcPr>
                  <w:tcW w:w="624" w:type="pct"/>
                  <w:vAlign w:val="center"/>
                </w:tcPr>
                <w:p w14:paraId="3CD4D26D">
                  <w:pPr>
                    <w:jc w:val="center"/>
                    <w:rPr>
                      <w:sz w:val="21"/>
                      <w:szCs w:val="21"/>
                    </w:rPr>
                  </w:pPr>
                  <w:r>
                    <w:rPr>
                      <w:sz w:val="21"/>
                      <w:szCs w:val="21"/>
                    </w:rPr>
                    <w:t>16</w:t>
                  </w:r>
                  <w:r>
                    <w:rPr>
                      <w:sz w:val="21"/>
                      <w:szCs w:val="21"/>
                    </w:rPr>
                    <w:noBreakHyphen/>
                  </w:r>
                  <w:r>
                    <w:rPr>
                      <w:sz w:val="21"/>
                      <w:szCs w:val="21"/>
                    </w:rPr>
                    <w:t>20</w:t>
                  </w:r>
                </w:p>
              </w:tc>
            </w:tr>
            <w:tr w14:paraId="69655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A980690">
                  <w:pPr>
                    <w:jc w:val="center"/>
                    <w:rPr>
                      <w:sz w:val="21"/>
                      <w:szCs w:val="21"/>
                    </w:rPr>
                  </w:pPr>
                  <w:r>
                    <w:rPr>
                      <w:sz w:val="21"/>
                      <w:szCs w:val="21"/>
                    </w:rPr>
                    <w:t>3</w:t>
                  </w:r>
                </w:p>
              </w:tc>
              <w:tc>
                <w:tcPr>
                  <w:tcW w:w="1264" w:type="pct"/>
                  <w:vAlign w:val="center"/>
                </w:tcPr>
                <w:p w14:paraId="1540B661">
                  <w:pPr>
                    <w:jc w:val="center"/>
                    <w:rPr>
                      <w:sz w:val="21"/>
                      <w:szCs w:val="21"/>
                    </w:rPr>
                  </w:pPr>
                  <w:r>
                    <w:rPr>
                      <w:sz w:val="21"/>
                      <w:szCs w:val="21"/>
                    </w:rPr>
                    <w:t>辅乳化剂/失水山梨醇单油酸酯</w:t>
                  </w:r>
                </w:p>
              </w:tc>
              <w:tc>
                <w:tcPr>
                  <w:tcW w:w="902" w:type="pct"/>
                  <w:shd w:val="clear" w:color="auto" w:fill="auto"/>
                  <w:vAlign w:val="center"/>
                </w:tcPr>
                <w:p w14:paraId="44E96768">
                  <w:pPr>
                    <w:jc w:val="center"/>
                    <w:rPr>
                      <w:sz w:val="21"/>
                      <w:szCs w:val="21"/>
                    </w:rPr>
                  </w:pPr>
                  <w:r>
                    <w:rPr>
                      <w:rFonts w:hint="eastAsia"/>
                      <w:sz w:val="21"/>
                      <w:szCs w:val="21"/>
                    </w:rPr>
                    <w:t>36</w:t>
                  </w:r>
                </w:p>
              </w:tc>
              <w:tc>
                <w:tcPr>
                  <w:tcW w:w="739" w:type="pct"/>
                  <w:shd w:val="clear" w:color="auto" w:fill="auto"/>
                  <w:vAlign w:val="center"/>
                </w:tcPr>
                <w:p w14:paraId="4930CE8E">
                  <w:pPr>
                    <w:jc w:val="center"/>
                    <w:rPr>
                      <w:sz w:val="21"/>
                      <w:szCs w:val="21"/>
                    </w:rPr>
                  </w:pPr>
                  <w:r>
                    <w:rPr>
                      <w:sz w:val="21"/>
                      <w:szCs w:val="21"/>
                    </w:rPr>
                    <w:t>6</w:t>
                  </w:r>
                </w:p>
              </w:tc>
              <w:tc>
                <w:tcPr>
                  <w:tcW w:w="657" w:type="pct"/>
                  <w:vAlign w:val="center"/>
                </w:tcPr>
                <w:p w14:paraId="70710C41">
                  <w:pPr>
                    <w:jc w:val="center"/>
                    <w:rPr>
                      <w:sz w:val="21"/>
                      <w:szCs w:val="21"/>
                    </w:rPr>
                  </w:pPr>
                  <w:r>
                    <w:rPr>
                      <w:sz w:val="21"/>
                      <w:szCs w:val="21"/>
                    </w:rPr>
                    <w:t>桶装，25kg/桶</w:t>
                  </w:r>
                </w:p>
              </w:tc>
              <w:tc>
                <w:tcPr>
                  <w:tcW w:w="525" w:type="pct"/>
                  <w:shd w:val="clear" w:color="auto" w:fill="FFFFFF"/>
                  <w:vAlign w:val="center"/>
                </w:tcPr>
                <w:p w14:paraId="3BEFFE51">
                  <w:pPr>
                    <w:jc w:val="center"/>
                    <w:rPr>
                      <w:sz w:val="21"/>
                      <w:szCs w:val="21"/>
                    </w:rPr>
                  </w:pPr>
                  <w:r>
                    <w:rPr>
                      <w:sz w:val="21"/>
                      <w:szCs w:val="21"/>
                    </w:rPr>
                    <w:t>材料房</w:t>
                  </w:r>
                </w:p>
              </w:tc>
              <w:tc>
                <w:tcPr>
                  <w:tcW w:w="624" w:type="pct"/>
                  <w:vAlign w:val="center"/>
                </w:tcPr>
                <w:p w14:paraId="00FC4810">
                  <w:pPr>
                    <w:jc w:val="center"/>
                    <w:rPr>
                      <w:sz w:val="21"/>
                      <w:szCs w:val="21"/>
                    </w:rPr>
                  </w:pPr>
                  <w:r>
                    <w:rPr>
                      <w:sz w:val="21"/>
                      <w:szCs w:val="21"/>
                    </w:rPr>
                    <w:t>10</w:t>
                  </w:r>
                  <w:r>
                    <w:rPr>
                      <w:sz w:val="21"/>
                      <w:szCs w:val="21"/>
                    </w:rPr>
                    <w:noBreakHyphen/>
                  </w:r>
                  <w:r>
                    <w:rPr>
                      <w:sz w:val="21"/>
                      <w:szCs w:val="21"/>
                    </w:rPr>
                    <w:t>14</w:t>
                  </w:r>
                </w:p>
              </w:tc>
            </w:tr>
            <w:tr w14:paraId="1A08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6EE50A44">
                  <w:pPr>
                    <w:jc w:val="center"/>
                    <w:rPr>
                      <w:sz w:val="21"/>
                      <w:szCs w:val="21"/>
                    </w:rPr>
                  </w:pPr>
                  <w:r>
                    <w:rPr>
                      <w:sz w:val="21"/>
                      <w:szCs w:val="21"/>
                    </w:rPr>
                    <w:t>4</w:t>
                  </w:r>
                </w:p>
              </w:tc>
              <w:tc>
                <w:tcPr>
                  <w:tcW w:w="1264" w:type="pct"/>
                  <w:vAlign w:val="center"/>
                </w:tcPr>
                <w:p w14:paraId="63C7C45E">
                  <w:pPr>
                    <w:jc w:val="center"/>
                    <w:rPr>
                      <w:sz w:val="21"/>
                      <w:szCs w:val="21"/>
                    </w:rPr>
                  </w:pPr>
                  <w:r>
                    <w:rPr>
                      <w:sz w:val="21"/>
                      <w:szCs w:val="21"/>
                    </w:rPr>
                    <w:t>降滤失剂/改性沥青</w:t>
                  </w:r>
                </w:p>
              </w:tc>
              <w:tc>
                <w:tcPr>
                  <w:tcW w:w="902" w:type="pct"/>
                  <w:shd w:val="clear" w:color="auto" w:fill="auto"/>
                  <w:vAlign w:val="center"/>
                </w:tcPr>
                <w:p w14:paraId="09833CB1">
                  <w:pPr>
                    <w:jc w:val="center"/>
                    <w:rPr>
                      <w:sz w:val="21"/>
                      <w:szCs w:val="21"/>
                    </w:rPr>
                  </w:pPr>
                  <w:r>
                    <w:rPr>
                      <w:rFonts w:hint="eastAsia"/>
                      <w:sz w:val="21"/>
                      <w:szCs w:val="21"/>
                    </w:rPr>
                    <w:t>54</w:t>
                  </w:r>
                </w:p>
              </w:tc>
              <w:tc>
                <w:tcPr>
                  <w:tcW w:w="739" w:type="pct"/>
                  <w:shd w:val="clear" w:color="auto" w:fill="auto"/>
                  <w:vAlign w:val="center"/>
                </w:tcPr>
                <w:p w14:paraId="0ABC07B8">
                  <w:pPr>
                    <w:jc w:val="center"/>
                    <w:rPr>
                      <w:sz w:val="21"/>
                      <w:szCs w:val="21"/>
                    </w:rPr>
                  </w:pPr>
                  <w:r>
                    <w:rPr>
                      <w:sz w:val="21"/>
                      <w:szCs w:val="21"/>
                    </w:rPr>
                    <w:t>9</w:t>
                  </w:r>
                </w:p>
              </w:tc>
              <w:tc>
                <w:tcPr>
                  <w:tcW w:w="657" w:type="pct"/>
                  <w:vAlign w:val="center"/>
                </w:tcPr>
                <w:p w14:paraId="6A80D59E">
                  <w:pPr>
                    <w:jc w:val="center"/>
                    <w:rPr>
                      <w:sz w:val="21"/>
                      <w:szCs w:val="21"/>
                    </w:rPr>
                  </w:pPr>
                  <w:r>
                    <w:rPr>
                      <w:sz w:val="21"/>
                      <w:szCs w:val="21"/>
                    </w:rPr>
                    <w:t>袋装，25kg/袋</w:t>
                  </w:r>
                </w:p>
              </w:tc>
              <w:tc>
                <w:tcPr>
                  <w:tcW w:w="525" w:type="pct"/>
                  <w:shd w:val="clear" w:color="auto" w:fill="FFFFFF"/>
                  <w:vAlign w:val="center"/>
                </w:tcPr>
                <w:p w14:paraId="6B8FF50A">
                  <w:pPr>
                    <w:jc w:val="center"/>
                    <w:rPr>
                      <w:sz w:val="21"/>
                      <w:szCs w:val="21"/>
                    </w:rPr>
                  </w:pPr>
                  <w:r>
                    <w:rPr>
                      <w:sz w:val="21"/>
                      <w:szCs w:val="21"/>
                    </w:rPr>
                    <w:t>材料房</w:t>
                  </w:r>
                </w:p>
              </w:tc>
              <w:tc>
                <w:tcPr>
                  <w:tcW w:w="624" w:type="pct"/>
                  <w:vAlign w:val="center"/>
                </w:tcPr>
                <w:p w14:paraId="0CB86BB5">
                  <w:pPr>
                    <w:jc w:val="center"/>
                    <w:rPr>
                      <w:sz w:val="21"/>
                      <w:szCs w:val="21"/>
                    </w:rPr>
                  </w:pPr>
                  <w:r>
                    <w:rPr>
                      <w:sz w:val="21"/>
                      <w:szCs w:val="21"/>
                    </w:rPr>
                    <w:t>16</w:t>
                  </w:r>
                  <w:r>
                    <w:rPr>
                      <w:sz w:val="21"/>
                      <w:szCs w:val="21"/>
                    </w:rPr>
                    <w:noBreakHyphen/>
                  </w:r>
                  <w:r>
                    <w:rPr>
                      <w:sz w:val="21"/>
                      <w:szCs w:val="21"/>
                    </w:rPr>
                    <w:t>20</w:t>
                  </w:r>
                </w:p>
              </w:tc>
            </w:tr>
            <w:tr w14:paraId="36E1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DEBED99">
                  <w:pPr>
                    <w:jc w:val="center"/>
                    <w:rPr>
                      <w:sz w:val="21"/>
                      <w:szCs w:val="21"/>
                    </w:rPr>
                  </w:pPr>
                  <w:r>
                    <w:rPr>
                      <w:sz w:val="21"/>
                      <w:szCs w:val="21"/>
                    </w:rPr>
                    <w:t>5</w:t>
                  </w:r>
                </w:p>
              </w:tc>
              <w:tc>
                <w:tcPr>
                  <w:tcW w:w="1264" w:type="pct"/>
                  <w:vAlign w:val="center"/>
                </w:tcPr>
                <w:p w14:paraId="3F07007E">
                  <w:pPr>
                    <w:jc w:val="center"/>
                    <w:rPr>
                      <w:sz w:val="21"/>
                      <w:szCs w:val="21"/>
                    </w:rPr>
                  </w:pPr>
                  <w:r>
                    <w:rPr>
                      <w:sz w:val="21"/>
                      <w:szCs w:val="21"/>
                    </w:rPr>
                    <w:t>润湿剂/脂肪醇聚氧乙烯醚</w:t>
                  </w:r>
                </w:p>
              </w:tc>
              <w:tc>
                <w:tcPr>
                  <w:tcW w:w="902" w:type="pct"/>
                  <w:shd w:val="clear" w:color="auto" w:fill="auto"/>
                  <w:vAlign w:val="center"/>
                </w:tcPr>
                <w:p w14:paraId="7D3E147D">
                  <w:pPr>
                    <w:jc w:val="center"/>
                    <w:rPr>
                      <w:sz w:val="21"/>
                      <w:szCs w:val="21"/>
                    </w:rPr>
                  </w:pPr>
                  <w:r>
                    <w:rPr>
                      <w:rFonts w:hint="eastAsia"/>
                      <w:sz w:val="21"/>
                      <w:szCs w:val="21"/>
                    </w:rPr>
                    <w:t>30</w:t>
                  </w:r>
                </w:p>
              </w:tc>
              <w:tc>
                <w:tcPr>
                  <w:tcW w:w="739" w:type="pct"/>
                  <w:shd w:val="clear" w:color="auto" w:fill="auto"/>
                  <w:vAlign w:val="center"/>
                </w:tcPr>
                <w:p w14:paraId="51A50CCD">
                  <w:pPr>
                    <w:jc w:val="center"/>
                    <w:rPr>
                      <w:sz w:val="21"/>
                      <w:szCs w:val="21"/>
                    </w:rPr>
                  </w:pPr>
                  <w:r>
                    <w:rPr>
                      <w:sz w:val="21"/>
                      <w:szCs w:val="21"/>
                    </w:rPr>
                    <w:t>5</w:t>
                  </w:r>
                </w:p>
              </w:tc>
              <w:tc>
                <w:tcPr>
                  <w:tcW w:w="657" w:type="pct"/>
                  <w:vAlign w:val="center"/>
                </w:tcPr>
                <w:p w14:paraId="43E8E505">
                  <w:pPr>
                    <w:jc w:val="center"/>
                    <w:rPr>
                      <w:sz w:val="21"/>
                      <w:szCs w:val="21"/>
                    </w:rPr>
                  </w:pPr>
                  <w:r>
                    <w:rPr>
                      <w:sz w:val="21"/>
                      <w:szCs w:val="21"/>
                    </w:rPr>
                    <w:t>桶装，50kg/桶</w:t>
                  </w:r>
                </w:p>
              </w:tc>
              <w:tc>
                <w:tcPr>
                  <w:tcW w:w="525" w:type="pct"/>
                  <w:shd w:val="clear" w:color="auto" w:fill="FFFFFF"/>
                  <w:vAlign w:val="center"/>
                </w:tcPr>
                <w:p w14:paraId="58A6D4C5">
                  <w:pPr>
                    <w:jc w:val="center"/>
                    <w:rPr>
                      <w:sz w:val="21"/>
                      <w:szCs w:val="21"/>
                    </w:rPr>
                  </w:pPr>
                  <w:r>
                    <w:rPr>
                      <w:sz w:val="21"/>
                      <w:szCs w:val="21"/>
                    </w:rPr>
                    <w:t>材料房</w:t>
                  </w:r>
                </w:p>
              </w:tc>
              <w:tc>
                <w:tcPr>
                  <w:tcW w:w="624" w:type="pct"/>
                  <w:vAlign w:val="center"/>
                </w:tcPr>
                <w:p w14:paraId="133D6F3F">
                  <w:pPr>
                    <w:jc w:val="center"/>
                    <w:rPr>
                      <w:sz w:val="21"/>
                      <w:szCs w:val="21"/>
                    </w:rPr>
                  </w:pPr>
                  <w:r>
                    <w:rPr>
                      <w:sz w:val="21"/>
                      <w:szCs w:val="21"/>
                    </w:rPr>
                    <w:t>8</w:t>
                  </w:r>
                  <w:r>
                    <w:rPr>
                      <w:sz w:val="21"/>
                      <w:szCs w:val="21"/>
                    </w:rPr>
                    <w:noBreakHyphen/>
                  </w:r>
                  <w:r>
                    <w:rPr>
                      <w:sz w:val="21"/>
                      <w:szCs w:val="21"/>
                    </w:rPr>
                    <w:t>12</w:t>
                  </w:r>
                </w:p>
              </w:tc>
            </w:tr>
            <w:tr w14:paraId="54B4D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0578BC42">
                  <w:pPr>
                    <w:jc w:val="center"/>
                    <w:rPr>
                      <w:sz w:val="21"/>
                      <w:szCs w:val="21"/>
                    </w:rPr>
                  </w:pPr>
                  <w:r>
                    <w:rPr>
                      <w:sz w:val="21"/>
                      <w:szCs w:val="21"/>
                    </w:rPr>
                    <w:t>6</w:t>
                  </w:r>
                </w:p>
              </w:tc>
              <w:tc>
                <w:tcPr>
                  <w:tcW w:w="1264" w:type="pct"/>
                  <w:vAlign w:val="center"/>
                </w:tcPr>
                <w:p w14:paraId="03DAECAC">
                  <w:pPr>
                    <w:jc w:val="center"/>
                    <w:rPr>
                      <w:sz w:val="21"/>
                      <w:szCs w:val="21"/>
                    </w:rPr>
                  </w:pPr>
                  <w:r>
                    <w:rPr>
                      <w:sz w:val="21"/>
                      <w:szCs w:val="21"/>
                    </w:rPr>
                    <w:t>有机土/有机膨润土</w:t>
                  </w:r>
                </w:p>
              </w:tc>
              <w:tc>
                <w:tcPr>
                  <w:tcW w:w="902" w:type="pct"/>
                  <w:shd w:val="clear" w:color="auto" w:fill="auto"/>
                  <w:vAlign w:val="center"/>
                </w:tcPr>
                <w:p w14:paraId="696CD5CE">
                  <w:pPr>
                    <w:jc w:val="center"/>
                    <w:rPr>
                      <w:sz w:val="21"/>
                      <w:szCs w:val="21"/>
                    </w:rPr>
                  </w:pPr>
                  <w:r>
                    <w:rPr>
                      <w:rFonts w:hint="eastAsia"/>
                      <w:sz w:val="21"/>
                      <w:szCs w:val="21"/>
                    </w:rPr>
                    <w:t>36</w:t>
                  </w:r>
                </w:p>
              </w:tc>
              <w:tc>
                <w:tcPr>
                  <w:tcW w:w="739" w:type="pct"/>
                  <w:shd w:val="clear" w:color="auto" w:fill="auto"/>
                  <w:vAlign w:val="center"/>
                </w:tcPr>
                <w:p w14:paraId="0F533241">
                  <w:pPr>
                    <w:jc w:val="center"/>
                    <w:rPr>
                      <w:sz w:val="21"/>
                      <w:szCs w:val="21"/>
                    </w:rPr>
                  </w:pPr>
                  <w:r>
                    <w:rPr>
                      <w:sz w:val="21"/>
                      <w:szCs w:val="21"/>
                    </w:rPr>
                    <w:t>6</w:t>
                  </w:r>
                </w:p>
              </w:tc>
              <w:tc>
                <w:tcPr>
                  <w:tcW w:w="657" w:type="pct"/>
                  <w:vAlign w:val="center"/>
                </w:tcPr>
                <w:p w14:paraId="05BBA91B">
                  <w:pPr>
                    <w:jc w:val="center"/>
                    <w:rPr>
                      <w:sz w:val="21"/>
                      <w:szCs w:val="21"/>
                    </w:rPr>
                  </w:pPr>
                  <w:r>
                    <w:rPr>
                      <w:sz w:val="21"/>
                      <w:szCs w:val="21"/>
                    </w:rPr>
                    <w:t>袋装，25kg/袋</w:t>
                  </w:r>
                </w:p>
              </w:tc>
              <w:tc>
                <w:tcPr>
                  <w:tcW w:w="525" w:type="pct"/>
                  <w:shd w:val="clear" w:color="auto" w:fill="FFFFFF"/>
                  <w:vAlign w:val="center"/>
                </w:tcPr>
                <w:p w14:paraId="0B531AD9">
                  <w:pPr>
                    <w:jc w:val="center"/>
                    <w:rPr>
                      <w:sz w:val="21"/>
                      <w:szCs w:val="21"/>
                    </w:rPr>
                  </w:pPr>
                  <w:r>
                    <w:rPr>
                      <w:sz w:val="21"/>
                      <w:szCs w:val="21"/>
                    </w:rPr>
                    <w:t>材料房</w:t>
                  </w:r>
                </w:p>
              </w:tc>
              <w:tc>
                <w:tcPr>
                  <w:tcW w:w="624" w:type="pct"/>
                  <w:vAlign w:val="center"/>
                </w:tcPr>
                <w:p w14:paraId="0E39A67D">
                  <w:pPr>
                    <w:jc w:val="center"/>
                    <w:rPr>
                      <w:sz w:val="21"/>
                      <w:szCs w:val="21"/>
                    </w:rPr>
                  </w:pPr>
                  <w:r>
                    <w:rPr>
                      <w:sz w:val="21"/>
                      <w:szCs w:val="21"/>
                    </w:rPr>
                    <w:t>10</w:t>
                  </w:r>
                  <w:r>
                    <w:rPr>
                      <w:sz w:val="21"/>
                      <w:szCs w:val="21"/>
                    </w:rPr>
                    <w:noBreakHyphen/>
                  </w:r>
                  <w:r>
                    <w:rPr>
                      <w:sz w:val="21"/>
                      <w:szCs w:val="21"/>
                    </w:rPr>
                    <w:t>14</w:t>
                  </w:r>
                </w:p>
              </w:tc>
            </w:tr>
            <w:tr w14:paraId="67FF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37C17F7A">
                  <w:pPr>
                    <w:jc w:val="center"/>
                    <w:rPr>
                      <w:sz w:val="21"/>
                      <w:szCs w:val="21"/>
                    </w:rPr>
                  </w:pPr>
                  <w:r>
                    <w:rPr>
                      <w:sz w:val="21"/>
                      <w:szCs w:val="21"/>
                    </w:rPr>
                    <w:t>7</w:t>
                  </w:r>
                </w:p>
              </w:tc>
              <w:tc>
                <w:tcPr>
                  <w:tcW w:w="1264" w:type="pct"/>
                  <w:vAlign w:val="center"/>
                </w:tcPr>
                <w:p w14:paraId="15444CCE">
                  <w:pPr>
                    <w:jc w:val="center"/>
                    <w:rPr>
                      <w:sz w:val="21"/>
                      <w:szCs w:val="21"/>
                    </w:rPr>
                  </w:pPr>
                  <w:r>
                    <w:rPr>
                      <w:sz w:val="21"/>
                      <w:szCs w:val="21"/>
                    </w:rPr>
                    <w:t>储备碱/氢氧化钙（Ca(OH)₂）</w:t>
                  </w:r>
                </w:p>
              </w:tc>
              <w:tc>
                <w:tcPr>
                  <w:tcW w:w="902" w:type="pct"/>
                  <w:shd w:val="clear" w:color="auto" w:fill="auto"/>
                  <w:vAlign w:val="center"/>
                </w:tcPr>
                <w:p w14:paraId="53BD9228">
                  <w:pPr>
                    <w:jc w:val="center"/>
                    <w:rPr>
                      <w:sz w:val="21"/>
                      <w:szCs w:val="21"/>
                    </w:rPr>
                  </w:pPr>
                  <w:r>
                    <w:rPr>
                      <w:rFonts w:hint="eastAsia"/>
                      <w:sz w:val="21"/>
                      <w:szCs w:val="21"/>
                    </w:rPr>
                    <w:t>54</w:t>
                  </w:r>
                </w:p>
              </w:tc>
              <w:tc>
                <w:tcPr>
                  <w:tcW w:w="739" w:type="pct"/>
                  <w:shd w:val="clear" w:color="auto" w:fill="auto"/>
                  <w:vAlign w:val="center"/>
                </w:tcPr>
                <w:p w14:paraId="2A9CF3AE">
                  <w:pPr>
                    <w:jc w:val="center"/>
                    <w:rPr>
                      <w:sz w:val="21"/>
                      <w:szCs w:val="21"/>
                    </w:rPr>
                  </w:pPr>
                  <w:r>
                    <w:rPr>
                      <w:sz w:val="21"/>
                      <w:szCs w:val="21"/>
                    </w:rPr>
                    <w:t>9</w:t>
                  </w:r>
                </w:p>
              </w:tc>
              <w:tc>
                <w:tcPr>
                  <w:tcW w:w="657" w:type="pct"/>
                  <w:vAlign w:val="center"/>
                </w:tcPr>
                <w:p w14:paraId="623D2A4F">
                  <w:pPr>
                    <w:jc w:val="center"/>
                    <w:rPr>
                      <w:sz w:val="21"/>
                      <w:szCs w:val="21"/>
                    </w:rPr>
                  </w:pPr>
                  <w:r>
                    <w:rPr>
                      <w:sz w:val="21"/>
                      <w:szCs w:val="21"/>
                    </w:rPr>
                    <w:t>袋装，50kg/袋</w:t>
                  </w:r>
                </w:p>
              </w:tc>
              <w:tc>
                <w:tcPr>
                  <w:tcW w:w="525" w:type="pct"/>
                  <w:shd w:val="clear" w:color="auto" w:fill="FFFFFF"/>
                  <w:vAlign w:val="center"/>
                </w:tcPr>
                <w:p w14:paraId="5F8CF935">
                  <w:pPr>
                    <w:jc w:val="center"/>
                    <w:rPr>
                      <w:sz w:val="21"/>
                      <w:szCs w:val="21"/>
                    </w:rPr>
                  </w:pPr>
                  <w:r>
                    <w:rPr>
                      <w:sz w:val="21"/>
                      <w:szCs w:val="21"/>
                    </w:rPr>
                    <w:t>材料房</w:t>
                  </w:r>
                </w:p>
              </w:tc>
              <w:tc>
                <w:tcPr>
                  <w:tcW w:w="624" w:type="pct"/>
                  <w:vAlign w:val="center"/>
                </w:tcPr>
                <w:p w14:paraId="3E413E4C">
                  <w:pPr>
                    <w:jc w:val="center"/>
                    <w:rPr>
                      <w:sz w:val="21"/>
                      <w:szCs w:val="21"/>
                    </w:rPr>
                  </w:pPr>
                  <w:r>
                    <w:rPr>
                      <w:sz w:val="21"/>
                      <w:szCs w:val="21"/>
                    </w:rPr>
                    <w:t>16</w:t>
                  </w:r>
                  <w:r>
                    <w:rPr>
                      <w:sz w:val="21"/>
                      <w:szCs w:val="21"/>
                    </w:rPr>
                    <w:noBreakHyphen/>
                  </w:r>
                  <w:r>
                    <w:rPr>
                      <w:sz w:val="21"/>
                      <w:szCs w:val="21"/>
                    </w:rPr>
                    <w:t>20</w:t>
                  </w:r>
                </w:p>
              </w:tc>
            </w:tr>
            <w:tr w14:paraId="1CDA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6AFAA57">
                  <w:pPr>
                    <w:jc w:val="center"/>
                    <w:rPr>
                      <w:sz w:val="21"/>
                      <w:szCs w:val="21"/>
                    </w:rPr>
                  </w:pPr>
                  <w:r>
                    <w:rPr>
                      <w:sz w:val="21"/>
                      <w:szCs w:val="21"/>
                    </w:rPr>
                    <w:t>8</w:t>
                  </w:r>
                </w:p>
              </w:tc>
              <w:tc>
                <w:tcPr>
                  <w:tcW w:w="1264" w:type="pct"/>
                  <w:vAlign w:val="center"/>
                </w:tcPr>
                <w:p w14:paraId="2C26B734">
                  <w:pPr>
                    <w:jc w:val="center"/>
                    <w:rPr>
                      <w:sz w:val="21"/>
                      <w:szCs w:val="21"/>
                    </w:rPr>
                  </w:pPr>
                  <w:r>
                    <w:rPr>
                      <w:sz w:val="21"/>
                      <w:szCs w:val="21"/>
                    </w:rPr>
                    <w:t>封堵剂/纳米碳酸钙（CaCO₃）超细粉</w:t>
                  </w:r>
                </w:p>
              </w:tc>
              <w:tc>
                <w:tcPr>
                  <w:tcW w:w="902" w:type="pct"/>
                  <w:shd w:val="clear" w:color="auto" w:fill="auto"/>
                  <w:vAlign w:val="center"/>
                </w:tcPr>
                <w:p w14:paraId="26CBC6E2">
                  <w:pPr>
                    <w:jc w:val="center"/>
                    <w:rPr>
                      <w:sz w:val="21"/>
                      <w:szCs w:val="21"/>
                    </w:rPr>
                  </w:pPr>
                  <w:r>
                    <w:rPr>
                      <w:rFonts w:hint="eastAsia"/>
                      <w:sz w:val="21"/>
                      <w:szCs w:val="21"/>
                    </w:rPr>
                    <w:t>6</w:t>
                  </w:r>
                </w:p>
              </w:tc>
              <w:tc>
                <w:tcPr>
                  <w:tcW w:w="739" w:type="pct"/>
                  <w:shd w:val="clear" w:color="auto" w:fill="auto"/>
                  <w:vAlign w:val="center"/>
                </w:tcPr>
                <w:p w14:paraId="7299A138">
                  <w:pPr>
                    <w:jc w:val="center"/>
                    <w:rPr>
                      <w:sz w:val="21"/>
                      <w:szCs w:val="21"/>
                    </w:rPr>
                  </w:pPr>
                  <w:r>
                    <w:rPr>
                      <w:sz w:val="21"/>
                      <w:szCs w:val="21"/>
                    </w:rPr>
                    <w:t>6</w:t>
                  </w:r>
                </w:p>
              </w:tc>
              <w:tc>
                <w:tcPr>
                  <w:tcW w:w="657" w:type="pct"/>
                  <w:vAlign w:val="center"/>
                </w:tcPr>
                <w:p w14:paraId="0ACAC860">
                  <w:pPr>
                    <w:jc w:val="center"/>
                    <w:rPr>
                      <w:sz w:val="21"/>
                      <w:szCs w:val="21"/>
                    </w:rPr>
                  </w:pPr>
                  <w:r>
                    <w:rPr>
                      <w:sz w:val="21"/>
                      <w:szCs w:val="21"/>
                    </w:rPr>
                    <w:t>袋装，25kg/袋</w:t>
                  </w:r>
                </w:p>
              </w:tc>
              <w:tc>
                <w:tcPr>
                  <w:tcW w:w="525" w:type="pct"/>
                  <w:shd w:val="clear" w:color="auto" w:fill="FFFFFF"/>
                  <w:vAlign w:val="center"/>
                </w:tcPr>
                <w:p w14:paraId="2075B510">
                  <w:pPr>
                    <w:jc w:val="center"/>
                    <w:rPr>
                      <w:sz w:val="21"/>
                      <w:szCs w:val="21"/>
                    </w:rPr>
                  </w:pPr>
                  <w:r>
                    <w:rPr>
                      <w:sz w:val="21"/>
                      <w:szCs w:val="21"/>
                    </w:rPr>
                    <w:t>材料房</w:t>
                  </w:r>
                </w:p>
              </w:tc>
              <w:tc>
                <w:tcPr>
                  <w:tcW w:w="624" w:type="pct"/>
                  <w:vAlign w:val="center"/>
                </w:tcPr>
                <w:p w14:paraId="5EAFE467">
                  <w:pPr>
                    <w:jc w:val="center"/>
                    <w:rPr>
                      <w:sz w:val="21"/>
                      <w:szCs w:val="21"/>
                    </w:rPr>
                  </w:pPr>
                  <w:r>
                    <w:rPr>
                      <w:sz w:val="21"/>
                      <w:szCs w:val="21"/>
                    </w:rPr>
                    <w:t>10</w:t>
                  </w:r>
                  <w:r>
                    <w:rPr>
                      <w:sz w:val="21"/>
                      <w:szCs w:val="21"/>
                    </w:rPr>
                    <w:noBreakHyphen/>
                  </w:r>
                  <w:r>
                    <w:rPr>
                      <w:sz w:val="21"/>
                      <w:szCs w:val="21"/>
                    </w:rPr>
                    <w:t>14</w:t>
                  </w:r>
                </w:p>
              </w:tc>
            </w:tr>
            <w:tr w14:paraId="78C3D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78676A36">
                  <w:pPr>
                    <w:jc w:val="center"/>
                    <w:rPr>
                      <w:sz w:val="21"/>
                      <w:szCs w:val="21"/>
                    </w:rPr>
                  </w:pPr>
                  <w:r>
                    <w:rPr>
                      <w:sz w:val="21"/>
                      <w:szCs w:val="21"/>
                    </w:rPr>
                    <w:t>9</w:t>
                  </w:r>
                </w:p>
              </w:tc>
              <w:tc>
                <w:tcPr>
                  <w:tcW w:w="1264" w:type="pct"/>
                  <w:vAlign w:val="center"/>
                </w:tcPr>
                <w:p w14:paraId="32629A6C">
                  <w:pPr>
                    <w:jc w:val="center"/>
                    <w:rPr>
                      <w:sz w:val="21"/>
                      <w:szCs w:val="21"/>
                    </w:rPr>
                  </w:pPr>
                  <w:r>
                    <w:rPr>
                      <w:sz w:val="21"/>
                      <w:szCs w:val="21"/>
                    </w:rPr>
                    <w:t>CaCl</w:t>
                  </w:r>
                  <w:r>
                    <w:rPr>
                      <w:sz w:val="21"/>
                      <w:szCs w:val="21"/>
                      <w:vertAlign w:val="subscript"/>
                    </w:rPr>
                    <w:t>2</w:t>
                  </w:r>
                  <w:r>
                    <w:rPr>
                      <w:sz w:val="21"/>
                      <w:szCs w:val="21"/>
                    </w:rPr>
                    <w:t>盐水/氯化钙水溶液（CaCl₂）</w:t>
                  </w:r>
                </w:p>
              </w:tc>
              <w:tc>
                <w:tcPr>
                  <w:tcW w:w="902" w:type="pct"/>
                  <w:shd w:val="clear" w:color="auto" w:fill="auto"/>
                  <w:vAlign w:val="center"/>
                </w:tcPr>
                <w:p w14:paraId="03053838">
                  <w:pPr>
                    <w:jc w:val="center"/>
                    <w:rPr>
                      <w:sz w:val="21"/>
                      <w:szCs w:val="21"/>
                    </w:rPr>
                  </w:pPr>
                  <w:r>
                    <w:rPr>
                      <w:rFonts w:hint="eastAsia"/>
                      <w:sz w:val="21"/>
                      <w:szCs w:val="21"/>
                    </w:rPr>
                    <w:t>16</w:t>
                  </w:r>
                </w:p>
              </w:tc>
              <w:tc>
                <w:tcPr>
                  <w:tcW w:w="739" w:type="pct"/>
                  <w:shd w:val="clear" w:color="auto" w:fill="auto"/>
                  <w:vAlign w:val="center"/>
                </w:tcPr>
                <w:p w14:paraId="7A4A6C4C">
                  <w:pPr>
                    <w:jc w:val="center"/>
                    <w:rPr>
                      <w:sz w:val="21"/>
                      <w:szCs w:val="21"/>
                    </w:rPr>
                  </w:pPr>
                  <w:r>
                    <w:rPr>
                      <w:sz w:val="21"/>
                      <w:szCs w:val="21"/>
                    </w:rPr>
                    <w:t>16</w:t>
                  </w:r>
                </w:p>
              </w:tc>
              <w:tc>
                <w:tcPr>
                  <w:tcW w:w="657" w:type="pct"/>
                  <w:vAlign w:val="center"/>
                </w:tcPr>
                <w:p w14:paraId="14298E8B">
                  <w:pPr>
                    <w:jc w:val="center"/>
                    <w:rPr>
                      <w:sz w:val="21"/>
                      <w:szCs w:val="21"/>
                    </w:rPr>
                  </w:pPr>
                  <w:r>
                    <w:rPr>
                      <w:sz w:val="21"/>
                      <w:szCs w:val="21"/>
                    </w:rPr>
                    <w:t>袋装，25kg/袋</w:t>
                  </w:r>
                </w:p>
              </w:tc>
              <w:tc>
                <w:tcPr>
                  <w:tcW w:w="525" w:type="pct"/>
                  <w:shd w:val="clear" w:color="auto" w:fill="FFFFFF"/>
                  <w:vAlign w:val="center"/>
                </w:tcPr>
                <w:p w14:paraId="194E1715">
                  <w:pPr>
                    <w:jc w:val="center"/>
                    <w:rPr>
                      <w:sz w:val="21"/>
                      <w:szCs w:val="21"/>
                    </w:rPr>
                  </w:pPr>
                  <w:r>
                    <w:rPr>
                      <w:sz w:val="21"/>
                      <w:szCs w:val="21"/>
                    </w:rPr>
                    <w:t>材料房</w:t>
                  </w:r>
                </w:p>
              </w:tc>
              <w:tc>
                <w:tcPr>
                  <w:tcW w:w="624" w:type="pct"/>
                  <w:vAlign w:val="center"/>
                </w:tcPr>
                <w:p w14:paraId="63D83706">
                  <w:pPr>
                    <w:jc w:val="center"/>
                    <w:rPr>
                      <w:sz w:val="21"/>
                      <w:szCs w:val="21"/>
                    </w:rPr>
                  </w:pPr>
                  <w:r>
                    <w:rPr>
                      <w:sz w:val="21"/>
                      <w:szCs w:val="21"/>
                    </w:rPr>
                    <w:t>30</w:t>
                  </w:r>
                  <w:r>
                    <w:rPr>
                      <w:sz w:val="21"/>
                      <w:szCs w:val="21"/>
                    </w:rPr>
                    <w:noBreakHyphen/>
                  </w:r>
                  <w:r>
                    <w:rPr>
                      <w:sz w:val="21"/>
                      <w:szCs w:val="21"/>
                    </w:rPr>
                    <w:t>34</w:t>
                  </w:r>
                </w:p>
              </w:tc>
            </w:tr>
            <w:tr w14:paraId="1C2A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0CEC86D0">
                  <w:pPr>
                    <w:jc w:val="center"/>
                    <w:rPr>
                      <w:sz w:val="21"/>
                      <w:szCs w:val="21"/>
                    </w:rPr>
                  </w:pPr>
                  <w:r>
                    <w:rPr>
                      <w:sz w:val="21"/>
                      <w:szCs w:val="21"/>
                    </w:rPr>
                    <w:t>10</w:t>
                  </w:r>
                </w:p>
              </w:tc>
              <w:tc>
                <w:tcPr>
                  <w:tcW w:w="1264" w:type="pct"/>
                  <w:vAlign w:val="center"/>
                </w:tcPr>
                <w:p w14:paraId="68FC9008">
                  <w:pPr>
                    <w:jc w:val="center"/>
                    <w:rPr>
                      <w:sz w:val="21"/>
                      <w:szCs w:val="21"/>
                    </w:rPr>
                  </w:pPr>
                  <w:r>
                    <w:rPr>
                      <w:sz w:val="21"/>
                      <w:szCs w:val="21"/>
                    </w:rPr>
                    <w:t>重晶石粉/硫酸钡（BaSO₄）</w:t>
                  </w:r>
                </w:p>
              </w:tc>
              <w:tc>
                <w:tcPr>
                  <w:tcW w:w="902" w:type="pct"/>
                  <w:shd w:val="clear" w:color="auto" w:fill="auto"/>
                  <w:vAlign w:val="center"/>
                </w:tcPr>
                <w:p w14:paraId="6C7654E7">
                  <w:pPr>
                    <w:jc w:val="center"/>
                    <w:rPr>
                      <w:sz w:val="21"/>
                      <w:szCs w:val="21"/>
                    </w:rPr>
                  </w:pPr>
                  <w:r>
                    <w:rPr>
                      <w:rFonts w:hint="eastAsia"/>
                      <w:sz w:val="21"/>
                      <w:szCs w:val="21"/>
                    </w:rPr>
                    <w:t>600</w:t>
                  </w:r>
                </w:p>
              </w:tc>
              <w:tc>
                <w:tcPr>
                  <w:tcW w:w="739" w:type="pct"/>
                  <w:shd w:val="clear" w:color="auto" w:fill="auto"/>
                  <w:vAlign w:val="center"/>
                </w:tcPr>
                <w:p w14:paraId="12A420A0">
                  <w:pPr>
                    <w:jc w:val="center"/>
                    <w:rPr>
                      <w:sz w:val="21"/>
                      <w:szCs w:val="21"/>
                    </w:rPr>
                  </w:pPr>
                  <w:r>
                    <w:rPr>
                      <w:sz w:val="21"/>
                      <w:szCs w:val="21"/>
                    </w:rPr>
                    <w:t>100</w:t>
                  </w:r>
                </w:p>
              </w:tc>
              <w:tc>
                <w:tcPr>
                  <w:tcW w:w="657" w:type="pct"/>
                  <w:vAlign w:val="center"/>
                </w:tcPr>
                <w:p w14:paraId="3D845398">
                  <w:pPr>
                    <w:jc w:val="center"/>
                    <w:rPr>
                      <w:sz w:val="21"/>
                      <w:szCs w:val="21"/>
                    </w:rPr>
                  </w:pPr>
                  <w:r>
                    <w:rPr>
                      <w:sz w:val="21"/>
                      <w:szCs w:val="21"/>
                    </w:rPr>
                    <w:t>罐装，60t/罐</w:t>
                  </w:r>
                </w:p>
              </w:tc>
              <w:tc>
                <w:tcPr>
                  <w:tcW w:w="525" w:type="pct"/>
                  <w:shd w:val="clear" w:color="auto" w:fill="FFFFFF"/>
                  <w:vAlign w:val="center"/>
                </w:tcPr>
                <w:p w14:paraId="1887D446">
                  <w:pPr>
                    <w:jc w:val="center"/>
                    <w:rPr>
                      <w:sz w:val="21"/>
                      <w:szCs w:val="21"/>
                    </w:rPr>
                  </w:pPr>
                  <w:r>
                    <w:rPr>
                      <w:sz w:val="21"/>
                      <w:szCs w:val="21"/>
                    </w:rPr>
                    <w:t>材料房</w:t>
                  </w:r>
                </w:p>
              </w:tc>
              <w:tc>
                <w:tcPr>
                  <w:tcW w:w="624" w:type="pct"/>
                  <w:vAlign w:val="center"/>
                </w:tcPr>
                <w:p w14:paraId="2DE7440B">
                  <w:pPr>
                    <w:jc w:val="center"/>
                    <w:rPr>
                      <w:sz w:val="21"/>
                      <w:szCs w:val="21"/>
                    </w:rPr>
                  </w:pPr>
                  <w:r>
                    <w:rPr>
                      <w:sz w:val="21"/>
                      <w:szCs w:val="21"/>
                    </w:rPr>
                    <w:t>180</w:t>
                  </w:r>
                  <w:r>
                    <w:rPr>
                      <w:sz w:val="21"/>
                      <w:szCs w:val="21"/>
                    </w:rPr>
                    <w:noBreakHyphen/>
                  </w:r>
                  <w:r>
                    <w:rPr>
                      <w:sz w:val="21"/>
                      <w:szCs w:val="21"/>
                    </w:rPr>
                    <w:t>220</w:t>
                  </w:r>
                </w:p>
              </w:tc>
            </w:tr>
            <w:tr w14:paraId="5609E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1713ECF2">
                  <w:pPr>
                    <w:jc w:val="center"/>
                    <w:rPr>
                      <w:sz w:val="21"/>
                      <w:szCs w:val="21"/>
                    </w:rPr>
                  </w:pPr>
                  <w:r>
                    <w:rPr>
                      <w:sz w:val="21"/>
                      <w:szCs w:val="21"/>
                    </w:rPr>
                    <w:t>11</w:t>
                  </w:r>
                </w:p>
              </w:tc>
              <w:tc>
                <w:tcPr>
                  <w:tcW w:w="1264" w:type="pct"/>
                  <w:vAlign w:val="center"/>
                </w:tcPr>
                <w:p w14:paraId="7275CD16">
                  <w:pPr>
                    <w:jc w:val="center"/>
                    <w:rPr>
                      <w:sz w:val="21"/>
                      <w:szCs w:val="21"/>
                    </w:rPr>
                  </w:pPr>
                  <w:r>
                    <w:rPr>
                      <w:sz w:val="21"/>
                      <w:szCs w:val="21"/>
                    </w:rPr>
                    <w:t>单封封堵剂</w:t>
                  </w:r>
                </w:p>
              </w:tc>
              <w:tc>
                <w:tcPr>
                  <w:tcW w:w="902" w:type="pct"/>
                  <w:shd w:val="clear" w:color="auto" w:fill="auto"/>
                  <w:vAlign w:val="center"/>
                </w:tcPr>
                <w:p w14:paraId="7D4E31F8">
                  <w:pPr>
                    <w:jc w:val="center"/>
                    <w:rPr>
                      <w:sz w:val="21"/>
                      <w:szCs w:val="21"/>
                    </w:rPr>
                  </w:pPr>
                  <w:r>
                    <w:rPr>
                      <w:rFonts w:hint="eastAsia"/>
                      <w:sz w:val="21"/>
                      <w:szCs w:val="21"/>
                    </w:rPr>
                    <w:t>12</w:t>
                  </w:r>
                </w:p>
              </w:tc>
              <w:tc>
                <w:tcPr>
                  <w:tcW w:w="739" w:type="pct"/>
                  <w:shd w:val="clear" w:color="auto" w:fill="auto"/>
                  <w:vAlign w:val="center"/>
                </w:tcPr>
                <w:p w14:paraId="3BDFF8CC">
                  <w:pPr>
                    <w:jc w:val="center"/>
                    <w:rPr>
                      <w:sz w:val="21"/>
                      <w:szCs w:val="21"/>
                    </w:rPr>
                  </w:pPr>
                  <w:r>
                    <w:rPr>
                      <w:sz w:val="21"/>
                      <w:szCs w:val="21"/>
                    </w:rPr>
                    <w:t>2</w:t>
                  </w:r>
                </w:p>
              </w:tc>
              <w:tc>
                <w:tcPr>
                  <w:tcW w:w="657" w:type="pct"/>
                  <w:vAlign w:val="center"/>
                </w:tcPr>
                <w:p w14:paraId="1A586DC6">
                  <w:pPr>
                    <w:jc w:val="center"/>
                    <w:rPr>
                      <w:sz w:val="21"/>
                      <w:szCs w:val="21"/>
                    </w:rPr>
                  </w:pPr>
                  <w:r>
                    <w:rPr>
                      <w:sz w:val="21"/>
                      <w:szCs w:val="21"/>
                    </w:rPr>
                    <w:t>袋装，25kg/袋</w:t>
                  </w:r>
                </w:p>
              </w:tc>
              <w:tc>
                <w:tcPr>
                  <w:tcW w:w="525" w:type="pct"/>
                  <w:shd w:val="clear" w:color="auto" w:fill="FFFFFF"/>
                  <w:vAlign w:val="center"/>
                </w:tcPr>
                <w:p w14:paraId="4D77F93B">
                  <w:pPr>
                    <w:jc w:val="center"/>
                    <w:rPr>
                      <w:sz w:val="21"/>
                      <w:szCs w:val="21"/>
                    </w:rPr>
                  </w:pPr>
                  <w:r>
                    <w:rPr>
                      <w:sz w:val="21"/>
                      <w:szCs w:val="21"/>
                    </w:rPr>
                    <w:t>材料房</w:t>
                  </w:r>
                </w:p>
              </w:tc>
              <w:tc>
                <w:tcPr>
                  <w:tcW w:w="624" w:type="pct"/>
                  <w:vAlign w:val="center"/>
                </w:tcPr>
                <w:p w14:paraId="0EA11E09">
                  <w:pPr>
                    <w:jc w:val="center"/>
                    <w:rPr>
                      <w:sz w:val="21"/>
                      <w:szCs w:val="21"/>
                    </w:rPr>
                  </w:pPr>
                  <w:r>
                    <w:rPr>
                      <w:sz w:val="21"/>
                      <w:szCs w:val="21"/>
                    </w:rPr>
                    <w:t>3</w:t>
                  </w:r>
                  <w:r>
                    <w:rPr>
                      <w:sz w:val="21"/>
                      <w:szCs w:val="21"/>
                    </w:rPr>
                    <w:noBreakHyphen/>
                  </w:r>
                  <w:r>
                    <w:rPr>
                      <w:sz w:val="21"/>
                      <w:szCs w:val="21"/>
                    </w:rPr>
                    <w:t>5</w:t>
                  </w:r>
                </w:p>
              </w:tc>
            </w:tr>
            <w:tr w14:paraId="14C7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5595C7DC">
                  <w:pPr>
                    <w:jc w:val="center"/>
                    <w:rPr>
                      <w:sz w:val="21"/>
                      <w:szCs w:val="21"/>
                    </w:rPr>
                  </w:pPr>
                  <w:r>
                    <w:rPr>
                      <w:sz w:val="21"/>
                      <w:szCs w:val="21"/>
                    </w:rPr>
                    <w:t>12</w:t>
                  </w:r>
                </w:p>
              </w:tc>
              <w:tc>
                <w:tcPr>
                  <w:tcW w:w="1264" w:type="pct"/>
                  <w:vAlign w:val="center"/>
                </w:tcPr>
                <w:p w14:paraId="6E2134A9">
                  <w:pPr>
                    <w:jc w:val="center"/>
                    <w:rPr>
                      <w:sz w:val="21"/>
                      <w:szCs w:val="21"/>
                    </w:rPr>
                  </w:pPr>
                  <w:r>
                    <w:rPr>
                      <w:sz w:val="21"/>
                      <w:szCs w:val="21"/>
                    </w:rPr>
                    <w:t>随钻封堵剂</w:t>
                  </w:r>
                </w:p>
              </w:tc>
              <w:tc>
                <w:tcPr>
                  <w:tcW w:w="902" w:type="pct"/>
                  <w:shd w:val="clear" w:color="auto" w:fill="auto"/>
                  <w:vAlign w:val="center"/>
                </w:tcPr>
                <w:p w14:paraId="501EF3F6">
                  <w:pPr>
                    <w:jc w:val="center"/>
                    <w:rPr>
                      <w:sz w:val="21"/>
                      <w:szCs w:val="21"/>
                    </w:rPr>
                  </w:pPr>
                  <w:r>
                    <w:rPr>
                      <w:rFonts w:hint="eastAsia"/>
                      <w:sz w:val="21"/>
                      <w:szCs w:val="21"/>
                    </w:rPr>
                    <w:t>18</w:t>
                  </w:r>
                </w:p>
              </w:tc>
              <w:tc>
                <w:tcPr>
                  <w:tcW w:w="739" w:type="pct"/>
                  <w:shd w:val="clear" w:color="auto" w:fill="auto"/>
                  <w:vAlign w:val="center"/>
                </w:tcPr>
                <w:p w14:paraId="4E82077F">
                  <w:pPr>
                    <w:jc w:val="center"/>
                    <w:rPr>
                      <w:sz w:val="21"/>
                      <w:szCs w:val="21"/>
                    </w:rPr>
                  </w:pPr>
                  <w:r>
                    <w:rPr>
                      <w:sz w:val="21"/>
                      <w:szCs w:val="21"/>
                    </w:rPr>
                    <w:t>3</w:t>
                  </w:r>
                </w:p>
              </w:tc>
              <w:tc>
                <w:tcPr>
                  <w:tcW w:w="657" w:type="pct"/>
                  <w:vAlign w:val="center"/>
                </w:tcPr>
                <w:p w14:paraId="6D6678E3">
                  <w:pPr>
                    <w:jc w:val="center"/>
                    <w:rPr>
                      <w:sz w:val="21"/>
                      <w:szCs w:val="21"/>
                    </w:rPr>
                  </w:pPr>
                  <w:r>
                    <w:rPr>
                      <w:sz w:val="21"/>
                      <w:szCs w:val="21"/>
                    </w:rPr>
                    <w:t>袋装，25kg/袋</w:t>
                  </w:r>
                </w:p>
              </w:tc>
              <w:tc>
                <w:tcPr>
                  <w:tcW w:w="525" w:type="pct"/>
                  <w:shd w:val="clear" w:color="auto" w:fill="FFFFFF"/>
                  <w:vAlign w:val="center"/>
                </w:tcPr>
                <w:p w14:paraId="0F388FEF">
                  <w:pPr>
                    <w:jc w:val="center"/>
                    <w:rPr>
                      <w:sz w:val="21"/>
                      <w:szCs w:val="21"/>
                    </w:rPr>
                  </w:pPr>
                  <w:r>
                    <w:rPr>
                      <w:sz w:val="21"/>
                      <w:szCs w:val="21"/>
                    </w:rPr>
                    <w:t>材料房</w:t>
                  </w:r>
                </w:p>
              </w:tc>
              <w:tc>
                <w:tcPr>
                  <w:tcW w:w="624" w:type="pct"/>
                  <w:vAlign w:val="center"/>
                </w:tcPr>
                <w:p w14:paraId="07F673DB">
                  <w:pPr>
                    <w:jc w:val="center"/>
                    <w:rPr>
                      <w:sz w:val="21"/>
                      <w:szCs w:val="21"/>
                    </w:rPr>
                  </w:pPr>
                  <w:r>
                    <w:rPr>
                      <w:sz w:val="21"/>
                      <w:szCs w:val="21"/>
                    </w:rPr>
                    <w:t>5</w:t>
                  </w:r>
                  <w:r>
                    <w:rPr>
                      <w:sz w:val="21"/>
                      <w:szCs w:val="21"/>
                    </w:rPr>
                    <w:noBreakHyphen/>
                  </w:r>
                  <w:r>
                    <w:rPr>
                      <w:sz w:val="21"/>
                      <w:szCs w:val="21"/>
                    </w:rPr>
                    <w:t>7</w:t>
                  </w:r>
                </w:p>
              </w:tc>
            </w:tr>
            <w:tr w14:paraId="01D27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3F380A5C">
                  <w:pPr>
                    <w:jc w:val="center"/>
                    <w:rPr>
                      <w:sz w:val="21"/>
                      <w:szCs w:val="21"/>
                    </w:rPr>
                  </w:pPr>
                  <w:r>
                    <w:rPr>
                      <w:sz w:val="21"/>
                      <w:szCs w:val="21"/>
                    </w:rPr>
                    <w:t>13</w:t>
                  </w:r>
                </w:p>
              </w:tc>
              <w:tc>
                <w:tcPr>
                  <w:tcW w:w="1264" w:type="pct"/>
                  <w:vAlign w:val="center"/>
                </w:tcPr>
                <w:p w14:paraId="63F24EC6">
                  <w:pPr>
                    <w:jc w:val="center"/>
                    <w:rPr>
                      <w:sz w:val="21"/>
                      <w:szCs w:val="21"/>
                    </w:rPr>
                  </w:pPr>
                  <w:r>
                    <w:rPr>
                      <w:sz w:val="21"/>
                      <w:szCs w:val="21"/>
                    </w:rPr>
                    <w:t>复合堵漏剂</w:t>
                  </w:r>
                </w:p>
              </w:tc>
              <w:tc>
                <w:tcPr>
                  <w:tcW w:w="902" w:type="pct"/>
                  <w:shd w:val="clear" w:color="auto" w:fill="auto"/>
                  <w:vAlign w:val="center"/>
                </w:tcPr>
                <w:p w14:paraId="6D19B7A8">
                  <w:pPr>
                    <w:jc w:val="center"/>
                    <w:rPr>
                      <w:sz w:val="21"/>
                      <w:szCs w:val="21"/>
                    </w:rPr>
                  </w:pPr>
                  <w:r>
                    <w:rPr>
                      <w:rFonts w:hint="eastAsia"/>
                      <w:sz w:val="21"/>
                      <w:szCs w:val="21"/>
                    </w:rPr>
                    <w:t>30</w:t>
                  </w:r>
                </w:p>
              </w:tc>
              <w:tc>
                <w:tcPr>
                  <w:tcW w:w="739" w:type="pct"/>
                  <w:shd w:val="clear" w:color="auto" w:fill="auto"/>
                  <w:vAlign w:val="center"/>
                </w:tcPr>
                <w:p w14:paraId="0EA7A743">
                  <w:pPr>
                    <w:jc w:val="center"/>
                    <w:rPr>
                      <w:sz w:val="21"/>
                      <w:szCs w:val="21"/>
                    </w:rPr>
                  </w:pPr>
                  <w:r>
                    <w:rPr>
                      <w:sz w:val="21"/>
                      <w:szCs w:val="21"/>
                    </w:rPr>
                    <w:t>5</w:t>
                  </w:r>
                </w:p>
              </w:tc>
              <w:tc>
                <w:tcPr>
                  <w:tcW w:w="657" w:type="pct"/>
                  <w:vAlign w:val="center"/>
                </w:tcPr>
                <w:p w14:paraId="50C8794D">
                  <w:pPr>
                    <w:jc w:val="center"/>
                    <w:rPr>
                      <w:sz w:val="21"/>
                      <w:szCs w:val="21"/>
                    </w:rPr>
                  </w:pPr>
                  <w:r>
                    <w:rPr>
                      <w:sz w:val="21"/>
                      <w:szCs w:val="21"/>
                    </w:rPr>
                    <w:t>袋装，25kg/袋</w:t>
                  </w:r>
                </w:p>
              </w:tc>
              <w:tc>
                <w:tcPr>
                  <w:tcW w:w="525" w:type="pct"/>
                  <w:shd w:val="clear" w:color="auto" w:fill="FFFFFF"/>
                  <w:vAlign w:val="center"/>
                </w:tcPr>
                <w:p w14:paraId="35E24F26">
                  <w:pPr>
                    <w:jc w:val="center"/>
                    <w:rPr>
                      <w:sz w:val="21"/>
                      <w:szCs w:val="21"/>
                    </w:rPr>
                  </w:pPr>
                  <w:r>
                    <w:rPr>
                      <w:sz w:val="21"/>
                      <w:szCs w:val="21"/>
                    </w:rPr>
                    <w:t>材料房</w:t>
                  </w:r>
                </w:p>
              </w:tc>
              <w:tc>
                <w:tcPr>
                  <w:tcW w:w="624" w:type="pct"/>
                  <w:vAlign w:val="center"/>
                </w:tcPr>
                <w:p w14:paraId="460325EB">
                  <w:pPr>
                    <w:jc w:val="center"/>
                    <w:rPr>
                      <w:sz w:val="21"/>
                      <w:szCs w:val="21"/>
                    </w:rPr>
                  </w:pPr>
                  <w:r>
                    <w:rPr>
                      <w:sz w:val="21"/>
                      <w:szCs w:val="21"/>
                    </w:rPr>
                    <w:t>8</w:t>
                  </w:r>
                  <w:r>
                    <w:rPr>
                      <w:sz w:val="21"/>
                      <w:szCs w:val="21"/>
                    </w:rPr>
                    <w:noBreakHyphen/>
                  </w:r>
                  <w:r>
                    <w:rPr>
                      <w:sz w:val="21"/>
                      <w:szCs w:val="21"/>
                    </w:rPr>
                    <w:t>12</w:t>
                  </w:r>
                </w:p>
              </w:tc>
            </w:tr>
            <w:tr w14:paraId="0ED2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 w:type="pct"/>
                  <w:vAlign w:val="center"/>
                </w:tcPr>
                <w:p w14:paraId="02F70D83">
                  <w:pPr>
                    <w:jc w:val="center"/>
                    <w:rPr>
                      <w:sz w:val="21"/>
                      <w:szCs w:val="21"/>
                    </w:rPr>
                  </w:pPr>
                  <w:r>
                    <w:rPr>
                      <w:sz w:val="21"/>
                      <w:szCs w:val="21"/>
                    </w:rPr>
                    <w:t>14</w:t>
                  </w:r>
                </w:p>
              </w:tc>
              <w:tc>
                <w:tcPr>
                  <w:tcW w:w="1264" w:type="pct"/>
                  <w:vAlign w:val="center"/>
                </w:tcPr>
                <w:p w14:paraId="5ACDF9E9">
                  <w:pPr>
                    <w:jc w:val="center"/>
                    <w:rPr>
                      <w:sz w:val="21"/>
                      <w:szCs w:val="21"/>
                    </w:rPr>
                  </w:pPr>
                  <w:r>
                    <w:rPr>
                      <w:sz w:val="21"/>
                      <w:szCs w:val="21"/>
                    </w:rPr>
                    <w:t>刚性堵漏剂</w:t>
                  </w:r>
                </w:p>
              </w:tc>
              <w:tc>
                <w:tcPr>
                  <w:tcW w:w="902" w:type="pct"/>
                  <w:shd w:val="clear" w:color="auto" w:fill="auto"/>
                  <w:vAlign w:val="center"/>
                </w:tcPr>
                <w:p w14:paraId="3B8F8F3A">
                  <w:pPr>
                    <w:jc w:val="center"/>
                    <w:rPr>
                      <w:sz w:val="21"/>
                      <w:szCs w:val="21"/>
                    </w:rPr>
                  </w:pPr>
                  <w:r>
                    <w:rPr>
                      <w:rFonts w:hint="eastAsia"/>
                      <w:sz w:val="21"/>
                      <w:szCs w:val="21"/>
                    </w:rPr>
                    <w:t>30</w:t>
                  </w:r>
                </w:p>
              </w:tc>
              <w:tc>
                <w:tcPr>
                  <w:tcW w:w="739" w:type="pct"/>
                  <w:shd w:val="clear" w:color="auto" w:fill="auto"/>
                  <w:vAlign w:val="center"/>
                </w:tcPr>
                <w:p w14:paraId="0D7688B4">
                  <w:pPr>
                    <w:jc w:val="center"/>
                    <w:rPr>
                      <w:sz w:val="21"/>
                      <w:szCs w:val="21"/>
                    </w:rPr>
                  </w:pPr>
                  <w:r>
                    <w:rPr>
                      <w:sz w:val="21"/>
                      <w:szCs w:val="21"/>
                    </w:rPr>
                    <w:t>5</w:t>
                  </w:r>
                </w:p>
              </w:tc>
              <w:tc>
                <w:tcPr>
                  <w:tcW w:w="657" w:type="pct"/>
                  <w:vAlign w:val="center"/>
                </w:tcPr>
                <w:p w14:paraId="176712B2">
                  <w:pPr>
                    <w:jc w:val="center"/>
                    <w:rPr>
                      <w:sz w:val="21"/>
                      <w:szCs w:val="21"/>
                    </w:rPr>
                  </w:pPr>
                  <w:r>
                    <w:rPr>
                      <w:sz w:val="21"/>
                      <w:szCs w:val="21"/>
                    </w:rPr>
                    <w:t>袋装，25kg/袋</w:t>
                  </w:r>
                </w:p>
              </w:tc>
              <w:tc>
                <w:tcPr>
                  <w:tcW w:w="525" w:type="pct"/>
                  <w:shd w:val="clear" w:color="auto" w:fill="FFFFFF"/>
                  <w:vAlign w:val="center"/>
                </w:tcPr>
                <w:p w14:paraId="6844FE12">
                  <w:pPr>
                    <w:jc w:val="center"/>
                    <w:rPr>
                      <w:sz w:val="21"/>
                      <w:szCs w:val="21"/>
                    </w:rPr>
                  </w:pPr>
                  <w:r>
                    <w:rPr>
                      <w:sz w:val="21"/>
                      <w:szCs w:val="21"/>
                    </w:rPr>
                    <w:t>材料房</w:t>
                  </w:r>
                </w:p>
              </w:tc>
              <w:tc>
                <w:tcPr>
                  <w:tcW w:w="624" w:type="pct"/>
                  <w:vAlign w:val="center"/>
                </w:tcPr>
                <w:p w14:paraId="39D3D65A">
                  <w:pPr>
                    <w:jc w:val="center"/>
                    <w:rPr>
                      <w:sz w:val="21"/>
                      <w:szCs w:val="21"/>
                    </w:rPr>
                  </w:pPr>
                  <w:r>
                    <w:rPr>
                      <w:sz w:val="21"/>
                      <w:szCs w:val="21"/>
                    </w:rPr>
                    <w:t>8</w:t>
                  </w:r>
                  <w:r>
                    <w:rPr>
                      <w:sz w:val="21"/>
                      <w:szCs w:val="21"/>
                    </w:rPr>
                    <w:noBreakHyphen/>
                  </w:r>
                  <w:r>
                    <w:rPr>
                      <w:sz w:val="21"/>
                      <w:szCs w:val="21"/>
                    </w:rPr>
                    <w:t>12</w:t>
                  </w:r>
                </w:p>
              </w:tc>
            </w:tr>
          </w:tbl>
          <w:p w14:paraId="4F6944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（4）各原辅材料理化性质。</w:t>
            </w:r>
          </w:p>
          <w:p w14:paraId="146BBA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b/>
                <w:bCs/>
              </w:rPr>
              <w:t>表</w:t>
            </w:r>
            <w:r>
              <w:rPr>
                <w:rFonts w:hint="eastAsia"/>
                <w:b/>
                <w:bCs/>
              </w:rPr>
              <w:t>2-7 各原辅材料成分理化性质一览表</w:t>
            </w:r>
          </w:p>
          <w:tbl>
            <w:tblPr>
              <w:tblStyle w:val="19"/>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4"/>
              <w:gridCol w:w="1306"/>
              <w:gridCol w:w="6940"/>
            </w:tblGrid>
            <w:tr w14:paraId="39FB2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 w:hRule="atLeast"/>
              </w:trPr>
              <w:tc>
                <w:tcPr>
                  <w:tcW w:w="357" w:type="pct"/>
                  <w:vAlign w:val="center"/>
                </w:tcPr>
                <w:p w14:paraId="03D4AD73">
                  <w:pPr>
                    <w:jc w:val="center"/>
                    <w:rPr>
                      <w:b/>
                      <w:bCs/>
                      <w:sz w:val="21"/>
                      <w:szCs w:val="21"/>
                    </w:rPr>
                  </w:pPr>
                  <w:r>
                    <w:rPr>
                      <w:b/>
                      <w:bCs/>
                      <w:sz w:val="21"/>
                      <w:szCs w:val="21"/>
                    </w:rPr>
                    <w:t>序号</w:t>
                  </w:r>
                </w:p>
              </w:tc>
              <w:tc>
                <w:tcPr>
                  <w:tcW w:w="735" w:type="pct"/>
                  <w:vAlign w:val="center"/>
                </w:tcPr>
                <w:p w14:paraId="110ECEDA">
                  <w:pPr>
                    <w:jc w:val="center"/>
                    <w:rPr>
                      <w:b/>
                      <w:bCs/>
                      <w:sz w:val="21"/>
                      <w:szCs w:val="21"/>
                    </w:rPr>
                  </w:pPr>
                  <w:r>
                    <w:rPr>
                      <w:rFonts w:hint="eastAsia"/>
                      <w:b/>
                      <w:bCs/>
                      <w:sz w:val="21"/>
                      <w:szCs w:val="21"/>
                    </w:rPr>
                    <w:t>成分</w:t>
                  </w:r>
                  <w:r>
                    <w:rPr>
                      <w:b/>
                      <w:bCs/>
                      <w:sz w:val="21"/>
                      <w:szCs w:val="21"/>
                    </w:rPr>
                    <w:t>名称</w:t>
                  </w:r>
                </w:p>
              </w:tc>
              <w:tc>
                <w:tcPr>
                  <w:tcW w:w="3907" w:type="pct"/>
                  <w:tcBorders>
                    <w:right w:val="single" w:color="000000" w:sz="4" w:space="0"/>
                  </w:tcBorders>
                  <w:vAlign w:val="center"/>
                </w:tcPr>
                <w:p w14:paraId="00222BE9">
                  <w:pPr>
                    <w:jc w:val="center"/>
                    <w:rPr>
                      <w:b/>
                      <w:bCs/>
                      <w:sz w:val="21"/>
                      <w:szCs w:val="21"/>
                    </w:rPr>
                  </w:pPr>
                  <w:r>
                    <w:rPr>
                      <w:rFonts w:hint="eastAsia"/>
                      <w:b/>
                      <w:bCs/>
                      <w:sz w:val="21"/>
                      <w:szCs w:val="21"/>
                    </w:rPr>
                    <w:t>理化性质</w:t>
                  </w:r>
                </w:p>
              </w:tc>
            </w:tr>
            <w:tr w14:paraId="32B2BF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0" w:hRule="atLeast"/>
              </w:trPr>
              <w:tc>
                <w:tcPr>
                  <w:tcW w:w="357" w:type="pct"/>
                  <w:vAlign w:val="center"/>
                </w:tcPr>
                <w:p w14:paraId="73B87EB6">
                  <w:pPr>
                    <w:jc w:val="center"/>
                    <w:rPr>
                      <w:sz w:val="21"/>
                      <w:szCs w:val="21"/>
                    </w:rPr>
                  </w:pPr>
                  <w:r>
                    <w:rPr>
                      <w:sz w:val="21"/>
                      <w:szCs w:val="21"/>
                    </w:rPr>
                    <w:t>1</w:t>
                  </w:r>
                </w:p>
              </w:tc>
              <w:tc>
                <w:tcPr>
                  <w:tcW w:w="735" w:type="pct"/>
                  <w:vAlign w:val="center"/>
                </w:tcPr>
                <w:p w14:paraId="07E209A0">
                  <w:pPr>
                    <w:jc w:val="center"/>
                    <w:rPr>
                      <w:sz w:val="21"/>
                      <w:szCs w:val="21"/>
                    </w:rPr>
                  </w:pPr>
                  <w:r>
                    <w:rPr>
                      <w:sz w:val="21"/>
                      <w:szCs w:val="21"/>
                    </w:rPr>
                    <w:t>膨润土</w:t>
                  </w:r>
                </w:p>
              </w:tc>
              <w:tc>
                <w:tcPr>
                  <w:tcW w:w="3907" w:type="pct"/>
                  <w:tcBorders>
                    <w:right w:val="single" w:color="000000" w:sz="4" w:space="0"/>
                  </w:tcBorders>
                  <w:vAlign w:val="center"/>
                </w:tcPr>
                <w:p w14:paraId="0597FC32">
                  <w:pPr>
                    <w:jc w:val="center"/>
                    <w:rPr>
                      <w:sz w:val="21"/>
                      <w:szCs w:val="21"/>
                    </w:rPr>
                  </w:pPr>
                  <w:r>
                    <w:rPr>
                      <w:rFonts w:hint="eastAsia"/>
                      <w:sz w:val="21"/>
                      <w:szCs w:val="21"/>
                    </w:rPr>
                    <w:t>膨润土是以蒙脱石为主要矿物成分的非金属矿产，蒙脱石结构是由两个硅氧四面体夹一层铝氧八面体组成的2:1型晶体结构，由于蒙脱石晶胞形成的层状结构存在某些阳离子，如Cu、Mg、Na、K等，且这些阳离子与蒙脱石晶胞的作用很不稳定，易被其它阳离子交换，故具有较好的离子交换性。国外已在工农业生产24个领域100多个部门中应用，有300多个产品,因而人们称之为"万能土"。膨润土的吸水性非常强，可以吸收9到21倍的体积，吸水后容积可达32倍。膨润土的膨胀性也很显著，吸水后体积膨胀可达干物质的10～15倍。此外，膨润土还具有良好的分散性、润滑性、吸附性、离子交换性、耐热能力等。这些性质使得膨润土在各个领域有着广泛的应用，如钻井泥浆、铁矿球团、动植物油的脱色和净化、铸造砂结合剂等。</w:t>
                  </w:r>
                </w:p>
              </w:tc>
            </w:tr>
            <w:tr w14:paraId="52FE1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57" w:type="pct"/>
                  <w:vAlign w:val="center"/>
                </w:tcPr>
                <w:p w14:paraId="0E58ABCC">
                  <w:pPr>
                    <w:jc w:val="center"/>
                    <w:rPr>
                      <w:sz w:val="21"/>
                      <w:szCs w:val="21"/>
                    </w:rPr>
                  </w:pPr>
                  <w:r>
                    <w:rPr>
                      <w:sz w:val="21"/>
                      <w:szCs w:val="21"/>
                    </w:rPr>
                    <w:t>2</w:t>
                  </w:r>
                </w:p>
              </w:tc>
              <w:tc>
                <w:tcPr>
                  <w:tcW w:w="735" w:type="pct"/>
                  <w:vAlign w:val="center"/>
                </w:tcPr>
                <w:p w14:paraId="7AC3628F">
                  <w:pPr>
                    <w:jc w:val="center"/>
                    <w:rPr>
                      <w:sz w:val="21"/>
                      <w:szCs w:val="21"/>
                    </w:rPr>
                  </w:pPr>
                  <w:r>
                    <w:rPr>
                      <w:sz w:val="21"/>
                      <w:szCs w:val="21"/>
                    </w:rPr>
                    <w:t>纯碱/Na</w:t>
                  </w:r>
                  <w:r>
                    <w:rPr>
                      <w:sz w:val="21"/>
                      <w:szCs w:val="21"/>
                      <w:vertAlign w:val="subscript"/>
                    </w:rPr>
                    <w:t>2</w:t>
                  </w:r>
                  <w:r>
                    <w:rPr>
                      <w:sz w:val="21"/>
                      <w:szCs w:val="21"/>
                    </w:rPr>
                    <w:t>CO</w:t>
                  </w:r>
                  <w:r>
                    <w:rPr>
                      <w:sz w:val="21"/>
                      <w:szCs w:val="21"/>
                      <w:vertAlign w:val="subscript"/>
                    </w:rPr>
                    <w:t>3</w:t>
                  </w:r>
                </w:p>
              </w:tc>
              <w:tc>
                <w:tcPr>
                  <w:tcW w:w="3907" w:type="pct"/>
                  <w:tcBorders>
                    <w:right w:val="single" w:color="000000" w:sz="4" w:space="0"/>
                  </w:tcBorders>
                  <w:vAlign w:val="center"/>
                </w:tcPr>
                <w:p w14:paraId="34A903A8">
                  <w:pPr>
                    <w:jc w:val="center"/>
                    <w:rPr>
                      <w:sz w:val="21"/>
                      <w:szCs w:val="21"/>
                    </w:rPr>
                  </w:pPr>
                  <w:r>
                    <w:rPr>
                      <w:rFonts w:hint="eastAsia"/>
                      <w:sz w:val="21"/>
                      <w:szCs w:val="21"/>
                    </w:rPr>
                    <w:t>纯碱，即碳酸钠，是一种无机化合物，分子式为</w:t>
                  </w:r>
                  <w:r>
                    <w:rPr>
                      <w:sz w:val="21"/>
                      <w:szCs w:val="21"/>
                    </w:rPr>
                    <w:t>Na</w:t>
                  </w:r>
                  <w:r>
                    <w:rPr>
                      <w:sz w:val="21"/>
                      <w:szCs w:val="21"/>
                      <w:vertAlign w:val="subscript"/>
                    </w:rPr>
                    <w:t>2</w:t>
                  </w:r>
                  <w:r>
                    <w:rPr>
                      <w:sz w:val="21"/>
                      <w:szCs w:val="21"/>
                    </w:rPr>
                    <w:t>CO</w:t>
                  </w:r>
                  <w:r>
                    <w:rPr>
                      <w:sz w:val="21"/>
                      <w:szCs w:val="21"/>
                      <w:vertAlign w:val="subscript"/>
                    </w:rPr>
                    <w:t>3</w:t>
                  </w:r>
                  <w:r>
                    <w:rPr>
                      <w:rFonts w:hint="eastAsia"/>
                      <w:sz w:val="21"/>
                      <w:szCs w:val="21"/>
                    </w:rPr>
                    <w:t>，分子量105.99。碳酸钠（</w:t>
                  </w:r>
                  <w:r>
                    <w:rPr>
                      <w:sz w:val="21"/>
                      <w:szCs w:val="21"/>
                    </w:rPr>
                    <w:t>Na</w:t>
                  </w:r>
                  <w:r>
                    <w:rPr>
                      <w:sz w:val="21"/>
                      <w:szCs w:val="21"/>
                      <w:vertAlign w:val="subscript"/>
                    </w:rPr>
                    <w:t>2</w:t>
                  </w:r>
                  <w:r>
                    <w:rPr>
                      <w:sz w:val="21"/>
                      <w:szCs w:val="21"/>
                    </w:rPr>
                    <w:t>CO</w:t>
                  </w:r>
                  <w:r>
                    <w:rPr>
                      <w:sz w:val="21"/>
                      <w:szCs w:val="21"/>
                      <w:vertAlign w:val="subscript"/>
                    </w:rPr>
                    <w:t>3</w:t>
                  </w:r>
                  <w:r>
                    <w:rPr>
                      <w:rFonts w:hint="eastAsia"/>
                      <w:sz w:val="21"/>
                      <w:szCs w:val="21"/>
                    </w:rPr>
                    <w:t>），分子量105.99。化学品的纯度多在99.5%以上（质量分数），又叫纯碱，但分类属于盐，不属于碱。国际贸易中又名苏打或碱灰。它是一种重要的无机化工原料，主要用于平板玻璃、玻璃制品和陶瓷釉的生产。还广泛用于生活洗涤、酸类中和以及食品加工等。</w:t>
                  </w:r>
                </w:p>
              </w:tc>
            </w:tr>
            <w:tr w14:paraId="40032D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5" w:hRule="atLeast"/>
              </w:trPr>
              <w:tc>
                <w:tcPr>
                  <w:tcW w:w="357" w:type="pct"/>
                  <w:vAlign w:val="center"/>
                </w:tcPr>
                <w:p w14:paraId="792BCCEC">
                  <w:pPr>
                    <w:jc w:val="center"/>
                    <w:rPr>
                      <w:sz w:val="21"/>
                      <w:szCs w:val="21"/>
                    </w:rPr>
                  </w:pPr>
                  <w:r>
                    <w:rPr>
                      <w:sz w:val="21"/>
                      <w:szCs w:val="21"/>
                    </w:rPr>
                    <w:t>3</w:t>
                  </w:r>
                </w:p>
              </w:tc>
              <w:tc>
                <w:tcPr>
                  <w:tcW w:w="735" w:type="pct"/>
                  <w:vAlign w:val="center"/>
                </w:tcPr>
                <w:p w14:paraId="20617A17">
                  <w:pPr>
                    <w:jc w:val="center"/>
                    <w:rPr>
                      <w:sz w:val="21"/>
                      <w:szCs w:val="21"/>
                    </w:rPr>
                  </w:pPr>
                  <w:r>
                    <w:rPr>
                      <w:sz w:val="21"/>
                      <w:szCs w:val="21"/>
                    </w:rPr>
                    <w:t>HV-CMC</w:t>
                  </w:r>
                </w:p>
              </w:tc>
              <w:tc>
                <w:tcPr>
                  <w:tcW w:w="3907" w:type="pct"/>
                  <w:tcBorders>
                    <w:right w:val="single" w:color="000000" w:sz="4" w:space="0"/>
                  </w:tcBorders>
                  <w:vAlign w:val="center"/>
                </w:tcPr>
                <w:p w14:paraId="56957DAD">
                  <w:pPr>
                    <w:jc w:val="center"/>
                    <w:rPr>
                      <w:sz w:val="21"/>
                      <w:szCs w:val="21"/>
                    </w:rPr>
                  </w:pPr>
                  <w:r>
                    <w:rPr>
                      <w:rFonts w:hint="eastAsia"/>
                      <w:sz w:val="21"/>
                      <w:szCs w:val="21"/>
                    </w:rPr>
                    <w:t>高粘度羧甲基纤维素钠盐（HV-CMC）是一种白色或微黄色纤维状粉末，具有吸湿性，无臭、无味、无毒、不易发酵，不溶于酸。高粘度羧甲基纤维素钠盐（HV-CMC）是一种阴离子型聚电解质，由氯乙酸钠与碱纤维素反应制得。它通常用于盐水造浆，并具有良好的水溶性。在水中溶胀时可以形成透明的黏稠胶液，水悬浮液的pH值为6.5-8.5。该物质不溶于乙醇、乙醚、丙酮和氯仿等有机溶剂。固体CMC对光及室温较稳定，在干燥的环境中，可以长期保存。</w:t>
                  </w:r>
                </w:p>
              </w:tc>
            </w:tr>
            <w:tr w14:paraId="0FC45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55072795">
                  <w:pPr>
                    <w:jc w:val="center"/>
                    <w:rPr>
                      <w:sz w:val="21"/>
                      <w:szCs w:val="21"/>
                    </w:rPr>
                  </w:pPr>
                  <w:r>
                    <w:rPr>
                      <w:sz w:val="21"/>
                      <w:szCs w:val="21"/>
                    </w:rPr>
                    <w:t>4</w:t>
                  </w:r>
                </w:p>
              </w:tc>
              <w:tc>
                <w:tcPr>
                  <w:tcW w:w="735" w:type="pct"/>
                  <w:vAlign w:val="center"/>
                </w:tcPr>
                <w:p w14:paraId="0E866A94">
                  <w:pPr>
                    <w:jc w:val="center"/>
                    <w:rPr>
                      <w:sz w:val="21"/>
                      <w:szCs w:val="21"/>
                    </w:rPr>
                  </w:pPr>
                  <w:r>
                    <w:rPr>
                      <w:rFonts w:hint="eastAsia"/>
                      <w:sz w:val="21"/>
                      <w:szCs w:val="21"/>
                    </w:rPr>
                    <w:t>氢氧化钠</w:t>
                  </w:r>
                </w:p>
              </w:tc>
              <w:tc>
                <w:tcPr>
                  <w:tcW w:w="3907" w:type="pct"/>
                  <w:tcBorders>
                    <w:right w:val="single" w:color="000000" w:sz="4" w:space="0"/>
                  </w:tcBorders>
                  <w:vAlign w:val="center"/>
                </w:tcPr>
                <w:p w14:paraId="55B3755F">
                  <w:pPr>
                    <w:jc w:val="center"/>
                    <w:rPr>
                      <w:sz w:val="21"/>
                      <w:szCs w:val="21"/>
                    </w:rPr>
                  </w:pPr>
                  <w:r>
                    <w:rPr>
                      <w:rFonts w:hint="eastAsia"/>
                      <w:sz w:val="21"/>
                      <w:szCs w:val="21"/>
                    </w:rPr>
                    <w:t>氢氧化钠，化学式为NaOH，俗称烧碱、火碱、苛性钠，为一种具有强腐蚀性的强碱，一般为片状或颗粒形态，易溶于水(溶于水时放热)并形成碱性溶液，另有潮解性，易吸取空气中的水蒸气(潮解)和二氧化碳(变质)。</w:t>
                  </w:r>
                </w:p>
                <w:p w14:paraId="60AAB3E6">
                  <w:pPr>
                    <w:jc w:val="center"/>
                    <w:rPr>
                      <w:sz w:val="21"/>
                      <w:szCs w:val="21"/>
                    </w:rPr>
                  </w:pPr>
                  <w:r>
                    <w:rPr>
                      <w:rFonts w:hint="eastAsia"/>
                      <w:sz w:val="21"/>
                      <w:szCs w:val="21"/>
                    </w:rPr>
                    <w:t>NaOH是化学实验室其中一种必备的化学品，亦为常见的化工品之一。纯品是无色透明的晶体。密度2.130g/cm³。熔点318.4℃。沸点1390℃。工业品含有少量的氯化钠和碳酸钠，是白色不透明的晶体。有块状，片状，粒状和棒状等。式量40.01氢氧化钠在水处理中可作为碱性清洗剂，溶于乙醇和甘油，不溶于丙醇、乙醚。在高温下对碳钠也有腐蚀作用。与氯、溴、碘等卤素发生歧化反应，与酸类起中和作用而生成盐和水。</w:t>
                  </w:r>
                </w:p>
              </w:tc>
            </w:tr>
            <w:tr w14:paraId="1BD09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A746CE1">
                  <w:pPr>
                    <w:jc w:val="center"/>
                    <w:rPr>
                      <w:sz w:val="21"/>
                      <w:szCs w:val="21"/>
                    </w:rPr>
                  </w:pPr>
                  <w:r>
                    <w:rPr>
                      <w:rFonts w:hint="eastAsia"/>
                      <w:sz w:val="21"/>
                      <w:szCs w:val="21"/>
                    </w:rPr>
                    <w:t>5</w:t>
                  </w:r>
                </w:p>
              </w:tc>
              <w:tc>
                <w:tcPr>
                  <w:tcW w:w="735" w:type="pct"/>
                  <w:vAlign w:val="center"/>
                </w:tcPr>
                <w:p w14:paraId="5F81DD9C">
                  <w:pPr>
                    <w:jc w:val="center"/>
                    <w:rPr>
                      <w:sz w:val="21"/>
                      <w:szCs w:val="21"/>
                    </w:rPr>
                  </w:pPr>
                  <w:r>
                    <w:rPr>
                      <w:sz w:val="21"/>
                      <w:szCs w:val="21"/>
                    </w:rPr>
                    <w:t>LV-CMC</w:t>
                  </w:r>
                </w:p>
              </w:tc>
              <w:tc>
                <w:tcPr>
                  <w:tcW w:w="3907" w:type="pct"/>
                  <w:tcBorders>
                    <w:right w:val="single" w:color="000000" w:sz="4" w:space="0"/>
                  </w:tcBorders>
                  <w:vAlign w:val="center"/>
                </w:tcPr>
                <w:p w14:paraId="141F9CD7">
                  <w:pPr>
                    <w:jc w:val="center"/>
                    <w:rPr>
                      <w:sz w:val="21"/>
                      <w:szCs w:val="21"/>
                    </w:rPr>
                  </w:pPr>
                  <w:r>
                    <w:rPr>
                      <w:rFonts w:hint="eastAsia"/>
                      <w:sz w:val="21"/>
                      <w:szCs w:val="21"/>
                    </w:rPr>
                    <w:t>低黏羧甲基纤维素LV-CMC是一种阴离子型聚电解质，由氯乙酸钠与碱纤维素反应制得。它分高粘（HV-CMC）、中粘（MV-CMC）、低粘LV-CMC）及碱性中粘，外观均为白色或淡黄色粉末，无毒，溶于冷水或热水，水溶液为粘稠状胶体</w:t>
                  </w:r>
                </w:p>
              </w:tc>
            </w:tr>
            <w:tr w14:paraId="602B3F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2D5F54C6">
                  <w:pPr>
                    <w:jc w:val="center"/>
                    <w:rPr>
                      <w:sz w:val="21"/>
                      <w:szCs w:val="21"/>
                    </w:rPr>
                  </w:pPr>
                  <w:r>
                    <w:rPr>
                      <w:rFonts w:hint="eastAsia"/>
                      <w:sz w:val="21"/>
                      <w:szCs w:val="21"/>
                    </w:rPr>
                    <w:t>6</w:t>
                  </w:r>
                </w:p>
              </w:tc>
              <w:tc>
                <w:tcPr>
                  <w:tcW w:w="735" w:type="pct"/>
                  <w:vAlign w:val="center"/>
                </w:tcPr>
                <w:p w14:paraId="3D4409B2">
                  <w:pPr>
                    <w:jc w:val="center"/>
                    <w:rPr>
                      <w:sz w:val="21"/>
                      <w:szCs w:val="21"/>
                    </w:rPr>
                  </w:pPr>
                  <w:r>
                    <w:rPr>
                      <w:sz w:val="21"/>
                      <w:szCs w:val="21"/>
                    </w:rPr>
                    <w:t>PAM</w:t>
                  </w:r>
                </w:p>
              </w:tc>
              <w:tc>
                <w:tcPr>
                  <w:tcW w:w="3907" w:type="pct"/>
                  <w:tcBorders>
                    <w:right w:val="single" w:color="000000" w:sz="4" w:space="0"/>
                  </w:tcBorders>
                  <w:vAlign w:val="center"/>
                </w:tcPr>
                <w:p w14:paraId="7634BC5D">
                  <w:pPr>
                    <w:jc w:val="center"/>
                    <w:rPr>
                      <w:sz w:val="21"/>
                      <w:szCs w:val="21"/>
                    </w:rPr>
                  </w:pPr>
                  <w:r>
                    <w:rPr>
                      <w:rFonts w:hint="eastAsia"/>
                      <w:sz w:val="21"/>
                      <w:szCs w:val="21"/>
                    </w:rPr>
                    <w:t>PAM，即聚丙烯酰胺，是一种线型高分子聚合物。聚丙烯酰胺，英文名称为Poly(acrylamide)，CAS号为9003-05-8，分子式为(C</w:t>
                  </w:r>
                  <w:r>
                    <w:rPr>
                      <w:rFonts w:hint="eastAsia"/>
                      <w:sz w:val="21"/>
                      <w:szCs w:val="21"/>
                      <w:vertAlign w:val="subscript"/>
                    </w:rPr>
                    <w:t>3</w:t>
                  </w:r>
                  <w:r>
                    <w:rPr>
                      <w:rFonts w:hint="eastAsia"/>
                      <w:sz w:val="21"/>
                      <w:szCs w:val="21"/>
                    </w:rPr>
                    <w:t>H</w:t>
                  </w:r>
                  <w:r>
                    <w:rPr>
                      <w:rFonts w:hint="eastAsia"/>
                      <w:sz w:val="21"/>
                      <w:szCs w:val="21"/>
                      <w:vertAlign w:val="subscript"/>
                    </w:rPr>
                    <w:t>5</w:t>
                  </w:r>
                  <w:r>
                    <w:rPr>
                      <w:rFonts w:hint="eastAsia"/>
                      <w:sz w:val="21"/>
                      <w:szCs w:val="21"/>
                    </w:rPr>
                    <w:t>NO)</w:t>
                  </w:r>
                  <w:r>
                    <w:rPr>
                      <w:rFonts w:hint="eastAsia"/>
                      <w:sz w:val="21"/>
                      <w:szCs w:val="21"/>
                      <w:vertAlign w:val="subscript"/>
                    </w:rPr>
                    <w:t>n</w:t>
                  </w:r>
                  <w:r>
                    <w:rPr>
                      <w:rFonts w:hint="eastAsia"/>
                      <w:sz w:val="21"/>
                      <w:szCs w:val="21"/>
                    </w:rPr>
                    <w:t>，聚丙烯酰胺是一种线状的有机高分子聚合物，同时也是一种高分子水处理絮凝剂产品，专门可以吸附水中的悬浮颗粒，在颗粒之间起链接架桥作用，使细颗粒形成比较大的絮团，并且加快了沉淀的速度。这一过程称之为絮凝，因其中良好的絮凝效果PAM作为水处理的絮凝剂并且被广泛用于污水处理。聚丙烯酰胺目数：目数是指物料的粒度或粗细度,目数是单位面积上的方格数.一般定义是指在1英寸*1英寸的面积内有多少个网孔数,即筛网的网孔数。</w:t>
                  </w:r>
                </w:p>
              </w:tc>
            </w:tr>
            <w:tr w14:paraId="03B20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636043E">
                  <w:pPr>
                    <w:jc w:val="center"/>
                    <w:rPr>
                      <w:sz w:val="21"/>
                      <w:szCs w:val="21"/>
                    </w:rPr>
                  </w:pPr>
                  <w:r>
                    <w:rPr>
                      <w:rFonts w:hint="eastAsia"/>
                      <w:sz w:val="21"/>
                      <w:szCs w:val="21"/>
                    </w:rPr>
                    <w:t>7</w:t>
                  </w:r>
                </w:p>
              </w:tc>
              <w:tc>
                <w:tcPr>
                  <w:tcW w:w="735" w:type="pct"/>
                  <w:vAlign w:val="center"/>
                </w:tcPr>
                <w:p w14:paraId="114DB42A">
                  <w:pPr>
                    <w:jc w:val="center"/>
                    <w:rPr>
                      <w:sz w:val="21"/>
                      <w:szCs w:val="21"/>
                    </w:rPr>
                  </w:pPr>
                  <w:r>
                    <w:rPr>
                      <w:sz w:val="21"/>
                      <w:szCs w:val="21"/>
                    </w:rPr>
                    <w:t>K-PAM</w:t>
                  </w:r>
                </w:p>
              </w:tc>
              <w:tc>
                <w:tcPr>
                  <w:tcW w:w="3907" w:type="pct"/>
                  <w:tcBorders>
                    <w:right w:val="single" w:color="000000" w:sz="4" w:space="0"/>
                  </w:tcBorders>
                  <w:vAlign w:val="center"/>
                </w:tcPr>
                <w:p w14:paraId="6D0569A0">
                  <w:pPr>
                    <w:jc w:val="center"/>
                    <w:rPr>
                      <w:sz w:val="21"/>
                      <w:szCs w:val="21"/>
                    </w:rPr>
                  </w:pPr>
                  <w:r>
                    <w:rPr>
                      <w:rFonts w:hint="eastAsia"/>
                      <w:sz w:val="21"/>
                      <w:szCs w:val="21"/>
                    </w:rPr>
                    <w:t>2-丙烯酸钾（Potassium Acrylate）是一种聚合物，具有以下性质：物理性质：2-丙烯酸钾均聚物是无色至浅黄色的颗粒状或粉末状固体，可溶于水和一些有机溶剂，如醇类和酮类。化学性质：2-丙烯酸钾均聚物是弱碱性物质，能与酸反应生成相应的盐。应用：2-丙烯酸钾均聚物广泛应用于涂料、粘合剂、纺织品加工、水处理、油田开发等领域。其高粘度和黏附能力使其成为增稠剂和粘合剂的理想选择。</w:t>
                  </w:r>
                </w:p>
              </w:tc>
            </w:tr>
            <w:tr w14:paraId="22FB18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6085EC93">
                  <w:pPr>
                    <w:jc w:val="center"/>
                    <w:rPr>
                      <w:sz w:val="21"/>
                      <w:szCs w:val="21"/>
                    </w:rPr>
                  </w:pPr>
                  <w:r>
                    <w:rPr>
                      <w:rFonts w:hint="eastAsia"/>
                      <w:sz w:val="21"/>
                      <w:szCs w:val="21"/>
                    </w:rPr>
                    <w:t>8</w:t>
                  </w:r>
                </w:p>
              </w:tc>
              <w:tc>
                <w:tcPr>
                  <w:tcW w:w="735" w:type="pct"/>
                  <w:vAlign w:val="center"/>
                </w:tcPr>
                <w:p w14:paraId="0CD19BAC">
                  <w:pPr>
                    <w:jc w:val="center"/>
                    <w:rPr>
                      <w:sz w:val="21"/>
                      <w:szCs w:val="21"/>
                    </w:rPr>
                  </w:pPr>
                  <w:r>
                    <w:rPr>
                      <w:sz w:val="21"/>
                      <w:szCs w:val="21"/>
                    </w:rPr>
                    <w:t>超细碳酸钙</w:t>
                  </w:r>
                </w:p>
              </w:tc>
              <w:tc>
                <w:tcPr>
                  <w:tcW w:w="3907" w:type="pct"/>
                  <w:tcBorders>
                    <w:right w:val="single" w:color="000000" w:sz="4" w:space="0"/>
                  </w:tcBorders>
                  <w:vAlign w:val="center"/>
                </w:tcPr>
                <w:p w14:paraId="604DC7E9">
                  <w:pPr>
                    <w:jc w:val="center"/>
                    <w:rPr>
                      <w:sz w:val="21"/>
                      <w:szCs w:val="21"/>
                    </w:rPr>
                  </w:pPr>
                  <w:r>
                    <w:rPr>
                      <w:rFonts w:hint="eastAsia"/>
                      <w:sz w:val="21"/>
                      <w:szCs w:val="21"/>
                    </w:rPr>
                    <w:t>超细碳酸钙的理化性质主要包括以下几个方面：高白度：超细碳酸钙的白度较高，这使得它在作为填料或添加剂时能够提供良好的光学性能。精细粉末：其颗粒尺寸非常小，通常在400至2500目之间，这有助于提高其在各种材料中的分散性和应用效果。纯度高：超细碳酸钙的纯度较高，这意味着它含有较少的杂质，这对于保证产品的质量和性能至关重要。粒径均匀：粒径均匀性是超细碳酸钙的一个重要特性，它影响着材料的物理性能和加工性能。无臭、无味、无腐蚀、无放射：这些性质使得超细碳酸钙在使用过程中不会对环境或人体造成伤害，符合环保要求。环保：超细碳酸钙的生产和使用过程对环境友好，不会产生有害物质。无毒、无臭、无刺激性：这些性质使得超细碳酸钙在食品、医药等领域有着广泛的应用潜力。通常为白色，相对密度为2.7~2.9：这是超细碳酸钙的基本物理属性，有助于在不同应用场景下的正确使用和处理。莫氏硬度方解石为3，文石为3.5~4：这表明超细碳酸钙具有一定的硬度，但同时也比较容易被研磨成细粉。</w:t>
                  </w:r>
                </w:p>
              </w:tc>
            </w:tr>
            <w:tr w14:paraId="3C900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15F5298E">
                  <w:pPr>
                    <w:jc w:val="center"/>
                    <w:rPr>
                      <w:sz w:val="21"/>
                      <w:szCs w:val="21"/>
                    </w:rPr>
                  </w:pPr>
                  <w:r>
                    <w:rPr>
                      <w:rFonts w:hint="eastAsia"/>
                      <w:sz w:val="21"/>
                      <w:szCs w:val="21"/>
                    </w:rPr>
                    <w:t>9</w:t>
                  </w:r>
                </w:p>
              </w:tc>
              <w:tc>
                <w:tcPr>
                  <w:tcW w:w="735" w:type="pct"/>
                  <w:vAlign w:val="center"/>
                </w:tcPr>
                <w:p w14:paraId="7947F590">
                  <w:pPr>
                    <w:jc w:val="center"/>
                    <w:rPr>
                      <w:sz w:val="21"/>
                      <w:szCs w:val="21"/>
                    </w:rPr>
                  </w:pPr>
                  <w:r>
                    <w:rPr>
                      <w:sz w:val="21"/>
                      <w:szCs w:val="21"/>
                    </w:rPr>
                    <w:t>KCl氯化钾</w:t>
                  </w:r>
                </w:p>
              </w:tc>
              <w:tc>
                <w:tcPr>
                  <w:tcW w:w="3907" w:type="pct"/>
                  <w:tcBorders>
                    <w:right w:val="single" w:color="000000" w:sz="4" w:space="0"/>
                  </w:tcBorders>
                  <w:vAlign w:val="center"/>
                </w:tcPr>
                <w:p w14:paraId="58A4925E">
                  <w:pPr>
                    <w:jc w:val="center"/>
                    <w:rPr>
                      <w:sz w:val="21"/>
                      <w:szCs w:val="21"/>
                    </w:rPr>
                  </w:pPr>
                  <w:r>
                    <w:rPr>
                      <w:rFonts w:hint="eastAsia"/>
                      <w:sz w:val="21"/>
                      <w:szCs w:val="21"/>
                    </w:rPr>
                    <w:t>氯化钾（化学式：KCl），盐酸盐的一种，白色结晶或结晶性粉末，易溶于水和甘油，难溶于醇，不溶于醚和丙酮。无色细长菱形或成一立方晶体，或白色结晶小颗粒粉末，外观如同食盐，无臭、味咸。常用于低钠盐、矿物质水的添加剂。氯化钾是临床常用的电解质平衡调节药，临床疗效确切，广泛运用于临床各科。</w:t>
                  </w:r>
                </w:p>
              </w:tc>
            </w:tr>
            <w:tr w14:paraId="151C0D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B61E5F9">
                  <w:pPr>
                    <w:jc w:val="center"/>
                    <w:rPr>
                      <w:sz w:val="21"/>
                      <w:szCs w:val="21"/>
                    </w:rPr>
                  </w:pPr>
                  <w:r>
                    <w:rPr>
                      <w:rFonts w:hint="eastAsia"/>
                      <w:sz w:val="21"/>
                      <w:szCs w:val="21"/>
                    </w:rPr>
                    <w:t>10</w:t>
                  </w:r>
                </w:p>
              </w:tc>
              <w:tc>
                <w:tcPr>
                  <w:tcW w:w="735" w:type="pct"/>
                  <w:vAlign w:val="center"/>
                </w:tcPr>
                <w:p w14:paraId="75C0888D">
                  <w:pPr>
                    <w:jc w:val="center"/>
                    <w:rPr>
                      <w:sz w:val="21"/>
                      <w:szCs w:val="21"/>
                    </w:rPr>
                  </w:pPr>
                  <w:r>
                    <w:rPr>
                      <w:sz w:val="21"/>
                      <w:szCs w:val="21"/>
                    </w:rPr>
                    <w:t>氯化钙</w:t>
                  </w:r>
                </w:p>
              </w:tc>
              <w:tc>
                <w:tcPr>
                  <w:tcW w:w="3907" w:type="pct"/>
                  <w:tcBorders>
                    <w:right w:val="single" w:color="000000" w:sz="4" w:space="0"/>
                  </w:tcBorders>
                  <w:vAlign w:val="center"/>
                </w:tcPr>
                <w:p w14:paraId="7643763E">
                  <w:pPr>
                    <w:jc w:val="center"/>
                    <w:rPr>
                      <w:sz w:val="21"/>
                      <w:szCs w:val="21"/>
                    </w:rPr>
                  </w:pPr>
                  <w:r>
                    <w:rPr>
                      <w:rFonts w:hint="eastAsia"/>
                      <w:sz w:val="21"/>
                      <w:szCs w:val="21"/>
                    </w:rPr>
                    <w:t>氯化钙是一种由氯元素和钙元素组成的化学物质，化学式为CaCl</w:t>
                  </w:r>
                  <w:r>
                    <w:rPr>
                      <w:rFonts w:hint="eastAsia"/>
                      <w:sz w:val="21"/>
                      <w:szCs w:val="21"/>
                      <w:vertAlign w:val="subscript"/>
                    </w:rPr>
                    <w:t>2</w:t>
                  </w:r>
                  <w:r>
                    <w:rPr>
                      <w:rFonts w:hint="eastAsia"/>
                      <w:sz w:val="21"/>
                      <w:szCs w:val="21"/>
                    </w:rPr>
                    <w:t>，微苦。它是典型的离子型卤化物，室温下为白色、硬质碎块或颗粒。它常见应用包括制冷设备所用的盐水、道路融冰剂和干燥剂。无色立方结晶体，白色或灰白色，有粒状、蜂窝块状、圆球状、不规则颗粒状、粉末状。微毒、无臭、味微苦。吸湿性极强，暴露于空气中极易潮解。易溶于水，20℃时溶解度为74.5g/100g水，同时放出大量的热(氯化钙的溶解焓为-176.2cal/g)，其水溶液呈微酸性。易溶于多种极性、质子性溶剂，20℃时在下列溶剂中的溶解度(g/100mL溶剂):甲醇:29.2，无水乙醇:25.8，正丙醇:15.8，正丁醇:25.0，正戊醇:11.5，乙二醇:21.6(25℃)，甲酸:43.1，乙酸:15.0(30℃)，联氨:16.0。但在偶极溶剂及低极性溶剂中，如乙醚、四氢呋喃等则仅微溶或难溶。与氨或醇作用，分别生成CaCl</w:t>
                  </w:r>
                  <w:r>
                    <w:rPr>
                      <w:rFonts w:hint="eastAsia"/>
                      <w:sz w:val="21"/>
                      <w:szCs w:val="21"/>
                      <w:vertAlign w:val="subscript"/>
                    </w:rPr>
                    <w:t>2</w:t>
                  </w:r>
                  <w:r>
                    <w:rPr>
                      <w:sz w:val="21"/>
                      <w:szCs w:val="21"/>
                    </w:rPr>
                    <w:t>·</w:t>
                  </w:r>
                  <w:r>
                    <w:rPr>
                      <w:rFonts w:hint="eastAsia"/>
                      <w:sz w:val="21"/>
                      <w:szCs w:val="21"/>
                    </w:rPr>
                    <w:t>8NH</w:t>
                  </w:r>
                  <w:r>
                    <w:rPr>
                      <w:rFonts w:hint="eastAsia"/>
                      <w:sz w:val="21"/>
                      <w:szCs w:val="21"/>
                      <w:vertAlign w:val="subscript"/>
                    </w:rPr>
                    <w:t>3</w:t>
                  </w:r>
                  <w:r>
                    <w:rPr>
                      <w:rFonts w:hint="eastAsia"/>
                      <w:sz w:val="21"/>
                      <w:szCs w:val="21"/>
                    </w:rPr>
                    <w:t>和CaCl</w:t>
                  </w:r>
                  <w:r>
                    <w:rPr>
                      <w:rFonts w:hint="eastAsia"/>
                      <w:sz w:val="21"/>
                      <w:szCs w:val="21"/>
                      <w:vertAlign w:val="subscript"/>
                    </w:rPr>
                    <w:t>2</w:t>
                  </w:r>
                  <w:r>
                    <w:rPr>
                      <w:rFonts w:hint="eastAsia"/>
                      <w:sz w:val="21"/>
                      <w:szCs w:val="21"/>
                    </w:rPr>
                    <w:t>·4C</w:t>
                  </w:r>
                  <w:r>
                    <w:rPr>
                      <w:rFonts w:hint="eastAsia"/>
                      <w:sz w:val="21"/>
                      <w:szCs w:val="21"/>
                      <w:vertAlign w:val="subscript"/>
                    </w:rPr>
                    <w:t>2</w:t>
                  </w:r>
                  <w:r>
                    <w:rPr>
                      <w:rFonts w:hint="eastAsia"/>
                      <w:sz w:val="21"/>
                      <w:szCs w:val="21"/>
                    </w:rPr>
                    <w:t>H</w:t>
                  </w:r>
                  <w:r>
                    <w:rPr>
                      <w:rFonts w:hint="eastAsia"/>
                      <w:sz w:val="21"/>
                      <w:szCs w:val="21"/>
                      <w:vertAlign w:val="subscript"/>
                    </w:rPr>
                    <w:t>5</w:t>
                  </w:r>
                  <w:r>
                    <w:rPr>
                      <w:rFonts w:hint="eastAsia"/>
                      <w:sz w:val="21"/>
                      <w:szCs w:val="21"/>
                    </w:rPr>
                    <w:t>OH络合物。低温下溶液结晶而析出的为六水物，逐渐加热至30℃时则溶解在自身的结晶水中，继续加热逐渐失水，至200℃时变为二水物，再加热至260℃则变为白色多孔状的无水氯化钙。水合氯化钙加热脱水过程中有部分发生水解反应，因而产物中常含有少量的CaO杂质。</w:t>
                  </w:r>
                </w:p>
              </w:tc>
            </w:tr>
            <w:tr w14:paraId="2B943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03CE864">
                  <w:pPr>
                    <w:jc w:val="center"/>
                    <w:rPr>
                      <w:sz w:val="21"/>
                      <w:szCs w:val="21"/>
                    </w:rPr>
                  </w:pPr>
                  <w:r>
                    <w:rPr>
                      <w:rFonts w:hint="eastAsia"/>
                      <w:sz w:val="21"/>
                      <w:szCs w:val="21"/>
                    </w:rPr>
                    <w:t>11</w:t>
                  </w:r>
                </w:p>
              </w:tc>
              <w:tc>
                <w:tcPr>
                  <w:tcW w:w="735" w:type="pct"/>
                  <w:vAlign w:val="center"/>
                </w:tcPr>
                <w:p w14:paraId="6BAC2894">
                  <w:pPr>
                    <w:jc w:val="center"/>
                    <w:rPr>
                      <w:sz w:val="21"/>
                      <w:szCs w:val="21"/>
                    </w:rPr>
                  </w:pPr>
                  <w:r>
                    <w:rPr>
                      <w:rFonts w:hint="eastAsia"/>
                      <w:sz w:val="21"/>
                      <w:szCs w:val="21"/>
                    </w:rPr>
                    <w:t>石灰石粉</w:t>
                  </w:r>
                </w:p>
              </w:tc>
              <w:tc>
                <w:tcPr>
                  <w:tcW w:w="3907" w:type="pct"/>
                  <w:tcBorders>
                    <w:right w:val="single" w:color="000000" w:sz="4" w:space="0"/>
                  </w:tcBorders>
                  <w:vAlign w:val="center"/>
                </w:tcPr>
                <w:p w14:paraId="469DB777">
                  <w:pPr>
                    <w:jc w:val="center"/>
                    <w:rPr>
                      <w:sz w:val="21"/>
                      <w:szCs w:val="21"/>
                    </w:rPr>
                  </w:pPr>
                  <w:r>
                    <w:rPr>
                      <w:rFonts w:hint="eastAsia"/>
                      <w:sz w:val="21"/>
                      <w:szCs w:val="21"/>
                    </w:rPr>
                    <w:t>石灰石主要成分碳酸钙(CaCO</w:t>
                  </w:r>
                  <w:r>
                    <w:rPr>
                      <w:rFonts w:hint="eastAsia"/>
                      <w:sz w:val="21"/>
                      <w:szCs w:val="21"/>
                      <w:vertAlign w:val="subscript"/>
                    </w:rPr>
                    <w:t>3</w:t>
                  </w:r>
                  <w:r>
                    <w:rPr>
                      <w:rFonts w:hint="eastAsia"/>
                      <w:sz w:val="21"/>
                      <w:szCs w:val="21"/>
                    </w:rPr>
                    <w:t>)。石灰和石灰石是大量用于建筑材料、工业的原料。石灰石可以直接加工成石料和烧制成生石灰。生石灰CaO吸潮或加水就成为熟石灰，熟石灰主要成分是Ca(OH)</w:t>
                  </w:r>
                  <w:r>
                    <w:rPr>
                      <w:rFonts w:hint="eastAsia"/>
                      <w:sz w:val="21"/>
                      <w:szCs w:val="21"/>
                      <w:vertAlign w:val="subscript"/>
                    </w:rPr>
                    <w:t>2</w:t>
                  </w:r>
                  <w:r>
                    <w:rPr>
                      <w:rFonts w:hint="eastAsia"/>
                      <w:sz w:val="21"/>
                      <w:szCs w:val="21"/>
                    </w:rPr>
                    <w:t>，可以称之为氢氧化钙，熟石灰经调配成石灰浆、石灰膏等，用作涂装材料和砖瓦粘合剂。</w:t>
                  </w:r>
                </w:p>
              </w:tc>
            </w:tr>
            <w:tr w14:paraId="64307C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08BAA46">
                  <w:pPr>
                    <w:jc w:val="center"/>
                    <w:rPr>
                      <w:sz w:val="21"/>
                      <w:szCs w:val="21"/>
                    </w:rPr>
                  </w:pPr>
                  <w:r>
                    <w:rPr>
                      <w:rFonts w:hint="eastAsia"/>
                      <w:sz w:val="21"/>
                      <w:szCs w:val="21"/>
                    </w:rPr>
                    <w:t>12</w:t>
                  </w:r>
                </w:p>
              </w:tc>
              <w:tc>
                <w:tcPr>
                  <w:tcW w:w="735" w:type="pct"/>
                  <w:vAlign w:val="center"/>
                </w:tcPr>
                <w:p w14:paraId="39103764">
                  <w:pPr>
                    <w:jc w:val="center"/>
                    <w:rPr>
                      <w:sz w:val="21"/>
                      <w:szCs w:val="21"/>
                    </w:rPr>
                  </w:pPr>
                  <w:r>
                    <w:rPr>
                      <w:rFonts w:hint="eastAsia"/>
                      <w:sz w:val="21"/>
                      <w:szCs w:val="21"/>
                    </w:rPr>
                    <w:t>柴油</w:t>
                  </w:r>
                </w:p>
              </w:tc>
              <w:tc>
                <w:tcPr>
                  <w:tcW w:w="3907" w:type="pct"/>
                  <w:tcBorders>
                    <w:right w:val="single" w:color="000000" w:sz="4" w:space="0"/>
                  </w:tcBorders>
                  <w:vAlign w:val="center"/>
                </w:tcPr>
                <w:p w14:paraId="3E29C9D3">
                  <w:pPr>
                    <w:jc w:val="center"/>
                    <w:rPr>
                      <w:sz w:val="21"/>
                      <w:szCs w:val="21"/>
                    </w:rPr>
                  </w:pPr>
                  <w:r>
                    <w:rPr>
                      <w:rFonts w:hint="eastAsia"/>
                      <w:sz w:val="21"/>
                      <w:szCs w:val="21"/>
                    </w:rPr>
                    <w:t>石油柴油主要含烷烃、环烷烃和芳香烃。</w:t>
                  </w:r>
                  <w:r>
                    <w:rPr>
                      <w:sz w:val="21"/>
                      <w:szCs w:val="21"/>
                    </w:rPr>
                    <w:t>典型矿物柴油的总芳烃含量约为25.0%（质量百分比）,多环芳烃含量约为2.9%（质量百分比）。加氢处理后的柴油芳烃含量可降至16%以下。柴油分子主要为C</w:t>
                  </w:r>
                  <w:r>
                    <w:rPr>
                      <w:sz w:val="21"/>
                      <w:szCs w:val="21"/>
                      <w:vertAlign w:val="subscript"/>
                    </w:rPr>
                    <w:t>8</w:t>
                  </w:r>
                  <w:r>
                    <w:rPr>
                      <w:sz w:val="21"/>
                      <w:szCs w:val="21"/>
                    </w:rPr>
                    <w:t>-C</w:t>
                  </w:r>
                  <w:r>
                    <w:rPr>
                      <w:sz w:val="21"/>
                      <w:szCs w:val="21"/>
                      <w:vertAlign w:val="subscript"/>
                    </w:rPr>
                    <w:t>20</w:t>
                  </w:r>
                  <w:r>
                    <w:rPr>
                      <w:sz w:val="21"/>
                      <w:szCs w:val="21"/>
                    </w:rPr>
                    <w:t>的碳氢化合物。烃类组成直接影响柴油的密度、热值、粘度、凝点和十六烷值等关键性质。</w:t>
                  </w:r>
                </w:p>
              </w:tc>
            </w:tr>
            <w:tr w14:paraId="7EC290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3336FD5A">
                  <w:pPr>
                    <w:jc w:val="center"/>
                    <w:rPr>
                      <w:sz w:val="21"/>
                      <w:szCs w:val="21"/>
                    </w:rPr>
                  </w:pPr>
                  <w:r>
                    <w:rPr>
                      <w:rFonts w:hint="eastAsia"/>
                      <w:sz w:val="21"/>
                      <w:szCs w:val="21"/>
                    </w:rPr>
                    <w:t>13</w:t>
                  </w:r>
                </w:p>
              </w:tc>
              <w:tc>
                <w:tcPr>
                  <w:tcW w:w="735" w:type="pct"/>
                  <w:vAlign w:val="center"/>
                </w:tcPr>
                <w:p w14:paraId="5FA23591">
                  <w:pPr>
                    <w:jc w:val="center"/>
                    <w:rPr>
                      <w:sz w:val="21"/>
                      <w:szCs w:val="21"/>
                    </w:rPr>
                  </w:pPr>
                  <w:r>
                    <w:rPr>
                      <w:rFonts w:hint="eastAsia"/>
                      <w:sz w:val="21"/>
                      <w:szCs w:val="21"/>
                    </w:rPr>
                    <w:t>石油磺酸钠</w:t>
                  </w:r>
                </w:p>
              </w:tc>
              <w:tc>
                <w:tcPr>
                  <w:tcW w:w="3907" w:type="pct"/>
                  <w:tcBorders>
                    <w:right w:val="single" w:color="000000" w:sz="4" w:space="0"/>
                  </w:tcBorders>
                  <w:vAlign w:val="center"/>
                </w:tcPr>
                <w:p w14:paraId="6CEDEDA4">
                  <w:pPr>
                    <w:jc w:val="center"/>
                    <w:rPr>
                      <w:sz w:val="21"/>
                      <w:szCs w:val="21"/>
                    </w:rPr>
                  </w:pPr>
                  <w:r>
                    <w:rPr>
                      <w:rFonts w:hint="eastAsia"/>
                      <w:sz w:val="21"/>
                      <w:szCs w:val="21"/>
                    </w:rPr>
                    <w:t>石油磺酸钠，又称烷基磺酸钠、T702防锈剂，化学式为RSO</w:t>
                  </w:r>
                  <w:r>
                    <w:rPr>
                      <w:rFonts w:hint="eastAsia"/>
                      <w:sz w:val="21"/>
                      <w:szCs w:val="21"/>
                      <w:vertAlign w:val="subscript"/>
                    </w:rPr>
                    <w:t>3</w:t>
                  </w:r>
                  <w:r>
                    <w:rPr>
                      <w:rFonts w:hint="eastAsia"/>
                      <w:sz w:val="21"/>
                      <w:szCs w:val="21"/>
                    </w:rPr>
                    <w:t>Na（R为C</w:t>
                  </w:r>
                  <w:r>
                    <w:rPr>
                      <w:rFonts w:hint="eastAsia"/>
                      <w:sz w:val="21"/>
                      <w:szCs w:val="21"/>
                      <w:vertAlign w:val="subscript"/>
                    </w:rPr>
                    <w:t>14</w:t>
                  </w:r>
                  <w:r>
                    <w:rPr>
                      <w:rFonts w:hint="eastAsia"/>
                      <w:sz w:val="21"/>
                      <w:szCs w:val="21"/>
                    </w:rPr>
                    <w:t>～C</w:t>
                  </w:r>
                  <w:r>
                    <w:rPr>
                      <w:rFonts w:hint="eastAsia"/>
                      <w:sz w:val="21"/>
                      <w:szCs w:val="21"/>
                      <w:vertAlign w:val="subscript"/>
                    </w:rPr>
                    <w:t>18</w:t>
                  </w:r>
                  <w:r>
                    <w:rPr>
                      <w:rFonts w:hint="eastAsia"/>
                      <w:sz w:val="21"/>
                      <w:szCs w:val="21"/>
                    </w:rPr>
                    <w:t>烷基），属磺酸盐型阴离子表面活性剂。其制备采用石油馏分（230-320℃）经浓硫酸处理除去不饱和烃，在紫外光照射下与氯和二氧化硫作用，再用烧碱皂化制得。该物质化学组成为不同链长的烷烃（R=C</w:t>
                  </w:r>
                  <w:r>
                    <w:rPr>
                      <w:rFonts w:hint="eastAsia"/>
                      <w:sz w:val="21"/>
                      <w:szCs w:val="21"/>
                      <w:vertAlign w:val="subscript"/>
                    </w:rPr>
                    <w:t>14</w:t>
                  </w:r>
                  <w:r>
                    <w:rPr>
                      <w:rFonts w:hint="eastAsia"/>
                      <w:sz w:val="21"/>
                      <w:szCs w:val="21"/>
                    </w:rPr>
                    <w:t>～C</w:t>
                  </w:r>
                  <w:r>
                    <w:rPr>
                      <w:rFonts w:hint="eastAsia"/>
                      <w:sz w:val="21"/>
                      <w:szCs w:val="21"/>
                      <w:vertAlign w:val="subscript"/>
                    </w:rPr>
                    <w:t>18</w:t>
                  </w:r>
                  <w:r>
                    <w:rPr>
                      <w:rFonts w:hint="eastAsia"/>
                      <w:sz w:val="21"/>
                      <w:szCs w:val="21"/>
                    </w:rPr>
                    <w:t>）混合物的磺酸盐</w:t>
                  </w:r>
                  <w:r>
                    <w:rPr>
                      <w:sz w:val="21"/>
                      <w:szCs w:val="21"/>
                    </w:rPr>
                    <w:t>，具有乳化性和防锈性，主要用于纺织印染助剂、液体洗涤剂、氯乙烯聚合乳化剂及金属防锈油（脂）等领域。</w:t>
                  </w:r>
                </w:p>
              </w:tc>
            </w:tr>
            <w:tr w14:paraId="00F62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0940D650">
                  <w:pPr>
                    <w:jc w:val="center"/>
                    <w:rPr>
                      <w:sz w:val="21"/>
                      <w:szCs w:val="21"/>
                    </w:rPr>
                  </w:pPr>
                  <w:r>
                    <w:rPr>
                      <w:rFonts w:hint="eastAsia"/>
                      <w:sz w:val="21"/>
                      <w:szCs w:val="21"/>
                    </w:rPr>
                    <w:t>14</w:t>
                  </w:r>
                </w:p>
              </w:tc>
              <w:tc>
                <w:tcPr>
                  <w:tcW w:w="735" w:type="pct"/>
                  <w:vAlign w:val="center"/>
                </w:tcPr>
                <w:p w14:paraId="176A688C">
                  <w:pPr>
                    <w:jc w:val="center"/>
                    <w:rPr>
                      <w:sz w:val="21"/>
                      <w:szCs w:val="21"/>
                    </w:rPr>
                  </w:pPr>
                  <w:r>
                    <w:rPr>
                      <w:sz w:val="21"/>
                      <w:szCs w:val="21"/>
                    </w:rPr>
                    <w:t>山梨醇酐单油酸酯</w:t>
                  </w:r>
                </w:p>
              </w:tc>
              <w:tc>
                <w:tcPr>
                  <w:tcW w:w="3907" w:type="pct"/>
                  <w:tcBorders>
                    <w:right w:val="single" w:color="000000" w:sz="4" w:space="0"/>
                  </w:tcBorders>
                  <w:vAlign w:val="center"/>
                </w:tcPr>
                <w:p w14:paraId="68398026">
                  <w:pPr>
                    <w:jc w:val="center"/>
                    <w:rPr>
                      <w:sz w:val="21"/>
                      <w:szCs w:val="21"/>
                    </w:rPr>
                  </w:pPr>
                  <w:r>
                    <w:rPr>
                      <w:sz w:val="21"/>
                      <w:szCs w:val="21"/>
                    </w:rPr>
                    <w:t>山梨醇酐单油酸酯是一种多元醇型非离子表面活性剂，化学式C</w:t>
                  </w:r>
                  <w:r>
                    <w:rPr>
                      <w:sz w:val="21"/>
                      <w:szCs w:val="21"/>
                      <w:vertAlign w:val="subscript"/>
                    </w:rPr>
                    <w:t>24</w:t>
                  </w:r>
                  <w:r>
                    <w:rPr>
                      <w:sz w:val="21"/>
                      <w:szCs w:val="21"/>
                    </w:rPr>
                    <w:t>H</w:t>
                  </w:r>
                  <w:r>
                    <w:rPr>
                      <w:sz w:val="21"/>
                      <w:szCs w:val="21"/>
                      <w:vertAlign w:val="subscript"/>
                    </w:rPr>
                    <w:t>44</w:t>
                  </w:r>
                  <w:r>
                    <w:rPr>
                      <w:sz w:val="21"/>
                      <w:szCs w:val="21"/>
                    </w:rPr>
                    <w:t>O</w:t>
                  </w:r>
                  <w:r>
                    <w:rPr>
                      <w:sz w:val="21"/>
                      <w:szCs w:val="21"/>
                      <w:vertAlign w:val="subscript"/>
                    </w:rPr>
                    <w:t>4</w:t>
                  </w:r>
                  <w:r>
                    <w:rPr>
                      <w:sz w:val="21"/>
                      <w:szCs w:val="21"/>
                    </w:rPr>
                    <w:t>，分子量428.60，由山梨醇失水内醚化后与油酸酯化制得。常温下呈琥珀色黏稠油状液体或浅黄至棕黄色蜡状固体，具特殊气味，溶于热乙醇、乙醚等有机溶剂，不溶于冷水但可分散于热水。作为W/O型乳化剂，主要用于乳化炸药稳定性提升及食品工业，</w:t>
                  </w:r>
                </w:p>
              </w:tc>
            </w:tr>
            <w:tr w14:paraId="5FFB7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7" w:type="pct"/>
                  <w:vAlign w:val="center"/>
                </w:tcPr>
                <w:p w14:paraId="7D822412">
                  <w:pPr>
                    <w:jc w:val="center"/>
                    <w:rPr>
                      <w:sz w:val="21"/>
                      <w:szCs w:val="21"/>
                    </w:rPr>
                  </w:pPr>
                  <w:r>
                    <w:rPr>
                      <w:rFonts w:hint="eastAsia"/>
                      <w:sz w:val="21"/>
                      <w:szCs w:val="21"/>
                    </w:rPr>
                    <w:t>15</w:t>
                  </w:r>
                </w:p>
              </w:tc>
              <w:tc>
                <w:tcPr>
                  <w:tcW w:w="735" w:type="pct"/>
                  <w:vAlign w:val="center"/>
                </w:tcPr>
                <w:p w14:paraId="04AEC5D9">
                  <w:pPr>
                    <w:jc w:val="center"/>
                    <w:rPr>
                      <w:sz w:val="21"/>
                      <w:szCs w:val="21"/>
                    </w:rPr>
                  </w:pPr>
                  <w:r>
                    <w:rPr>
                      <w:rFonts w:hint="eastAsia"/>
                      <w:sz w:val="21"/>
                      <w:szCs w:val="21"/>
                    </w:rPr>
                    <w:t>脂肪醇聚氧乙烯醚</w:t>
                  </w:r>
                </w:p>
              </w:tc>
              <w:tc>
                <w:tcPr>
                  <w:tcW w:w="3907" w:type="pct"/>
                  <w:tcBorders>
                    <w:right w:val="single" w:color="000000" w:sz="4" w:space="0"/>
                  </w:tcBorders>
                  <w:vAlign w:val="center"/>
                </w:tcPr>
                <w:p w14:paraId="3FE8C5DD">
                  <w:pPr>
                    <w:jc w:val="center"/>
                    <w:rPr>
                      <w:sz w:val="21"/>
                      <w:szCs w:val="21"/>
                    </w:rPr>
                  </w:pPr>
                  <w:r>
                    <w:rPr>
                      <w:rFonts w:hint="eastAsia"/>
                      <w:sz w:val="21"/>
                      <w:szCs w:val="21"/>
                    </w:rPr>
                    <w:t>脂肪醇聚氧乙烯醚的通式为RO(CH</w:t>
                  </w:r>
                  <w:r>
                    <w:rPr>
                      <w:sz w:val="21"/>
                      <w:szCs w:val="21"/>
                      <w:vertAlign w:val="subscript"/>
                    </w:rPr>
                    <w:t>2</w:t>
                  </w:r>
                  <w:r>
                    <w:rPr>
                      <w:sz w:val="21"/>
                      <w:szCs w:val="21"/>
                    </w:rPr>
                    <w:t>CH</w:t>
                  </w:r>
                  <w:r>
                    <w:rPr>
                      <w:sz w:val="21"/>
                      <w:szCs w:val="21"/>
                      <w:vertAlign w:val="subscript"/>
                    </w:rPr>
                    <w:t>2</w:t>
                  </w:r>
                  <w:r>
                    <w:rPr>
                      <w:sz w:val="21"/>
                      <w:szCs w:val="21"/>
                    </w:rPr>
                    <w:t>O)</w:t>
                  </w:r>
                  <w:r>
                    <w:rPr>
                      <w:sz w:val="21"/>
                      <w:szCs w:val="21"/>
                      <w:vertAlign w:val="subscript"/>
                    </w:rPr>
                    <w:t>n</w:t>
                  </w:r>
                  <w:r>
                    <w:rPr>
                      <w:sz w:val="21"/>
                      <w:szCs w:val="21"/>
                    </w:rPr>
                    <w:t>H，R一般为饱和的或不饱和的C</w:t>
                  </w:r>
                  <w:r>
                    <w:rPr>
                      <w:sz w:val="21"/>
                      <w:szCs w:val="21"/>
                      <w:vertAlign w:val="subscript"/>
                    </w:rPr>
                    <w:t>12</w:t>
                  </w:r>
                  <w:r>
                    <w:rPr>
                      <w:sz w:val="21"/>
                      <w:szCs w:val="21"/>
                    </w:rPr>
                    <w:t>~C</w:t>
                  </w:r>
                  <w:r>
                    <w:rPr>
                      <w:sz w:val="21"/>
                      <w:szCs w:val="21"/>
                      <w:vertAlign w:val="subscript"/>
                    </w:rPr>
                    <w:t>18</w:t>
                  </w:r>
                  <w:r>
                    <w:rPr>
                      <w:sz w:val="21"/>
                      <w:szCs w:val="21"/>
                    </w:rPr>
                    <w:t>的烃基，可以是直链烃基，也可以是带支链的烃基。n是环氧乙烷的加成数，也就是表面活性剂分子中氧乙烯基的数目。n越大，分子亲水基上的氧越多，与水就能形成更多的氢键，水溶性就越好。n=1~5时，产物能溶于油而不溶于水，常做为制备硫酸酯类阴离子表面活性剂的原料。n=6~8时，能溶于水，常用作纺织品的洗涤剂和油脂乳化剂。n=10~20时，在工业上用作乳化剂和匀染剂。</w:t>
                  </w:r>
                </w:p>
              </w:tc>
            </w:tr>
          </w:tbl>
          <w:p w14:paraId="4C83E7EE">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3.2储层改造</w:t>
            </w:r>
            <w:r>
              <w:rPr>
                <w:b/>
                <w:bCs/>
              </w:rPr>
              <w:t>工程</w:t>
            </w:r>
            <w:r>
              <w:rPr>
                <w:rFonts w:hint="eastAsia"/>
                <w:b/>
                <w:bCs/>
              </w:rPr>
              <w:t>主要原辅材料消耗</w:t>
            </w:r>
          </w:p>
          <w:p w14:paraId="7B6578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本项目水平段压裂段数总数为150段，每口井施工25段，每段消耗压裂液1750</w:t>
            </w:r>
            <w:r>
              <w:t>m</w:t>
            </w:r>
            <w:r>
              <w:rPr>
                <w:vertAlign w:val="superscript"/>
              </w:rPr>
              <w:t>3</w:t>
            </w:r>
            <w:r>
              <w:rPr>
                <w:rFonts w:hint="eastAsia"/>
              </w:rPr>
              <w:t>，本项目压裂液总用量为262500</w:t>
            </w:r>
            <w:r>
              <w:t>m</w:t>
            </w:r>
            <w:r>
              <w:rPr>
                <w:vertAlign w:val="superscript"/>
              </w:rPr>
              <w:t>3</w:t>
            </w:r>
            <w:r>
              <w:rPr>
                <w:rFonts w:hint="eastAsia"/>
              </w:rPr>
              <w:t>。本项目压裂液用量及</w:t>
            </w:r>
            <w:r>
              <w:t>压裂液添加剂消耗量配方</w:t>
            </w:r>
            <w:r>
              <w:rPr>
                <w:rFonts w:hint="eastAsia"/>
              </w:rPr>
              <w:t>见下表。</w:t>
            </w:r>
          </w:p>
          <w:p w14:paraId="7ED8BE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表2-8 本项目压裂液用量一览表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5"/>
              <w:gridCol w:w="2205"/>
              <w:gridCol w:w="1956"/>
              <w:gridCol w:w="3035"/>
            </w:tblGrid>
            <w:tr w14:paraId="6B62F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pct"/>
                  <w:vAlign w:val="center"/>
                </w:tcPr>
                <w:p w14:paraId="5C065185">
                  <w:pPr>
                    <w:jc w:val="center"/>
                    <w:rPr>
                      <w:sz w:val="21"/>
                      <w:szCs w:val="21"/>
                    </w:rPr>
                  </w:pPr>
                  <w:r>
                    <w:rPr>
                      <w:rFonts w:hint="eastAsia"/>
                      <w:sz w:val="21"/>
                      <w:szCs w:val="21"/>
                    </w:rPr>
                    <w:t>井数</w:t>
                  </w:r>
                </w:p>
              </w:tc>
              <w:tc>
                <w:tcPr>
                  <w:tcW w:w="1242" w:type="pct"/>
                  <w:vAlign w:val="center"/>
                </w:tcPr>
                <w:p w14:paraId="797239CC">
                  <w:pPr>
                    <w:jc w:val="center"/>
                    <w:rPr>
                      <w:sz w:val="21"/>
                      <w:szCs w:val="21"/>
                    </w:rPr>
                  </w:pPr>
                  <w:r>
                    <w:rPr>
                      <w:rFonts w:hint="eastAsia"/>
                      <w:sz w:val="21"/>
                      <w:szCs w:val="21"/>
                    </w:rPr>
                    <w:t>单口井施工段数</w:t>
                  </w:r>
                </w:p>
              </w:tc>
              <w:tc>
                <w:tcPr>
                  <w:tcW w:w="1102" w:type="pct"/>
                  <w:vAlign w:val="center"/>
                </w:tcPr>
                <w:p w14:paraId="2E204930">
                  <w:pPr>
                    <w:jc w:val="center"/>
                    <w:rPr>
                      <w:sz w:val="21"/>
                      <w:szCs w:val="21"/>
                    </w:rPr>
                  </w:pPr>
                  <w:r>
                    <w:rPr>
                      <w:rFonts w:hint="eastAsia"/>
                      <w:sz w:val="21"/>
                      <w:szCs w:val="21"/>
                    </w:rPr>
                    <w:t>总施工段数</w:t>
                  </w:r>
                </w:p>
              </w:tc>
              <w:tc>
                <w:tcPr>
                  <w:tcW w:w="1710" w:type="pct"/>
                  <w:vAlign w:val="center"/>
                </w:tcPr>
                <w:p w14:paraId="27A47681">
                  <w:pPr>
                    <w:jc w:val="center"/>
                    <w:rPr>
                      <w:sz w:val="21"/>
                      <w:szCs w:val="21"/>
                    </w:rPr>
                  </w:pPr>
                  <w:r>
                    <w:rPr>
                      <w:rFonts w:hint="eastAsia"/>
                      <w:sz w:val="21"/>
                      <w:szCs w:val="21"/>
                    </w:rPr>
                    <w:t>压裂液总用量（m</w:t>
                  </w:r>
                  <w:r>
                    <w:rPr>
                      <w:sz w:val="21"/>
                      <w:szCs w:val="21"/>
                      <w:vertAlign w:val="superscript"/>
                    </w:rPr>
                    <w:t>3</w:t>
                  </w:r>
                  <w:r>
                    <w:rPr>
                      <w:rFonts w:hint="eastAsia"/>
                      <w:sz w:val="21"/>
                      <w:szCs w:val="21"/>
                    </w:rPr>
                    <w:t>）</w:t>
                  </w:r>
                </w:p>
              </w:tc>
            </w:tr>
            <w:tr w14:paraId="686BE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4" w:type="pct"/>
                  <w:vAlign w:val="center"/>
                </w:tcPr>
                <w:p w14:paraId="4DE8F53B">
                  <w:pPr>
                    <w:jc w:val="center"/>
                    <w:rPr>
                      <w:sz w:val="21"/>
                      <w:szCs w:val="21"/>
                    </w:rPr>
                  </w:pPr>
                  <w:r>
                    <w:rPr>
                      <w:rFonts w:hint="eastAsia"/>
                      <w:sz w:val="21"/>
                      <w:szCs w:val="21"/>
                    </w:rPr>
                    <w:t>6口</w:t>
                  </w:r>
                </w:p>
              </w:tc>
              <w:tc>
                <w:tcPr>
                  <w:tcW w:w="1242" w:type="pct"/>
                  <w:vAlign w:val="center"/>
                </w:tcPr>
                <w:p w14:paraId="7D14BF4F">
                  <w:pPr>
                    <w:jc w:val="center"/>
                    <w:rPr>
                      <w:sz w:val="21"/>
                      <w:szCs w:val="21"/>
                    </w:rPr>
                  </w:pPr>
                  <w:r>
                    <w:rPr>
                      <w:rFonts w:hint="eastAsia"/>
                      <w:sz w:val="21"/>
                      <w:szCs w:val="21"/>
                    </w:rPr>
                    <w:t>25</w:t>
                  </w:r>
                </w:p>
              </w:tc>
              <w:tc>
                <w:tcPr>
                  <w:tcW w:w="1102" w:type="pct"/>
                  <w:vAlign w:val="center"/>
                </w:tcPr>
                <w:p w14:paraId="1FFC229A">
                  <w:pPr>
                    <w:jc w:val="center"/>
                    <w:rPr>
                      <w:sz w:val="21"/>
                      <w:szCs w:val="21"/>
                    </w:rPr>
                  </w:pPr>
                  <w:r>
                    <w:rPr>
                      <w:rFonts w:hint="eastAsia"/>
                      <w:sz w:val="21"/>
                      <w:szCs w:val="21"/>
                    </w:rPr>
                    <w:t>150</w:t>
                  </w:r>
                </w:p>
              </w:tc>
              <w:tc>
                <w:tcPr>
                  <w:tcW w:w="1710" w:type="pct"/>
                  <w:vAlign w:val="center"/>
                </w:tcPr>
                <w:p w14:paraId="26C82CD0">
                  <w:pPr>
                    <w:jc w:val="center"/>
                    <w:rPr>
                      <w:sz w:val="21"/>
                      <w:szCs w:val="21"/>
                    </w:rPr>
                  </w:pPr>
                  <w:r>
                    <w:rPr>
                      <w:rFonts w:hint="eastAsia"/>
                      <w:sz w:val="21"/>
                      <w:szCs w:val="21"/>
                    </w:rPr>
                    <w:t>262500</w:t>
                  </w:r>
                </w:p>
              </w:tc>
            </w:tr>
          </w:tbl>
          <w:p w14:paraId="0F0666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表2-9 压裂液添加材料消耗量配方表</w:t>
            </w:r>
          </w:p>
          <w:tbl>
            <w:tblPr>
              <w:tblStyle w:val="1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469"/>
              <w:gridCol w:w="1107"/>
              <w:gridCol w:w="1087"/>
              <w:gridCol w:w="2107"/>
              <w:gridCol w:w="903"/>
              <w:gridCol w:w="1025"/>
              <w:gridCol w:w="903"/>
              <w:gridCol w:w="736"/>
              <w:gridCol w:w="518"/>
            </w:tblGrid>
            <w:tr w14:paraId="4229EB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69" w:hRule="atLeast"/>
                <w:jc w:val="center"/>
              </w:trPr>
              <w:tc>
                <w:tcPr>
                  <w:tcW w:w="5000" w:type="pct"/>
                  <w:gridSpan w:val="9"/>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385E189">
                  <w:pPr>
                    <w:jc w:val="center"/>
                    <w:rPr>
                      <w:b/>
                      <w:bCs/>
                      <w:sz w:val="21"/>
                      <w:szCs w:val="21"/>
                    </w:rPr>
                  </w:pPr>
                  <w:r>
                    <w:rPr>
                      <w:b/>
                      <w:bCs/>
                      <w:sz w:val="21"/>
                      <w:szCs w:val="21"/>
                    </w:rPr>
                    <w:t>压裂化工材料用量</w:t>
                  </w:r>
                </w:p>
              </w:tc>
            </w:tr>
            <w:tr w14:paraId="2800E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4DEFC4">
                  <w:pPr>
                    <w:jc w:val="center"/>
                    <w:rPr>
                      <w:b/>
                      <w:bCs/>
                      <w:sz w:val="21"/>
                      <w:szCs w:val="21"/>
                    </w:rPr>
                  </w:pPr>
                  <w:r>
                    <w:rPr>
                      <w:b/>
                      <w:bCs/>
                      <w:sz w:val="21"/>
                      <w:szCs w:val="21"/>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F42346">
                  <w:pPr>
                    <w:jc w:val="center"/>
                    <w:rPr>
                      <w:b/>
                      <w:bCs/>
                      <w:sz w:val="21"/>
                      <w:szCs w:val="21"/>
                    </w:rPr>
                  </w:pPr>
                  <w:r>
                    <w:rPr>
                      <w:b/>
                      <w:bCs/>
                      <w:sz w:val="21"/>
                      <w:szCs w:val="21"/>
                    </w:rPr>
                    <w:t>药品名称</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9EB93">
                  <w:pPr>
                    <w:jc w:val="center"/>
                    <w:rPr>
                      <w:b/>
                      <w:bCs/>
                      <w:sz w:val="21"/>
                      <w:szCs w:val="21"/>
                    </w:rPr>
                  </w:pPr>
                  <w:r>
                    <w:rPr>
                      <w:b/>
                      <w:bCs/>
                      <w:sz w:val="21"/>
                      <w:szCs w:val="21"/>
                    </w:rPr>
                    <w:t>型号</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CF5A9D">
                  <w:pPr>
                    <w:jc w:val="center"/>
                    <w:rPr>
                      <w:b/>
                      <w:bCs/>
                      <w:sz w:val="21"/>
                      <w:szCs w:val="21"/>
                    </w:rPr>
                  </w:pPr>
                  <w:r>
                    <w:rPr>
                      <w:b/>
                      <w:bCs/>
                      <w:sz w:val="21"/>
                      <w:szCs w:val="21"/>
                    </w:rPr>
                    <w:t>主要成分和特性</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D42EAC">
                  <w:pPr>
                    <w:jc w:val="center"/>
                    <w:rPr>
                      <w:b/>
                      <w:bCs/>
                      <w:sz w:val="21"/>
                      <w:szCs w:val="21"/>
                    </w:rPr>
                  </w:pPr>
                  <w:r>
                    <w:rPr>
                      <w:b/>
                      <w:bCs/>
                      <w:sz w:val="21"/>
                      <w:szCs w:val="21"/>
                    </w:rPr>
                    <w:t>单井平均消耗量</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0F5D12">
                  <w:pPr>
                    <w:jc w:val="center"/>
                    <w:rPr>
                      <w:b/>
                      <w:bCs/>
                      <w:sz w:val="21"/>
                      <w:szCs w:val="21"/>
                    </w:rPr>
                  </w:pPr>
                  <w:r>
                    <w:rPr>
                      <w:b/>
                      <w:bCs/>
                      <w:sz w:val="21"/>
                      <w:szCs w:val="21"/>
                    </w:rPr>
                    <w:t>总消耗量</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72342F">
                  <w:pPr>
                    <w:jc w:val="center"/>
                    <w:rPr>
                      <w:b/>
                      <w:bCs/>
                      <w:sz w:val="21"/>
                      <w:szCs w:val="21"/>
                    </w:rPr>
                  </w:pPr>
                  <w:r>
                    <w:rPr>
                      <w:b/>
                      <w:bCs/>
                      <w:sz w:val="21"/>
                      <w:szCs w:val="21"/>
                    </w:rPr>
                    <w:t>最大暂存量</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48D534">
                  <w:pPr>
                    <w:jc w:val="center"/>
                    <w:rPr>
                      <w:b/>
                      <w:bCs/>
                      <w:sz w:val="21"/>
                      <w:szCs w:val="21"/>
                    </w:rPr>
                  </w:pPr>
                  <w:r>
                    <w:rPr>
                      <w:b/>
                      <w:bCs/>
                      <w:sz w:val="21"/>
                      <w:szCs w:val="21"/>
                    </w:rPr>
                    <w:t>储存方式</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27F578">
                  <w:pPr>
                    <w:jc w:val="center"/>
                    <w:rPr>
                      <w:b/>
                      <w:bCs/>
                      <w:sz w:val="21"/>
                      <w:szCs w:val="21"/>
                    </w:rPr>
                  </w:pPr>
                  <w:r>
                    <w:rPr>
                      <w:b/>
                      <w:bCs/>
                      <w:sz w:val="21"/>
                      <w:szCs w:val="21"/>
                    </w:rPr>
                    <w:t>存放位置</w:t>
                  </w:r>
                </w:p>
              </w:tc>
            </w:tr>
            <w:tr w14:paraId="30177E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51596D">
                  <w:pPr>
                    <w:jc w:val="center"/>
                    <w:rPr>
                      <w:sz w:val="21"/>
                      <w:szCs w:val="21"/>
                    </w:rPr>
                  </w:pPr>
                  <w:r>
                    <w:rPr>
                      <w:sz w:val="21"/>
                      <w:szCs w:val="21"/>
                    </w:rPr>
                    <w:t>1</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07440">
                  <w:pPr>
                    <w:jc w:val="center"/>
                    <w:rPr>
                      <w:sz w:val="21"/>
                      <w:szCs w:val="21"/>
                    </w:rPr>
                  </w:pPr>
                  <w:r>
                    <w:rPr>
                      <w:sz w:val="21"/>
                      <w:szCs w:val="21"/>
                    </w:rPr>
                    <w:t>工业盐酸（m</w:t>
                  </w:r>
                  <w:r>
                    <w:rPr>
                      <w:sz w:val="21"/>
                      <w:szCs w:val="21"/>
                      <w:vertAlign w:val="superscript"/>
                    </w:rPr>
                    <w:t>3</w:t>
                  </w:r>
                  <w:r>
                    <w:rPr>
                      <w:sz w:val="21"/>
                      <w:szCs w:val="21"/>
                    </w:rPr>
                    <w:t>）</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D8AA4C">
                  <w:pPr>
                    <w:jc w:val="center"/>
                    <w:rPr>
                      <w:sz w:val="21"/>
                      <w:szCs w:val="21"/>
                    </w:rPr>
                  </w:pPr>
                  <w:r>
                    <w:rPr>
                      <w:sz w:val="21"/>
                      <w:szCs w:val="21"/>
                    </w:rPr>
                    <w:t>15%HCl</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09E06D">
                  <w:pPr>
                    <w:jc w:val="center"/>
                    <w:rPr>
                      <w:sz w:val="21"/>
                      <w:szCs w:val="21"/>
                    </w:rPr>
                  </w:pPr>
                  <w:r>
                    <w:rPr>
                      <w:sz w:val="21"/>
                      <w:szCs w:val="21"/>
                    </w:rPr>
                    <w:t>工业生产所得浓度为15%的盐酸，其主要成分是氯化氢</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F3A5FE">
                  <w:pPr>
                    <w:jc w:val="center"/>
                    <w:rPr>
                      <w:sz w:val="21"/>
                      <w:szCs w:val="21"/>
                    </w:rPr>
                  </w:pPr>
                  <w:r>
                    <w:rPr>
                      <w:sz w:val="21"/>
                      <w:szCs w:val="21"/>
                    </w:rPr>
                    <w:t>250</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33C66E">
                  <w:pPr>
                    <w:jc w:val="center"/>
                    <w:rPr>
                      <w:sz w:val="21"/>
                      <w:szCs w:val="21"/>
                    </w:rPr>
                  </w:pPr>
                  <w:r>
                    <w:rPr>
                      <w:sz w:val="21"/>
                      <w:szCs w:val="21"/>
                    </w:rPr>
                    <w:t>1500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05CE7">
                  <w:pPr>
                    <w:jc w:val="center"/>
                    <w:rPr>
                      <w:sz w:val="21"/>
                      <w:szCs w:val="21"/>
                    </w:rPr>
                  </w:pPr>
                  <w:r>
                    <w:rPr>
                      <w:sz w:val="21"/>
                      <w:szCs w:val="21"/>
                    </w:rPr>
                    <w:t>250</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08D5F8">
                  <w:pPr>
                    <w:jc w:val="center"/>
                    <w:rPr>
                      <w:sz w:val="21"/>
                      <w:szCs w:val="21"/>
                    </w:rPr>
                  </w:pPr>
                  <w:r>
                    <w:rPr>
                      <w:sz w:val="21"/>
                      <w:szCs w:val="21"/>
                    </w:rPr>
                    <w:t>耐腐蚀密闭储罐储存</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0572F3">
                  <w:pPr>
                    <w:jc w:val="center"/>
                    <w:rPr>
                      <w:sz w:val="21"/>
                      <w:szCs w:val="21"/>
                    </w:rPr>
                  </w:pPr>
                  <w:r>
                    <w:rPr>
                      <w:sz w:val="21"/>
                      <w:szCs w:val="21"/>
                    </w:rPr>
                    <w:t>储藏罐</w:t>
                  </w:r>
                </w:p>
              </w:tc>
            </w:tr>
            <w:tr w14:paraId="49B1EF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559915">
                  <w:pPr>
                    <w:jc w:val="center"/>
                    <w:rPr>
                      <w:sz w:val="21"/>
                      <w:szCs w:val="21"/>
                    </w:rPr>
                  </w:pPr>
                  <w:r>
                    <w:rPr>
                      <w:sz w:val="21"/>
                      <w:szCs w:val="21"/>
                    </w:rPr>
                    <w:t>2</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DE8230">
                  <w:pPr>
                    <w:jc w:val="center"/>
                    <w:rPr>
                      <w:sz w:val="21"/>
                      <w:szCs w:val="21"/>
                    </w:rPr>
                  </w:pPr>
                  <w:r>
                    <w:rPr>
                      <w:sz w:val="21"/>
                      <w:szCs w:val="21"/>
                    </w:rPr>
                    <w:t>暂堵剂（kg）</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3530D1">
                  <w:pPr>
                    <w:jc w:val="center"/>
                    <w:rPr>
                      <w:sz w:val="21"/>
                      <w:szCs w:val="21"/>
                    </w:rPr>
                  </w:pPr>
                  <w:r>
                    <w:rPr>
                      <w:sz w:val="21"/>
                      <w:szCs w:val="21"/>
                    </w:rPr>
                    <w:t>/</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9EC9C6">
                  <w:pPr>
                    <w:jc w:val="center"/>
                    <w:rPr>
                      <w:sz w:val="21"/>
                      <w:szCs w:val="21"/>
                    </w:rPr>
                  </w:pPr>
                  <w:r>
                    <w:rPr>
                      <w:sz w:val="21"/>
                      <w:szCs w:val="21"/>
                    </w:rPr>
                    <w:t>主体：聚乳酸（PLA）、聚乙醇酸（PGA）。</w:t>
                  </w:r>
                </w:p>
                <w:p w14:paraId="4EAF708B">
                  <w:pPr>
                    <w:jc w:val="center"/>
                    <w:rPr>
                      <w:sz w:val="21"/>
                      <w:szCs w:val="21"/>
                    </w:rPr>
                  </w:pPr>
                  <w:r>
                    <w:rPr>
                      <w:sz w:val="21"/>
                      <w:szCs w:val="21"/>
                    </w:rPr>
                    <w:t>配套：可降解纤维（PLA/PVA）、改性助剂；复配级配颗粒组成复合暂堵体系。</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D6681">
                  <w:pPr>
                    <w:jc w:val="center"/>
                    <w:rPr>
                      <w:sz w:val="21"/>
                      <w:szCs w:val="21"/>
                    </w:rPr>
                  </w:pPr>
                  <w:r>
                    <w:rPr>
                      <w:sz w:val="21"/>
                      <w:szCs w:val="21"/>
                    </w:rPr>
                    <w:t>4800</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D22CD1">
                  <w:pPr>
                    <w:jc w:val="center"/>
                    <w:rPr>
                      <w:sz w:val="21"/>
                      <w:szCs w:val="21"/>
                    </w:rPr>
                  </w:pPr>
                  <w:r>
                    <w:rPr>
                      <w:sz w:val="21"/>
                      <w:szCs w:val="21"/>
                    </w:rPr>
                    <w:t>28800</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0E327B">
                  <w:pPr>
                    <w:jc w:val="center"/>
                    <w:rPr>
                      <w:sz w:val="21"/>
                      <w:szCs w:val="21"/>
                    </w:rPr>
                  </w:pPr>
                  <w:r>
                    <w:rPr>
                      <w:sz w:val="21"/>
                      <w:szCs w:val="21"/>
                    </w:rPr>
                    <w:t>4800</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B36962">
                  <w:pPr>
                    <w:jc w:val="center"/>
                    <w:rPr>
                      <w:sz w:val="21"/>
                      <w:szCs w:val="21"/>
                    </w:rPr>
                  </w:pPr>
                  <w:r>
                    <w:rPr>
                      <w:sz w:val="21"/>
                      <w:szCs w:val="21"/>
                    </w:rPr>
                    <w:t>袋装，25kg / 袋</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DEA020">
                  <w:pPr>
                    <w:jc w:val="center"/>
                    <w:rPr>
                      <w:sz w:val="21"/>
                      <w:szCs w:val="21"/>
                    </w:rPr>
                  </w:pPr>
                  <w:r>
                    <w:rPr>
                      <w:sz w:val="21"/>
                      <w:szCs w:val="21"/>
                    </w:rPr>
                    <w:t>材料房</w:t>
                  </w:r>
                </w:p>
              </w:tc>
            </w:tr>
            <w:tr w14:paraId="5204F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A3AEF8E">
                  <w:pPr>
                    <w:jc w:val="center"/>
                    <w:rPr>
                      <w:sz w:val="21"/>
                      <w:szCs w:val="21"/>
                    </w:rPr>
                  </w:pPr>
                  <w:r>
                    <w:rPr>
                      <w:sz w:val="21"/>
                      <w:szCs w:val="21"/>
                    </w:rPr>
                    <w:t>支撑剂材料用量</w:t>
                  </w:r>
                </w:p>
              </w:tc>
            </w:tr>
            <w:tr w14:paraId="51E161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35EA5E">
                  <w:pPr>
                    <w:jc w:val="center"/>
                    <w:rPr>
                      <w:sz w:val="21"/>
                      <w:szCs w:val="21"/>
                    </w:rPr>
                  </w:pPr>
                  <w:r>
                    <w:rPr>
                      <w:sz w:val="21"/>
                      <w:szCs w:val="21"/>
                    </w:rPr>
                    <w:t>序号</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6CD4B0">
                  <w:pPr>
                    <w:jc w:val="center"/>
                    <w:rPr>
                      <w:sz w:val="21"/>
                      <w:szCs w:val="21"/>
                    </w:rPr>
                  </w:pPr>
                  <w:r>
                    <w:rPr>
                      <w:sz w:val="21"/>
                      <w:szCs w:val="21"/>
                    </w:rPr>
                    <w:t>支撑剂名称</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85B25">
                  <w:pPr>
                    <w:jc w:val="center"/>
                    <w:rPr>
                      <w:sz w:val="21"/>
                      <w:szCs w:val="21"/>
                    </w:rPr>
                  </w:pPr>
                  <w:r>
                    <w:rPr>
                      <w:sz w:val="21"/>
                      <w:szCs w:val="21"/>
                    </w:rPr>
                    <w:t>粒径（目）</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D9A45">
                  <w:pPr>
                    <w:jc w:val="center"/>
                    <w:rPr>
                      <w:sz w:val="21"/>
                      <w:szCs w:val="21"/>
                    </w:rPr>
                  </w:pPr>
                  <w:r>
                    <w:rPr>
                      <w:sz w:val="21"/>
                      <w:szCs w:val="21"/>
                    </w:rPr>
                    <w:t>特性</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541E69">
                  <w:pPr>
                    <w:jc w:val="center"/>
                    <w:rPr>
                      <w:sz w:val="21"/>
                      <w:szCs w:val="21"/>
                    </w:rPr>
                  </w:pPr>
                  <w:r>
                    <w:rPr>
                      <w:sz w:val="21"/>
                      <w:szCs w:val="21"/>
                    </w:rPr>
                    <w:t>单井消耗量</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F77B6">
                  <w:pPr>
                    <w:jc w:val="center"/>
                    <w:rPr>
                      <w:sz w:val="21"/>
                      <w:szCs w:val="21"/>
                    </w:rPr>
                  </w:pPr>
                  <w:r>
                    <w:rPr>
                      <w:sz w:val="21"/>
                      <w:szCs w:val="21"/>
                    </w:rPr>
                    <w:t>总消耗量</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06B97">
                  <w:pPr>
                    <w:jc w:val="center"/>
                    <w:rPr>
                      <w:sz w:val="21"/>
                      <w:szCs w:val="21"/>
                    </w:rPr>
                  </w:pPr>
                  <w:r>
                    <w:rPr>
                      <w:sz w:val="21"/>
                      <w:szCs w:val="21"/>
                    </w:rPr>
                    <w:t>最大暂存量</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6C5E0B">
                  <w:pPr>
                    <w:jc w:val="center"/>
                    <w:rPr>
                      <w:sz w:val="21"/>
                      <w:szCs w:val="21"/>
                    </w:rPr>
                  </w:pPr>
                  <w:r>
                    <w:rPr>
                      <w:sz w:val="21"/>
                      <w:szCs w:val="21"/>
                    </w:rPr>
                    <w:t>储存方式</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608BD6">
                  <w:pPr>
                    <w:jc w:val="center"/>
                    <w:rPr>
                      <w:sz w:val="21"/>
                      <w:szCs w:val="21"/>
                    </w:rPr>
                  </w:pPr>
                  <w:r>
                    <w:rPr>
                      <w:sz w:val="21"/>
                      <w:szCs w:val="21"/>
                    </w:rPr>
                    <w:t>存放位置</w:t>
                  </w:r>
                </w:p>
              </w:tc>
            </w:tr>
            <w:tr w14:paraId="38DF34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5E37D6">
                  <w:pPr>
                    <w:jc w:val="center"/>
                    <w:rPr>
                      <w:sz w:val="21"/>
                      <w:szCs w:val="21"/>
                    </w:rPr>
                  </w:pPr>
                  <w:r>
                    <w:rPr>
                      <w:sz w:val="21"/>
                      <w:szCs w:val="21"/>
                    </w:rPr>
                    <w:t>1</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90F26C">
                  <w:pPr>
                    <w:jc w:val="center"/>
                    <w:rPr>
                      <w:sz w:val="21"/>
                      <w:szCs w:val="21"/>
                    </w:rPr>
                  </w:pPr>
                  <w:r>
                    <w:rPr>
                      <w:sz w:val="21"/>
                      <w:szCs w:val="21"/>
                    </w:rPr>
                    <w:t>石英砂（t）</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B0DF5E">
                  <w:pPr>
                    <w:jc w:val="center"/>
                    <w:rPr>
                      <w:sz w:val="21"/>
                      <w:szCs w:val="21"/>
                    </w:rPr>
                  </w:pPr>
                  <w:r>
                    <w:rPr>
                      <w:sz w:val="21"/>
                      <w:szCs w:val="21"/>
                    </w:rPr>
                    <w:t>70/140</w:t>
                  </w:r>
                </w:p>
              </w:tc>
              <w:tc>
                <w:tcPr>
                  <w:tcW w:w="119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A75F397">
                  <w:pPr>
                    <w:jc w:val="center"/>
                    <w:rPr>
                      <w:sz w:val="21"/>
                      <w:szCs w:val="21"/>
                    </w:rPr>
                  </w:pPr>
                  <w:r>
                    <w:rPr>
                      <w:sz w:val="21"/>
                      <w:szCs w:val="21"/>
                    </w:rPr>
                    <w:t>石英石经破碎加工而成的石英颗粒。是一种非金属矿物质，是一种坚硬、耐磨、化学性能稳定的硅酸盐矿物，其主要矿物成分是SiO</w:t>
                  </w:r>
                  <w:r>
                    <w:rPr>
                      <w:sz w:val="21"/>
                      <w:szCs w:val="21"/>
                      <w:vertAlign w:val="subscript"/>
                    </w:rPr>
                    <w:t>2</w:t>
                  </w:r>
                  <w:r>
                    <w:rPr>
                      <w:sz w:val="21"/>
                      <w:szCs w:val="21"/>
                    </w:rPr>
                    <w:t>。</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0EA48C">
                  <w:pPr>
                    <w:jc w:val="center"/>
                    <w:rPr>
                      <w:sz w:val="21"/>
                      <w:szCs w:val="21"/>
                    </w:rPr>
                  </w:pPr>
                  <w:r>
                    <w:rPr>
                      <w:sz w:val="21"/>
                      <w:szCs w:val="21"/>
                    </w:rPr>
                    <w:t>2013.3</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CB6DA5">
                  <w:pPr>
                    <w:jc w:val="center"/>
                    <w:rPr>
                      <w:sz w:val="21"/>
                      <w:szCs w:val="21"/>
                    </w:rPr>
                  </w:pPr>
                  <w:r>
                    <w:rPr>
                      <w:sz w:val="21"/>
                      <w:szCs w:val="21"/>
                    </w:rPr>
                    <w:t>12079.8</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3A2429">
                  <w:pPr>
                    <w:jc w:val="center"/>
                    <w:rPr>
                      <w:sz w:val="21"/>
                      <w:szCs w:val="21"/>
                    </w:rPr>
                  </w:pPr>
                  <w:r>
                    <w:rPr>
                      <w:sz w:val="21"/>
                      <w:szCs w:val="21"/>
                    </w:rPr>
                    <w:t>2013.3</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8A3533">
                  <w:pPr>
                    <w:jc w:val="center"/>
                    <w:rPr>
                      <w:sz w:val="21"/>
                      <w:szCs w:val="21"/>
                    </w:rPr>
                  </w:pPr>
                  <w:r>
                    <w:rPr>
                      <w:sz w:val="21"/>
                      <w:szCs w:val="21"/>
                    </w:rPr>
                    <w:t>吨袋包装，密闭料房堆放</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27CC8E">
                  <w:pPr>
                    <w:jc w:val="center"/>
                    <w:rPr>
                      <w:sz w:val="21"/>
                      <w:szCs w:val="21"/>
                    </w:rPr>
                  </w:pPr>
                  <w:r>
                    <w:rPr>
                      <w:sz w:val="21"/>
                      <w:szCs w:val="21"/>
                    </w:rPr>
                    <w:t>材料房</w:t>
                  </w:r>
                </w:p>
              </w:tc>
            </w:tr>
            <w:tr w14:paraId="67F403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DD006F">
                  <w:pPr>
                    <w:jc w:val="center"/>
                    <w:rPr>
                      <w:sz w:val="21"/>
                      <w:szCs w:val="21"/>
                    </w:rPr>
                  </w:pPr>
                  <w:r>
                    <w:rPr>
                      <w:sz w:val="21"/>
                      <w:szCs w:val="21"/>
                    </w:rPr>
                    <w:t>2</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668C1F">
                  <w:pPr>
                    <w:jc w:val="center"/>
                    <w:rPr>
                      <w:sz w:val="21"/>
                      <w:szCs w:val="21"/>
                    </w:rPr>
                  </w:pPr>
                  <w:r>
                    <w:rPr>
                      <w:sz w:val="21"/>
                      <w:szCs w:val="21"/>
                    </w:rPr>
                    <w:t>石英砂（t）</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A6D61">
                  <w:pPr>
                    <w:jc w:val="center"/>
                    <w:rPr>
                      <w:sz w:val="21"/>
                      <w:szCs w:val="21"/>
                    </w:rPr>
                  </w:pPr>
                  <w:r>
                    <w:rPr>
                      <w:sz w:val="21"/>
                      <w:szCs w:val="21"/>
                    </w:rPr>
                    <w:t>40/70</w:t>
                  </w:r>
                </w:p>
              </w:tc>
              <w:tc>
                <w:tcPr>
                  <w:tcW w:w="119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E32690">
                  <w:pPr>
                    <w:jc w:val="center"/>
                    <w:rPr>
                      <w:sz w:val="21"/>
                      <w:szCs w:val="21"/>
                    </w:rPr>
                  </w:pP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4B33C3">
                  <w:pPr>
                    <w:jc w:val="center"/>
                    <w:rPr>
                      <w:sz w:val="21"/>
                      <w:szCs w:val="21"/>
                    </w:rPr>
                  </w:pPr>
                  <w:r>
                    <w:rPr>
                      <w:sz w:val="21"/>
                      <w:szCs w:val="21"/>
                    </w:rPr>
                    <w:t>1219.5</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0D8453">
                  <w:pPr>
                    <w:jc w:val="center"/>
                    <w:rPr>
                      <w:sz w:val="21"/>
                      <w:szCs w:val="21"/>
                    </w:rPr>
                  </w:pPr>
                  <w:r>
                    <w:rPr>
                      <w:sz w:val="21"/>
                      <w:szCs w:val="21"/>
                    </w:rPr>
                    <w:t>7317</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9A3EBE">
                  <w:pPr>
                    <w:jc w:val="center"/>
                    <w:rPr>
                      <w:sz w:val="21"/>
                      <w:szCs w:val="21"/>
                    </w:rPr>
                  </w:pPr>
                  <w:r>
                    <w:rPr>
                      <w:sz w:val="21"/>
                      <w:szCs w:val="21"/>
                    </w:rPr>
                    <w:t>1219.5</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65C9A7">
                  <w:pPr>
                    <w:jc w:val="center"/>
                    <w:rPr>
                      <w:sz w:val="21"/>
                      <w:szCs w:val="21"/>
                    </w:rPr>
                  </w:pPr>
                  <w:r>
                    <w:rPr>
                      <w:sz w:val="21"/>
                      <w:szCs w:val="21"/>
                    </w:rPr>
                    <w:t>吨袋包装，密闭料房堆放</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F5E237">
                  <w:pPr>
                    <w:jc w:val="center"/>
                    <w:rPr>
                      <w:sz w:val="21"/>
                      <w:szCs w:val="21"/>
                    </w:rPr>
                  </w:pPr>
                  <w:r>
                    <w:rPr>
                      <w:sz w:val="21"/>
                      <w:szCs w:val="21"/>
                    </w:rPr>
                    <w:t>材料房</w:t>
                  </w:r>
                </w:p>
              </w:tc>
            </w:tr>
            <w:tr w14:paraId="03048B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A86C2">
                  <w:pPr>
                    <w:jc w:val="center"/>
                    <w:rPr>
                      <w:sz w:val="21"/>
                      <w:szCs w:val="21"/>
                    </w:rPr>
                  </w:pPr>
                  <w:r>
                    <w:rPr>
                      <w:sz w:val="21"/>
                      <w:szCs w:val="21"/>
                    </w:rPr>
                    <w:t>3</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507E38">
                  <w:pPr>
                    <w:jc w:val="center"/>
                    <w:rPr>
                      <w:sz w:val="21"/>
                      <w:szCs w:val="21"/>
                    </w:rPr>
                  </w:pPr>
                  <w:r>
                    <w:rPr>
                      <w:sz w:val="21"/>
                      <w:szCs w:val="21"/>
                    </w:rPr>
                    <w:t>覆膜砂（t）</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06F799">
                  <w:pPr>
                    <w:jc w:val="center"/>
                    <w:rPr>
                      <w:sz w:val="21"/>
                      <w:szCs w:val="21"/>
                    </w:rPr>
                  </w:pPr>
                  <w:r>
                    <w:rPr>
                      <w:sz w:val="21"/>
                      <w:szCs w:val="21"/>
                    </w:rPr>
                    <w:t>30/50</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55667A">
                  <w:pPr>
                    <w:jc w:val="center"/>
                    <w:rPr>
                      <w:sz w:val="21"/>
                      <w:szCs w:val="21"/>
                    </w:rPr>
                  </w:pPr>
                  <w:r>
                    <w:rPr>
                      <w:sz w:val="21"/>
                      <w:szCs w:val="21"/>
                    </w:rPr>
                    <w:t>砂粒表面在造型前即覆有一层固体树脂膜的型砂或芯砂。</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90B26">
                  <w:pPr>
                    <w:jc w:val="center"/>
                    <w:rPr>
                      <w:sz w:val="21"/>
                      <w:szCs w:val="21"/>
                    </w:rPr>
                  </w:pPr>
                  <w:r>
                    <w:rPr>
                      <w:sz w:val="21"/>
                      <w:szCs w:val="21"/>
                    </w:rPr>
                    <w:t>201.6</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3D6674">
                  <w:pPr>
                    <w:jc w:val="center"/>
                    <w:rPr>
                      <w:sz w:val="21"/>
                      <w:szCs w:val="21"/>
                    </w:rPr>
                  </w:pPr>
                  <w:r>
                    <w:rPr>
                      <w:sz w:val="21"/>
                      <w:szCs w:val="21"/>
                    </w:rPr>
                    <w:t>1209.6</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904C13">
                  <w:pPr>
                    <w:jc w:val="center"/>
                    <w:rPr>
                      <w:sz w:val="21"/>
                      <w:szCs w:val="21"/>
                    </w:rPr>
                  </w:pPr>
                  <w:r>
                    <w:rPr>
                      <w:sz w:val="21"/>
                      <w:szCs w:val="21"/>
                    </w:rPr>
                    <w:t>201.6</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C3703C">
                  <w:pPr>
                    <w:jc w:val="center"/>
                    <w:rPr>
                      <w:sz w:val="21"/>
                      <w:szCs w:val="21"/>
                    </w:rPr>
                  </w:pPr>
                  <w:r>
                    <w:rPr>
                      <w:sz w:val="21"/>
                      <w:szCs w:val="21"/>
                    </w:rPr>
                    <w:t>吨袋包装，密闭料房堆放</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B586E3">
                  <w:pPr>
                    <w:jc w:val="center"/>
                    <w:rPr>
                      <w:sz w:val="21"/>
                      <w:szCs w:val="21"/>
                    </w:rPr>
                  </w:pPr>
                  <w:r>
                    <w:rPr>
                      <w:sz w:val="21"/>
                      <w:szCs w:val="21"/>
                    </w:rPr>
                    <w:t>材料房</w:t>
                  </w:r>
                </w:p>
              </w:tc>
            </w:tr>
            <w:tr w14:paraId="32C90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C3FF2">
                  <w:pPr>
                    <w:jc w:val="center"/>
                    <w:rPr>
                      <w:sz w:val="21"/>
                      <w:szCs w:val="21"/>
                    </w:rPr>
                  </w:pPr>
                  <w:r>
                    <w:rPr>
                      <w:rFonts w:hint="eastAsia"/>
                      <w:sz w:val="21"/>
                      <w:szCs w:val="21"/>
                    </w:rPr>
                    <w:t>4</w:t>
                  </w:r>
                </w:p>
              </w:tc>
              <w:tc>
                <w:tcPr>
                  <w:tcW w:w="62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E17C2">
                  <w:pPr>
                    <w:jc w:val="center"/>
                    <w:rPr>
                      <w:sz w:val="21"/>
                      <w:szCs w:val="21"/>
                    </w:rPr>
                  </w:pPr>
                  <w:r>
                    <w:rPr>
                      <w:sz w:val="21"/>
                      <w:szCs w:val="21"/>
                    </w:rPr>
                    <w:t>暂堵绳结(颗)</w:t>
                  </w:r>
                </w:p>
              </w:tc>
              <w:tc>
                <w:tcPr>
                  <w:tcW w:w="61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B24D17">
                  <w:pPr>
                    <w:jc w:val="center"/>
                    <w:rPr>
                      <w:sz w:val="21"/>
                      <w:szCs w:val="21"/>
                    </w:rPr>
                  </w:pPr>
                  <w:r>
                    <w:rPr>
                      <w:rFonts w:hint="eastAsia"/>
                      <w:sz w:val="21"/>
                      <w:szCs w:val="21"/>
                    </w:rPr>
                    <w:t>/</w:t>
                  </w:r>
                </w:p>
              </w:tc>
              <w:tc>
                <w:tcPr>
                  <w:tcW w:w="119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441625">
                  <w:pPr>
                    <w:jc w:val="center"/>
                    <w:rPr>
                      <w:sz w:val="21"/>
                      <w:szCs w:val="21"/>
                    </w:rPr>
                  </w:pPr>
                  <w:r>
                    <w:rPr>
                      <w:sz w:val="21"/>
                      <w:szCs w:val="21"/>
                    </w:rPr>
                    <w:t>主体纤维：聚乙醇酸（PGA）、聚乳酸（PLA）复混纺丝编织。依靠地层温度水解降解，无硬质残渣，柔性尾翼利于锚定炮眼。</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2320E">
                  <w:pPr>
                    <w:jc w:val="center"/>
                    <w:rPr>
                      <w:sz w:val="21"/>
                      <w:szCs w:val="21"/>
                    </w:rPr>
                  </w:pPr>
                  <w:r>
                    <w:rPr>
                      <w:sz w:val="21"/>
                      <w:szCs w:val="21"/>
                    </w:rPr>
                    <w:t>528</w:t>
                  </w:r>
                </w:p>
              </w:tc>
              <w:tc>
                <w:tcPr>
                  <w:tcW w:w="57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1707CB">
                  <w:pPr>
                    <w:jc w:val="center"/>
                    <w:rPr>
                      <w:sz w:val="21"/>
                      <w:szCs w:val="21"/>
                    </w:rPr>
                  </w:pPr>
                  <w:r>
                    <w:rPr>
                      <w:sz w:val="21"/>
                      <w:szCs w:val="21"/>
                    </w:rPr>
                    <w:t>156</w:t>
                  </w:r>
                </w:p>
              </w:tc>
              <w:tc>
                <w:tcPr>
                  <w:tcW w:w="51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92E63E">
                  <w:pPr>
                    <w:jc w:val="center"/>
                    <w:rPr>
                      <w:sz w:val="21"/>
                      <w:szCs w:val="21"/>
                    </w:rPr>
                  </w:pPr>
                  <w:r>
                    <w:rPr>
                      <w:sz w:val="21"/>
                      <w:szCs w:val="21"/>
                    </w:rPr>
                    <w:t>528</w:t>
                  </w:r>
                </w:p>
              </w:tc>
              <w:tc>
                <w:tcPr>
                  <w:tcW w:w="41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9796CA">
                  <w:pPr>
                    <w:jc w:val="center"/>
                    <w:rPr>
                      <w:sz w:val="21"/>
                      <w:szCs w:val="21"/>
                    </w:rPr>
                  </w:pPr>
                  <w:r>
                    <w:rPr>
                      <w:sz w:val="21"/>
                      <w:szCs w:val="21"/>
                    </w:rPr>
                    <w:t>编织袋密封包装</w:t>
                  </w:r>
                </w:p>
              </w:tc>
              <w:tc>
                <w:tcPr>
                  <w:tcW w:w="2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809B0C">
                  <w:pPr>
                    <w:jc w:val="center"/>
                    <w:rPr>
                      <w:sz w:val="21"/>
                      <w:szCs w:val="21"/>
                    </w:rPr>
                  </w:pPr>
                  <w:r>
                    <w:rPr>
                      <w:sz w:val="21"/>
                      <w:szCs w:val="21"/>
                    </w:rPr>
                    <w:t>材料房</w:t>
                  </w:r>
                </w:p>
              </w:tc>
            </w:tr>
          </w:tbl>
          <w:p w14:paraId="657014DF">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4、项目主要设备</w:t>
            </w:r>
          </w:p>
          <w:p w14:paraId="17DD9F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t>本项目</w:t>
            </w:r>
            <w:r>
              <w:rPr>
                <w:rFonts w:hint="eastAsia"/>
              </w:rPr>
              <w:t>现有</w:t>
            </w:r>
            <w:r>
              <w:t>主要设备</w:t>
            </w:r>
            <w:r>
              <w:rPr>
                <w:rFonts w:hint="eastAsia"/>
              </w:rPr>
              <w:t>有项目</w:t>
            </w:r>
            <w:r>
              <w:t>单平台</w:t>
            </w:r>
            <w:r>
              <w:rPr>
                <w:rFonts w:hint="eastAsia"/>
              </w:rPr>
              <w:t>钻井主要设备，而新增加的设备为</w:t>
            </w:r>
            <w:r>
              <w:t>压裂</w:t>
            </w:r>
            <w:r>
              <w:rPr>
                <w:rFonts w:hint="eastAsia"/>
              </w:rPr>
              <w:t>施工设备和试采主要设备，</w:t>
            </w:r>
            <w:r>
              <w:t>配置情况</w:t>
            </w:r>
            <w:r>
              <w:rPr>
                <w:rFonts w:hint="eastAsia"/>
              </w:rPr>
              <w:t>详</w:t>
            </w:r>
            <w:r>
              <w:t>见</w:t>
            </w:r>
            <w:r>
              <w:rPr>
                <w:rFonts w:hint="eastAsia"/>
              </w:rPr>
              <w:t>下</w:t>
            </w:r>
            <w:r>
              <w:t>表。</w:t>
            </w:r>
          </w:p>
          <w:p w14:paraId="2C449D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表2-10 项目单平台钻井主要设备一览表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284"/>
              <w:gridCol w:w="1129"/>
              <w:gridCol w:w="1830"/>
              <w:gridCol w:w="1091"/>
              <w:gridCol w:w="773"/>
              <w:gridCol w:w="716"/>
              <w:gridCol w:w="833"/>
              <w:gridCol w:w="788"/>
            </w:tblGrid>
            <w:tr w14:paraId="7104B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3" w:type="pct"/>
                  <w:vMerge w:val="restart"/>
                  <w:vAlign w:val="center"/>
                </w:tcPr>
                <w:p w14:paraId="5F581AB0">
                  <w:pPr>
                    <w:jc w:val="center"/>
                    <w:rPr>
                      <w:b/>
                      <w:bCs/>
                      <w:sz w:val="21"/>
                      <w:szCs w:val="21"/>
                    </w:rPr>
                  </w:pPr>
                  <w:r>
                    <w:rPr>
                      <w:b/>
                      <w:bCs/>
                      <w:sz w:val="21"/>
                      <w:szCs w:val="21"/>
                    </w:rPr>
                    <w:t>序号</w:t>
                  </w:r>
                </w:p>
              </w:tc>
              <w:tc>
                <w:tcPr>
                  <w:tcW w:w="1399" w:type="pct"/>
                  <w:gridSpan w:val="2"/>
                  <w:vMerge w:val="restart"/>
                  <w:vAlign w:val="center"/>
                </w:tcPr>
                <w:p w14:paraId="5204C5B3">
                  <w:pPr>
                    <w:jc w:val="center"/>
                    <w:rPr>
                      <w:b/>
                      <w:bCs/>
                      <w:sz w:val="21"/>
                      <w:szCs w:val="21"/>
                    </w:rPr>
                  </w:pPr>
                  <w:r>
                    <w:rPr>
                      <w:b/>
                      <w:bCs/>
                      <w:sz w:val="21"/>
                      <w:szCs w:val="21"/>
                    </w:rPr>
                    <w:t>设备名称</w:t>
                  </w:r>
                </w:p>
              </w:tc>
              <w:tc>
                <w:tcPr>
                  <w:tcW w:w="1548" w:type="pct"/>
                  <w:gridSpan w:val="2"/>
                  <w:vMerge w:val="restart"/>
                  <w:vAlign w:val="center"/>
                </w:tcPr>
                <w:p w14:paraId="1C215638">
                  <w:pPr>
                    <w:jc w:val="center"/>
                    <w:rPr>
                      <w:b/>
                      <w:bCs/>
                      <w:sz w:val="21"/>
                      <w:szCs w:val="21"/>
                    </w:rPr>
                  </w:pPr>
                  <w:r>
                    <w:rPr>
                      <w:b/>
                      <w:bCs/>
                      <w:sz w:val="21"/>
                      <w:szCs w:val="21"/>
                    </w:rPr>
                    <w:t>规格型号</w:t>
                  </w:r>
                </w:p>
              </w:tc>
              <w:tc>
                <w:tcPr>
                  <w:tcW w:w="1375" w:type="pct"/>
                  <w:gridSpan w:val="3"/>
                  <w:vAlign w:val="center"/>
                </w:tcPr>
                <w:p w14:paraId="45F5754A">
                  <w:pPr>
                    <w:jc w:val="center"/>
                    <w:rPr>
                      <w:b/>
                      <w:bCs/>
                      <w:sz w:val="21"/>
                      <w:szCs w:val="21"/>
                    </w:rPr>
                  </w:pPr>
                  <w:r>
                    <w:rPr>
                      <w:b/>
                      <w:bCs/>
                      <w:sz w:val="21"/>
                      <w:szCs w:val="21"/>
                    </w:rPr>
                    <w:t>数量</w:t>
                  </w:r>
                  <w:r>
                    <w:rPr>
                      <w:rFonts w:hint="eastAsia"/>
                      <w:b/>
                      <w:bCs/>
                      <w:sz w:val="21"/>
                      <w:szCs w:val="21"/>
                    </w:rPr>
                    <w:t>（台/套）</w:t>
                  </w:r>
                </w:p>
              </w:tc>
              <w:tc>
                <w:tcPr>
                  <w:tcW w:w="463" w:type="pct"/>
                  <w:vMerge w:val="restart"/>
                  <w:vAlign w:val="center"/>
                </w:tcPr>
                <w:p w14:paraId="74A174A4">
                  <w:pPr>
                    <w:jc w:val="center"/>
                    <w:rPr>
                      <w:b/>
                      <w:bCs/>
                      <w:sz w:val="21"/>
                      <w:szCs w:val="21"/>
                    </w:rPr>
                  </w:pPr>
                  <w:r>
                    <w:rPr>
                      <w:rFonts w:hint="eastAsia"/>
                      <w:b/>
                      <w:bCs/>
                      <w:sz w:val="21"/>
                      <w:szCs w:val="21"/>
                    </w:rPr>
                    <w:t>备注</w:t>
                  </w:r>
                </w:p>
              </w:tc>
            </w:tr>
            <w:tr w14:paraId="17CC4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5C4D8DF0">
                  <w:pPr>
                    <w:jc w:val="center"/>
                    <w:rPr>
                      <w:sz w:val="21"/>
                      <w:szCs w:val="21"/>
                    </w:rPr>
                  </w:pPr>
                </w:p>
              </w:tc>
              <w:tc>
                <w:tcPr>
                  <w:tcW w:w="1399" w:type="pct"/>
                  <w:gridSpan w:val="2"/>
                  <w:vMerge w:val="continue"/>
                  <w:vAlign w:val="center"/>
                </w:tcPr>
                <w:p w14:paraId="264B1412">
                  <w:pPr>
                    <w:jc w:val="center"/>
                    <w:rPr>
                      <w:sz w:val="21"/>
                      <w:szCs w:val="21"/>
                    </w:rPr>
                  </w:pPr>
                </w:p>
              </w:tc>
              <w:tc>
                <w:tcPr>
                  <w:tcW w:w="1548" w:type="pct"/>
                  <w:gridSpan w:val="2"/>
                  <w:vMerge w:val="continue"/>
                  <w:vAlign w:val="center"/>
                </w:tcPr>
                <w:p w14:paraId="294DAEE3">
                  <w:pPr>
                    <w:jc w:val="center"/>
                    <w:rPr>
                      <w:sz w:val="21"/>
                      <w:szCs w:val="21"/>
                    </w:rPr>
                  </w:pPr>
                </w:p>
              </w:tc>
              <w:tc>
                <w:tcPr>
                  <w:tcW w:w="463" w:type="pct"/>
                  <w:vAlign w:val="center"/>
                </w:tcPr>
                <w:p w14:paraId="243B04B9">
                  <w:pPr>
                    <w:jc w:val="center"/>
                    <w:rPr>
                      <w:b/>
                      <w:bCs/>
                      <w:sz w:val="21"/>
                      <w:szCs w:val="21"/>
                    </w:rPr>
                  </w:pPr>
                  <w:r>
                    <w:rPr>
                      <w:rFonts w:hint="eastAsia"/>
                      <w:b/>
                      <w:bCs/>
                      <w:sz w:val="21"/>
                      <w:szCs w:val="21"/>
                    </w:rPr>
                    <w:t>现有工程</w:t>
                  </w:r>
                </w:p>
              </w:tc>
              <w:tc>
                <w:tcPr>
                  <w:tcW w:w="423" w:type="pct"/>
                  <w:vAlign w:val="center"/>
                </w:tcPr>
                <w:p w14:paraId="0730E0E9">
                  <w:pPr>
                    <w:jc w:val="center"/>
                    <w:rPr>
                      <w:b/>
                      <w:bCs/>
                      <w:sz w:val="21"/>
                      <w:szCs w:val="21"/>
                    </w:rPr>
                  </w:pPr>
                  <w:r>
                    <w:rPr>
                      <w:rFonts w:hint="eastAsia"/>
                      <w:b/>
                      <w:bCs/>
                      <w:sz w:val="21"/>
                      <w:szCs w:val="21"/>
                    </w:rPr>
                    <w:t>本项目实施后</w:t>
                  </w:r>
                </w:p>
              </w:tc>
              <w:tc>
                <w:tcPr>
                  <w:tcW w:w="488" w:type="pct"/>
                  <w:vAlign w:val="center"/>
                </w:tcPr>
                <w:p w14:paraId="79310ADB">
                  <w:pPr>
                    <w:jc w:val="center"/>
                    <w:rPr>
                      <w:b/>
                      <w:bCs/>
                      <w:sz w:val="21"/>
                      <w:szCs w:val="21"/>
                    </w:rPr>
                  </w:pPr>
                  <w:r>
                    <w:rPr>
                      <w:b/>
                      <w:bCs/>
                      <w:sz w:val="21"/>
                      <w:szCs w:val="21"/>
                    </w:rPr>
                    <w:t>变化</w:t>
                  </w:r>
                  <w:r>
                    <w:rPr>
                      <w:rFonts w:hint="eastAsia"/>
                      <w:b/>
                      <w:bCs/>
                      <w:sz w:val="21"/>
                      <w:szCs w:val="21"/>
                    </w:rPr>
                    <w:t>量</w:t>
                  </w:r>
                </w:p>
              </w:tc>
              <w:tc>
                <w:tcPr>
                  <w:tcW w:w="463" w:type="pct"/>
                  <w:vMerge w:val="continue"/>
                  <w:vAlign w:val="center"/>
                </w:tcPr>
                <w:p w14:paraId="697A66F2">
                  <w:pPr>
                    <w:jc w:val="center"/>
                    <w:rPr>
                      <w:sz w:val="21"/>
                      <w:szCs w:val="21"/>
                    </w:rPr>
                  </w:pPr>
                </w:p>
              </w:tc>
            </w:tr>
            <w:tr w14:paraId="4D3A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Align w:val="center"/>
                </w:tcPr>
                <w:p w14:paraId="12E4ACAE">
                  <w:pPr>
                    <w:jc w:val="center"/>
                    <w:rPr>
                      <w:sz w:val="21"/>
                      <w:szCs w:val="21"/>
                    </w:rPr>
                  </w:pPr>
                  <w:r>
                    <w:rPr>
                      <w:sz w:val="21"/>
                      <w:szCs w:val="21"/>
                    </w:rPr>
                    <w:t>1</w:t>
                  </w:r>
                </w:p>
              </w:tc>
              <w:tc>
                <w:tcPr>
                  <w:tcW w:w="1399" w:type="pct"/>
                  <w:gridSpan w:val="2"/>
                  <w:vAlign w:val="center"/>
                </w:tcPr>
                <w:p w14:paraId="69C143BC">
                  <w:pPr>
                    <w:jc w:val="center"/>
                    <w:rPr>
                      <w:sz w:val="21"/>
                      <w:szCs w:val="21"/>
                    </w:rPr>
                  </w:pPr>
                  <w:r>
                    <w:rPr>
                      <w:sz w:val="21"/>
                      <w:szCs w:val="21"/>
                    </w:rPr>
                    <w:t>钻机</w:t>
                  </w:r>
                </w:p>
              </w:tc>
              <w:tc>
                <w:tcPr>
                  <w:tcW w:w="1043" w:type="pct"/>
                  <w:vAlign w:val="center"/>
                </w:tcPr>
                <w:p w14:paraId="365069CD">
                  <w:pPr>
                    <w:jc w:val="center"/>
                    <w:rPr>
                      <w:sz w:val="21"/>
                      <w:szCs w:val="21"/>
                    </w:rPr>
                  </w:pPr>
                  <w:r>
                    <w:rPr>
                      <w:sz w:val="21"/>
                      <w:szCs w:val="21"/>
                    </w:rPr>
                    <w:t>ZJ30</w:t>
                  </w:r>
                </w:p>
              </w:tc>
              <w:tc>
                <w:tcPr>
                  <w:tcW w:w="504" w:type="pct"/>
                  <w:vAlign w:val="center"/>
                </w:tcPr>
                <w:p w14:paraId="45F7A388">
                  <w:pPr>
                    <w:jc w:val="center"/>
                    <w:rPr>
                      <w:sz w:val="21"/>
                      <w:szCs w:val="21"/>
                    </w:rPr>
                  </w:pPr>
                  <w:r>
                    <w:rPr>
                      <w:sz w:val="21"/>
                      <w:szCs w:val="21"/>
                    </w:rPr>
                    <w:t>1800kN</w:t>
                  </w:r>
                </w:p>
              </w:tc>
              <w:tc>
                <w:tcPr>
                  <w:tcW w:w="463" w:type="pct"/>
                  <w:vAlign w:val="center"/>
                </w:tcPr>
                <w:p w14:paraId="48496BE0">
                  <w:pPr>
                    <w:jc w:val="center"/>
                    <w:rPr>
                      <w:sz w:val="21"/>
                      <w:szCs w:val="21"/>
                    </w:rPr>
                  </w:pPr>
                  <w:r>
                    <w:rPr>
                      <w:sz w:val="21"/>
                      <w:szCs w:val="21"/>
                    </w:rPr>
                    <w:t>1</w:t>
                  </w:r>
                </w:p>
              </w:tc>
              <w:tc>
                <w:tcPr>
                  <w:tcW w:w="423" w:type="pct"/>
                  <w:vAlign w:val="center"/>
                </w:tcPr>
                <w:p w14:paraId="43BC578D">
                  <w:pPr>
                    <w:jc w:val="center"/>
                    <w:rPr>
                      <w:sz w:val="21"/>
                      <w:szCs w:val="21"/>
                    </w:rPr>
                  </w:pPr>
                  <w:r>
                    <w:rPr>
                      <w:sz w:val="21"/>
                      <w:szCs w:val="21"/>
                    </w:rPr>
                    <w:t>1</w:t>
                  </w:r>
                </w:p>
              </w:tc>
              <w:tc>
                <w:tcPr>
                  <w:tcW w:w="488" w:type="pct"/>
                  <w:vAlign w:val="center"/>
                </w:tcPr>
                <w:p w14:paraId="2B779AA2">
                  <w:pPr>
                    <w:jc w:val="center"/>
                    <w:rPr>
                      <w:sz w:val="21"/>
                      <w:szCs w:val="21"/>
                    </w:rPr>
                  </w:pPr>
                  <w:r>
                    <w:rPr>
                      <w:rFonts w:hint="eastAsia"/>
                      <w:sz w:val="21"/>
                      <w:szCs w:val="21"/>
                    </w:rPr>
                    <w:t>0</w:t>
                  </w:r>
                </w:p>
              </w:tc>
              <w:tc>
                <w:tcPr>
                  <w:tcW w:w="463" w:type="pct"/>
                  <w:vAlign w:val="center"/>
                </w:tcPr>
                <w:p w14:paraId="26740D99">
                  <w:pPr>
                    <w:jc w:val="center"/>
                    <w:rPr>
                      <w:sz w:val="21"/>
                      <w:szCs w:val="21"/>
                    </w:rPr>
                  </w:pPr>
                  <w:r>
                    <w:rPr>
                      <w:rFonts w:hint="eastAsia"/>
                      <w:sz w:val="21"/>
                      <w:szCs w:val="21"/>
                    </w:rPr>
                    <w:t>不变</w:t>
                  </w:r>
                </w:p>
              </w:tc>
            </w:tr>
            <w:tr w14:paraId="06715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Align w:val="center"/>
                </w:tcPr>
                <w:p w14:paraId="551EC648">
                  <w:pPr>
                    <w:jc w:val="center"/>
                    <w:rPr>
                      <w:sz w:val="21"/>
                      <w:szCs w:val="21"/>
                    </w:rPr>
                  </w:pPr>
                  <w:r>
                    <w:rPr>
                      <w:sz w:val="21"/>
                      <w:szCs w:val="21"/>
                    </w:rPr>
                    <w:t>2</w:t>
                  </w:r>
                </w:p>
              </w:tc>
              <w:tc>
                <w:tcPr>
                  <w:tcW w:w="1399" w:type="pct"/>
                  <w:gridSpan w:val="2"/>
                  <w:vAlign w:val="center"/>
                </w:tcPr>
                <w:p w14:paraId="18A99346">
                  <w:pPr>
                    <w:jc w:val="center"/>
                    <w:rPr>
                      <w:sz w:val="21"/>
                      <w:szCs w:val="21"/>
                    </w:rPr>
                  </w:pPr>
                  <w:r>
                    <w:rPr>
                      <w:sz w:val="21"/>
                      <w:szCs w:val="21"/>
                    </w:rPr>
                    <w:t>井架</w:t>
                  </w:r>
                </w:p>
              </w:tc>
              <w:tc>
                <w:tcPr>
                  <w:tcW w:w="1043" w:type="pct"/>
                  <w:vAlign w:val="center"/>
                </w:tcPr>
                <w:p w14:paraId="3C83931C">
                  <w:pPr>
                    <w:jc w:val="center"/>
                    <w:rPr>
                      <w:sz w:val="21"/>
                      <w:szCs w:val="21"/>
                    </w:rPr>
                  </w:pPr>
                  <w:r>
                    <w:rPr>
                      <w:sz w:val="21"/>
                      <w:szCs w:val="21"/>
                    </w:rPr>
                    <w:t>JJ180/38</w:t>
                  </w:r>
                </w:p>
              </w:tc>
              <w:tc>
                <w:tcPr>
                  <w:tcW w:w="504" w:type="pct"/>
                  <w:vAlign w:val="center"/>
                </w:tcPr>
                <w:p w14:paraId="1EAF793B">
                  <w:pPr>
                    <w:jc w:val="center"/>
                    <w:rPr>
                      <w:sz w:val="21"/>
                      <w:szCs w:val="21"/>
                    </w:rPr>
                  </w:pPr>
                  <w:r>
                    <w:rPr>
                      <w:sz w:val="21"/>
                      <w:szCs w:val="21"/>
                    </w:rPr>
                    <w:t>/</w:t>
                  </w:r>
                </w:p>
              </w:tc>
              <w:tc>
                <w:tcPr>
                  <w:tcW w:w="463" w:type="pct"/>
                  <w:vAlign w:val="center"/>
                </w:tcPr>
                <w:p w14:paraId="4CCAA107">
                  <w:pPr>
                    <w:jc w:val="center"/>
                    <w:rPr>
                      <w:sz w:val="21"/>
                      <w:szCs w:val="21"/>
                    </w:rPr>
                  </w:pPr>
                  <w:r>
                    <w:rPr>
                      <w:sz w:val="21"/>
                      <w:szCs w:val="21"/>
                    </w:rPr>
                    <w:t>1</w:t>
                  </w:r>
                </w:p>
              </w:tc>
              <w:tc>
                <w:tcPr>
                  <w:tcW w:w="423" w:type="pct"/>
                  <w:vAlign w:val="center"/>
                </w:tcPr>
                <w:p w14:paraId="14906628">
                  <w:pPr>
                    <w:jc w:val="center"/>
                    <w:rPr>
                      <w:sz w:val="21"/>
                      <w:szCs w:val="21"/>
                    </w:rPr>
                  </w:pPr>
                  <w:r>
                    <w:rPr>
                      <w:sz w:val="21"/>
                      <w:szCs w:val="21"/>
                    </w:rPr>
                    <w:t>1</w:t>
                  </w:r>
                </w:p>
              </w:tc>
              <w:tc>
                <w:tcPr>
                  <w:tcW w:w="488" w:type="pct"/>
                  <w:vAlign w:val="center"/>
                </w:tcPr>
                <w:p w14:paraId="02ABD37E">
                  <w:pPr>
                    <w:jc w:val="center"/>
                    <w:rPr>
                      <w:sz w:val="21"/>
                      <w:szCs w:val="21"/>
                    </w:rPr>
                  </w:pPr>
                  <w:r>
                    <w:rPr>
                      <w:rFonts w:hint="eastAsia"/>
                      <w:sz w:val="21"/>
                      <w:szCs w:val="21"/>
                    </w:rPr>
                    <w:t>0</w:t>
                  </w:r>
                </w:p>
              </w:tc>
              <w:tc>
                <w:tcPr>
                  <w:tcW w:w="463" w:type="pct"/>
                  <w:vAlign w:val="center"/>
                </w:tcPr>
                <w:p w14:paraId="14DD3CC7">
                  <w:pPr>
                    <w:jc w:val="center"/>
                    <w:rPr>
                      <w:sz w:val="21"/>
                      <w:szCs w:val="21"/>
                    </w:rPr>
                  </w:pPr>
                  <w:r>
                    <w:rPr>
                      <w:rFonts w:hint="eastAsia"/>
                      <w:sz w:val="21"/>
                      <w:szCs w:val="21"/>
                    </w:rPr>
                    <w:t>不变</w:t>
                  </w:r>
                </w:p>
              </w:tc>
            </w:tr>
            <w:tr w14:paraId="0A4E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44B1175D">
                  <w:pPr>
                    <w:jc w:val="center"/>
                    <w:rPr>
                      <w:sz w:val="21"/>
                      <w:szCs w:val="21"/>
                    </w:rPr>
                  </w:pPr>
                  <w:r>
                    <w:rPr>
                      <w:sz w:val="21"/>
                      <w:szCs w:val="21"/>
                    </w:rPr>
                    <w:t>3</w:t>
                  </w:r>
                </w:p>
              </w:tc>
              <w:tc>
                <w:tcPr>
                  <w:tcW w:w="743" w:type="pct"/>
                  <w:vMerge w:val="restart"/>
                  <w:vAlign w:val="center"/>
                </w:tcPr>
                <w:p w14:paraId="58DA1291">
                  <w:pPr>
                    <w:jc w:val="center"/>
                    <w:rPr>
                      <w:sz w:val="21"/>
                      <w:szCs w:val="21"/>
                    </w:rPr>
                  </w:pPr>
                  <w:r>
                    <w:rPr>
                      <w:sz w:val="21"/>
                      <w:szCs w:val="21"/>
                    </w:rPr>
                    <w:t>提升系统</w:t>
                  </w:r>
                </w:p>
              </w:tc>
              <w:tc>
                <w:tcPr>
                  <w:tcW w:w="655" w:type="pct"/>
                  <w:vAlign w:val="center"/>
                </w:tcPr>
                <w:p w14:paraId="41071EF7">
                  <w:pPr>
                    <w:jc w:val="center"/>
                    <w:rPr>
                      <w:sz w:val="21"/>
                      <w:szCs w:val="21"/>
                    </w:rPr>
                  </w:pPr>
                  <w:r>
                    <w:rPr>
                      <w:sz w:val="21"/>
                      <w:szCs w:val="21"/>
                    </w:rPr>
                    <w:t>绞车</w:t>
                  </w:r>
                </w:p>
              </w:tc>
              <w:tc>
                <w:tcPr>
                  <w:tcW w:w="1043" w:type="pct"/>
                  <w:vAlign w:val="center"/>
                </w:tcPr>
                <w:p w14:paraId="493BBED9">
                  <w:pPr>
                    <w:jc w:val="center"/>
                    <w:rPr>
                      <w:sz w:val="21"/>
                      <w:szCs w:val="21"/>
                    </w:rPr>
                  </w:pPr>
                  <w:r>
                    <w:rPr>
                      <w:sz w:val="21"/>
                      <w:szCs w:val="21"/>
                    </w:rPr>
                    <w:t>JC28/11</w:t>
                  </w:r>
                </w:p>
              </w:tc>
              <w:tc>
                <w:tcPr>
                  <w:tcW w:w="504" w:type="pct"/>
                  <w:vAlign w:val="center"/>
                </w:tcPr>
                <w:p w14:paraId="141571DD">
                  <w:pPr>
                    <w:jc w:val="center"/>
                    <w:rPr>
                      <w:sz w:val="21"/>
                      <w:szCs w:val="21"/>
                    </w:rPr>
                  </w:pPr>
                  <w:r>
                    <w:rPr>
                      <w:sz w:val="21"/>
                      <w:szCs w:val="21"/>
                    </w:rPr>
                    <w:t>750HP</w:t>
                  </w:r>
                </w:p>
              </w:tc>
              <w:tc>
                <w:tcPr>
                  <w:tcW w:w="463" w:type="pct"/>
                  <w:vAlign w:val="center"/>
                </w:tcPr>
                <w:p w14:paraId="15BDD566">
                  <w:pPr>
                    <w:jc w:val="center"/>
                    <w:rPr>
                      <w:sz w:val="21"/>
                      <w:szCs w:val="21"/>
                    </w:rPr>
                  </w:pPr>
                  <w:r>
                    <w:rPr>
                      <w:sz w:val="21"/>
                      <w:szCs w:val="21"/>
                    </w:rPr>
                    <w:t>1</w:t>
                  </w:r>
                </w:p>
              </w:tc>
              <w:tc>
                <w:tcPr>
                  <w:tcW w:w="423" w:type="pct"/>
                  <w:vAlign w:val="center"/>
                </w:tcPr>
                <w:p w14:paraId="2EB060AE">
                  <w:pPr>
                    <w:jc w:val="center"/>
                    <w:rPr>
                      <w:sz w:val="21"/>
                      <w:szCs w:val="21"/>
                    </w:rPr>
                  </w:pPr>
                  <w:r>
                    <w:rPr>
                      <w:sz w:val="21"/>
                      <w:szCs w:val="21"/>
                    </w:rPr>
                    <w:t>1</w:t>
                  </w:r>
                </w:p>
              </w:tc>
              <w:tc>
                <w:tcPr>
                  <w:tcW w:w="488" w:type="pct"/>
                  <w:vAlign w:val="center"/>
                </w:tcPr>
                <w:p w14:paraId="3F79B6A6">
                  <w:pPr>
                    <w:jc w:val="center"/>
                    <w:rPr>
                      <w:sz w:val="21"/>
                      <w:szCs w:val="21"/>
                    </w:rPr>
                  </w:pPr>
                  <w:r>
                    <w:rPr>
                      <w:rFonts w:hint="eastAsia"/>
                      <w:sz w:val="21"/>
                      <w:szCs w:val="21"/>
                    </w:rPr>
                    <w:t>0</w:t>
                  </w:r>
                </w:p>
              </w:tc>
              <w:tc>
                <w:tcPr>
                  <w:tcW w:w="463" w:type="pct"/>
                  <w:vAlign w:val="center"/>
                </w:tcPr>
                <w:p w14:paraId="3B60C410">
                  <w:pPr>
                    <w:jc w:val="center"/>
                    <w:rPr>
                      <w:sz w:val="21"/>
                      <w:szCs w:val="21"/>
                    </w:rPr>
                  </w:pPr>
                  <w:r>
                    <w:rPr>
                      <w:rFonts w:hint="eastAsia"/>
                      <w:sz w:val="21"/>
                      <w:szCs w:val="21"/>
                    </w:rPr>
                    <w:t>不变</w:t>
                  </w:r>
                </w:p>
              </w:tc>
            </w:tr>
            <w:tr w14:paraId="0D69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7F55B839">
                  <w:pPr>
                    <w:jc w:val="center"/>
                    <w:rPr>
                      <w:sz w:val="21"/>
                      <w:szCs w:val="21"/>
                    </w:rPr>
                  </w:pPr>
                </w:p>
              </w:tc>
              <w:tc>
                <w:tcPr>
                  <w:tcW w:w="743" w:type="pct"/>
                  <w:vMerge w:val="continue"/>
                  <w:vAlign w:val="center"/>
                </w:tcPr>
                <w:p w14:paraId="168965FC">
                  <w:pPr>
                    <w:jc w:val="center"/>
                    <w:rPr>
                      <w:sz w:val="21"/>
                      <w:szCs w:val="21"/>
                    </w:rPr>
                  </w:pPr>
                </w:p>
              </w:tc>
              <w:tc>
                <w:tcPr>
                  <w:tcW w:w="655" w:type="pct"/>
                  <w:vAlign w:val="center"/>
                </w:tcPr>
                <w:p w14:paraId="301A3104">
                  <w:pPr>
                    <w:jc w:val="center"/>
                    <w:rPr>
                      <w:sz w:val="21"/>
                      <w:szCs w:val="21"/>
                    </w:rPr>
                  </w:pPr>
                  <w:r>
                    <w:rPr>
                      <w:sz w:val="21"/>
                      <w:szCs w:val="21"/>
                    </w:rPr>
                    <w:t>天车</w:t>
                  </w:r>
                </w:p>
              </w:tc>
              <w:tc>
                <w:tcPr>
                  <w:tcW w:w="1043" w:type="pct"/>
                  <w:vAlign w:val="center"/>
                </w:tcPr>
                <w:p w14:paraId="77D73054">
                  <w:pPr>
                    <w:jc w:val="center"/>
                    <w:rPr>
                      <w:sz w:val="21"/>
                      <w:szCs w:val="21"/>
                    </w:rPr>
                  </w:pPr>
                  <w:r>
                    <w:rPr>
                      <w:sz w:val="21"/>
                      <w:szCs w:val="21"/>
                    </w:rPr>
                    <w:t>TC-170</w:t>
                  </w:r>
                </w:p>
              </w:tc>
              <w:tc>
                <w:tcPr>
                  <w:tcW w:w="504" w:type="pct"/>
                  <w:vAlign w:val="center"/>
                </w:tcPr>
                <w:p w14:paraId="15660A78">
                  <w:pPr>
                    <w:jc w:val="center"/>
                    <w:rPr>
                      <w:sz w:val="21"/>
                      <w:szCs w:val="21"/>
                    </w:rPr>
                  </w:pPr>
                  <w:r>
                    <w:rPr>
                      <w:sz w:val="21"/>
                      <w:szCs w:val="21"/>
                    </w:rPr>
                    <w:t>1700 kN</w:t>
                  </w:r>
                </w:p>
              </w:tc>
              <w:tc>
                <w:tcPr>
                  <w:tcW w:w="463" w:type="pct"/>
                  <w:vAlign w:val="center"/>
                </w:tcPr>
                <w:p w14:paraId="06AC4C21">
                  <w:pPr>
                    <w:jc w:val="center"/>
                    <w:rPr>
                      <w:sz w:val="21"/>
                      <w:szCs w:val="21"/>
                    </w:rPr>
                  </w:pPr>
                  <w:r>
                    <w:rPr>
                      <w:sz w:val="21"/>
                      <w:szCs w:val="21"/>
                    </w:rPr>
                    <w:t>1</w:t>
                  </w:r>
                </w:p>
              </w:tc>
              <w:tc>
                <w:tcPr>
                  <w:tcW w:w="423" w:type="pct"/>
                  <w:vAlign w:val="center"/>
                </w:tcPr>
                <w:p w14:paraId="1AF139C0">
                  <w:pPr>
                    <w:jc w:val="center"/>
                    <w:rPr>
                      <w:sz w:val="21"/>
                      <w:szCs w:val="21"/>
                    </w:rPr>
                  </w:pPr>
                  <w:r>
                    <w:rPr>
                      <w:sz w:val="21"/>
                      <w:szCs w:val="21"/>
                    </w:rPr>
                    <w:t>1</w:t>
                  </w:r>
                </w:p>
              </w:tc>
              <w:tc>
                <w:tcPr>
                  <w:tcW w:w="488" w:type="pct"/>
                  <w:vAlign w:val="center"/>
                </w:tcPr>
                <w:p w14:paraId="33413139">
                  <w:pPr>
                    <w:jc w:val="center"/>
                    <w:rPr>
                      <w:sz w:val="21"/>
                      <w:szCs w:val="21"/>
                    </w:rPr>
                  </w:pPr>
                  <w:r>
                    <w:rPr>
                      <w:rFonts w:hint="eastAsia"/>
                      <w:sz w:val="21"/>
                      <w:szCs w:val="21"/>
                    </w:rPr>
                    <w:t>0</w:t>
                  </w:r>
                </w:p>
              </w:tc>
              <w:tc>
                <w:tcPr>
                  <w:tcW w:w="463" w:type="pct"/>
                  <w:vAlign w:val="center"/>
                </w:tcPr>
                <w:p w14:paraId="670A3391">
                  <w:pPr>
                    <w:jc w:val="center"/>
                    <w:rPr>
                      <w:sz w:val="21"/>
                      <w:szCs w:val="21"/>
                    </w:rPr>
                  </w:pPr>
                  <w:r>
                    <w:rPr>
                      <w:rFonts w:hint="eastAsia"/>
                      <w:sz w:val="21"/>
                      <w:szCs w:val="21"/>
                    </w:rPr>
                    <w:t>不变</w:t>
                  </w:r>
                </w:p>
              </w:tc>
            </w:tr>
            <w:tr w14:paraId="093E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84AFAD9">
                  <w:pPr>
                    <w:jc w:val="center"/>
                    <w:rPr>
                      <w:sz w:val="21"/>
                      <w:szCs w:val="21"/>
                    </w:rPr>
                  </w:pPr>
                </w:p>
              </w:tc>
              <w:tc>
                <w:tcPr>
                  <w:tcW w:w="743" w:type="pct"/>
                  <w:vMerge w:val="continue"/>
                  <w:vAlign w:val="center"/>
                </w:tcPr>
                <w:p w14:paraId="0F8608D0">
                  <w:pPr>
                    <w:jc w:val="center"/>
                    <w:rPr>
                      <w:sz w:val="21"/>
                      <w:szCs w:val="21"/>
                    </w:rPr>
                  </w:pPr>
                </w:p>
              </w:tc>
              <w:tc>
                <w:tcPr>
                  <w:tcW w:w="655" w:type="pct"/>
                  <w:vAlign w:val="center"/>
                </w:tcPr>
                <w:p w14:paraId="240CCCF6">
                  <w:pPr>
                    <w:jc w:val="center"/>
                    <w:rPr>
                      <w:sz w:val="21"/>
                      <w:szCs w:val="21"/>
                    </w:rPr>
                  </w:pPr>
                  <w:r>
                    <w:rPr>
                      <w:sz w:val="21"/>
                      <w:szCs w:val="21"/>
                    </w:rPr>
                    <w:t>游动滑车</w:t>
                  </w:r>
                </w:p>
              </w:tc>
              <w:tc>
                <w:tcPr>
                  <w:tcW w:w="1043" w:type="pct"/>
                  <w:vAlign w:val="center"/>
                </w:tcPr>
                <w:p w14:paraId="1A1FB217">
                  <w:pPr>
                    <w:jc w:val="center"/>
                    <w:rPr>
                      <w:sz w:val="21"/>
                      <w:szCs w:val="21"/>
                    </w:rPr>
                  </w:pPr>
                  <w:r>
                    <w:rPr>
                      <w:sz w:val="21"/>
                      <w:szCs w:val="21"/>
                    </w:rPr>
                    <w:t>YC-170</w:t>
                  </w:r>
                </w:p>
              </w:tc>
              <w:tc>
                <w:tcPr>
                  <w:tcW w:w="504" w:type="pct"/>
                  <w:vAlign w:val="center"/>
                </w:tcPr>
                <w:p w14:paraId="4CFFE316">
                  <w:pPr>
                    <w:jc w:val="center"/>
                    <w:rPr>
                      <w:sz w:val="21"/>
                      <w:szCs w:val="21"/>
                    </w:rPr>
                  </w:pPr>
                  <w:r>
                    <w:rPr>
                      <w:sz w:val="21"/>
                      <w:szCs w:val="21"/>
                    </w:rPr>
                    <w:t>1700 kN</w:t>
                  </w:r>
                </w:p>
              </w:tc>
              <w:tc>
                <w:tcPr>
                  <w:tcW w:w="463" w:type="pct"/>
                  <w:vAlign w:val="center"/>
                </w:tcPr>
                <w:p w14:paraId="0FB7AED1">
                  <w:pPr>
                    <w:jc w:val="center"/>
                    <w:rPr>
                      <w:sz w:val="21"/>
                      <w:szCs w:val="21"/>
                    </w:rPr>
                  </w:pPr>
                  <w:r>
                    <w:rPr>
                      <w:sz w:val="21"/>
                      <w:szCs w:val="21"/>
                    </w:rPr>
                    <w:t>1</w:t>
                  </w:r>
                </w:p>
              </w:tc>
              <w:tc>
                <w:tcPr>
                  <w:tcW w:w="423" w:type="pct"/>
                  <w:vAlign w:val="center"/>
                </w:tcPr>
                <w:p w14:paraId="14BA4A04">
                  <w:pPr>
                    <w:jc w:val="center"/>
                    <w:rPr>
                      <w:sz w:val="21"/>
                      <w:szCs w:val="21"/>
                    </w:rPr>
                  </w:pPr>
                  <w:r>
                    <w:rPr>
                      <w:sz w:val="21"/>
                      <w:szCs w:val="21"/>
                    </w:rPr>
                    <w:t>1</w:t>
                  </w:r>
                </w:p>
              </w:tc>
              <w:tc>
                <w:tcPr>
                  <w:tcW w:w="488" w:type="pct"/>
                  <w:vAlign w:val="center"/>
                </w:tcPr>
                <w:p w14:paraId="49B636DF">
                  <w:pPr>
                    <w:jc w:val="center"/>
                    <w:rPr>
                      <w:sz w:val="21"/>
                      <w:szCs w:val="21"/>
                    </w:rPr>
                  </w:pPr>
                  <w:r>
                    <w:rPr>
                      <w:rFonts w:hint="eastAsia"/>
                      <w:sz w:val="21"/>
                      <w:szCs w:val="21"/>
                    </w:rPr>
                    <w:t>0</w:t>
                  </w:r>
                </w:p>
              </w:tc>
              <w:tc>
                <w:tcPr>
                  <w:tcW w:w="463" w:type="pct"/>
                  <w:vAlign w:val="center"/>
                </w:tcPr>
                <w:p w14:paraId="6E63E46C">
                  <w:pPr>
                    <w:jc w:val="center"/>
                    <w:rPr>
                      <w:sz w:val="21"/>
                      <w:szCs w:val="21"/>
                    </w:rPr>
                  </w:pPr>
                  <w:r>
                    <w:rPr>
                      <w:rFonts w:hint="eastAsia"/>
                      <w:sz w:val="21"/>
                      <w:szCs w:val="21"/>
                    </w:rPr>
                    <w:t>不变</w:t>
                  </w:r>
                </w:p>
              </w:tc>
            </w:tr>
            <w:tr w14:paraId="50D1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4F294BD1">
                  <w:pPr>
                    <w:jc w:val="center"/>
                    <w:rPr>
                      <w:sz w:val="21"/>
                      <w:szCs w:val="21"/>
                    </w:rPr>
                  </w:pPr>
                </w:p>
              </w:tc>
              <w:tc>
                <w:tcPr>
                  <w:tcW w:w="743" w:type="pct"/>
                  <w:vMerge w:val="continue"/>
                  <w:vAlign w:val="center"/>
                </w:tcPr>
                <w:p w14:paraId="7E4E6DFC">
                  <w:pPr>
                    <w:jc w:val="center"/>
                    <w:rPr>
                      <w:sz w:val="21"/>
                      <w:szCs w:val="21"/>
                    </w:rPr>
                  </w:pPr>
                </w:p>
              </w:tc>
              <w:tc>
                <w:tcPr>
                  <w:tcW w:w="655" w:type="pct"/>
                  <w:vAlign w:val="center"/>
                </w:tcPr>
                <w:p w14:paraId="21DE4D51">
                  <w:pPr>
                    <w:jc w:val="center"/>
                    <w:rPr>
                      <w:sz w:val="21"/>
                      <w:szCs w:val="21"/>
                    </w:rPr>
                  </w:pPr>
                  <w:r>
                    <w:rPr>
                      <w:sz w:val="21"/>
                      <w:szCs w:val="21"/>
                    </w:rPr>
                    <w:t>大钩</w:t>
                  </w:r>
                </w:p>
              </w:tc>
              <w:tc>
                <w:tcPr>
                  <w:tcW w:w="1043" w:type="pct"/>
                  <w:vAlign w:val="center"/>
                </w:tcPr>
                <w:p w14:paraId="6848DE23">
                  <w:pPr>
                    <w:jc w:val="center"/>
                    <w:rPr>
                      <w:sz w:val="21"/>
                      <w:szCs w:val="21"/>
                    </w:rPr>
                  </w:pPr>
                  <w:r>
                    <w:rPr>
                      <w:sz w:val="21"/>
                      <w:szCs w:val="21"/>
                    </w:rPr>
                    <w:t>DG-170</w:t>
                  </w:r>
                </w:p>
              </w:tc>
              <w:tc>
                <w:tcPr>
                  <w:tcW w:w="504" w:type="pct"/>
                  <w:vAlign w:val="center"/>
                </w:tcPr>
                <w:p w14:paraId="4E7ECA04">
                  <w:pPr>
                    <w:jc w:val="center"/>
                    <w:rPr>
                      <w:sz w:val="21"/>
                      <w:szCs w:val="21"/>
                    </w:rPr>
                  </w:pPr>
                  <w:r>
                    <w:rPr>
                      <w:sz w:val="21"/>
                      <w:szCs w:val="21"/>
                    </w:rPr>
                    <w:t>1700 kN</w:t>
                  </w:r>
                </w:p>
              </w:tc>
              <w:tc>
                <w:tcPr>
                  <w:tcW w:w="463" w:type="pct"/>
                  <w:vAlign w:val="center"/>
                </w:tcPr>
                <w:p w14:paraId="7118EB78">
                  <w:pPr>
                    <w:jc w:val="center"/>
                    <w:rPr>
                      <w:sz w:val="21"/>
                      <w:szCs w:val="21"/>
                    </w:rPr>
                  </w:pPr>
                  <w:r>
                    <w:rPr>
                      <w:sz w:val="21"/>
                      <w:szCs w:val="21"/>
                    </w:rPr>
                    <w:t>1</w:t>
                  </w:r>
                </w:p>
              </w:tc>
              <w:tc>
                <w:tcPr>
                  <w:tcW w:w="423" w:type="pct"/>
                  <w:vAlign w:val="center"/>
                </w:tcPr>
                <w:p w14:paraId="640E49A3">
                  <w:pPr>
                    <w:jc w:val="center"/>
                    <w:rPr>
                      <w:sz w:val="21"/>
                      <w:szCs w:val="21"/>
                    </w:rPr>
                  </w:pPr>
                  <w:r>
                    <w:rPr>
                      <w:sz w:val="21"/>
                      <w:szCs w:val="21"/>
                    </w:rPr>
                    <w:t>1</w:t>
                  </w:r>
                </w:p>
              </w:tc>
              <w:tc>
                <w:tcPr>
                  <w:tcW w:w="488" w:type="pct"/>
                  <w:vAlign w:val="center"/>
                </w:tcPr>
                <w:p w14:paraId="132BD38D">
                  <w:pPr>
                    <w:jc w:val="center"/>
                    <w:rPr>
                      <w:sz w:val="21"/>
                      <w:szCs w:val="21"/>
                    </w:rPr>
                  </w:pPr>
                  <w:r>
                    <w:rPr>
                      <w:rFonts w:hint="eastAsia"/>
                      <w:sz w:val="21"/>
                      <w:szCs w:val="21"/>
                    </w:rPr>
                    <w:t>0</w:t>
                  </w:r>
                </w:p>
              </w:tc>
              <w:tc>
                <w:tcPr>
                  <w:tcW w:w="463" w:type="pct"/>
                  <w:vAlign w:val="center"/>
                </w:tcPr>
                <w:p w14:paraId="135F79D4">
                  <w:pPr>
                    <w:jc w:val="center"/>
                    <w:rPr>
                      <w:sz w:val="21"/>
                      <w:szCs w:val="21"/>
                    </w:rPr>
                  </w:pPr>
                  <w:r>
                    <w:rPr>
                      <w:rFonts w:hint="eastAsia"/>
                      <w:sz w:val="21"/>
                      <w:szCs w:val="21"/>
                    </w:rPr>
                    <w:t>不变</w:t>
                  </w:r>
                </w:p>
              </w:tc>
            </w:tr>
            <w:tr w14:paraId="2D907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0ECC7C27">
                  <w:pPr>
                    <w:jc w:val="center"/>
                    <w:rPr>
                      <w:sz w:val="21"/>
                      <w:szCs w:val="21"/>
                    </w:rPr>
                  </w:pPr>
                </w:p>
              </w:tc>
              <w:tc>
                <w:tcPr>
                  <w:tcW w:w="743" w:type="pct"/>
                  <w:vMerge w:val="continue"/>
                  <w:vAlign w:val="center"/>
                </w:tcPr>
                <w:p w14:paraId="55C3A907">
                  <w:pPr>
                    <w:jc w:val="center"/>
                    <w:rPr>
                      <w:sz w:val="21"/>
                      <w:szCs w:val="21"/>
                    </w:rPr>
                  </w:pPr>
                </w:p>
              </w:tc>
              <w:tc>
                <w:tcPr>
                  <w:tcW w:w="655" w:type="pct"/>
                  <w:vAlign w:val="center"/>
                </w:tcPr>
                <w:p w14:paraId="4E38489C">
                  <w:pPr>
                    <w:jc w:val="center"/>
                    <w:rPr>
                      <w:sz w:val="21"/>
                      <w:szCs w:val="21"/>
                    </w:rPr>
                  </w:pPr>
                  <w:r>
                    <w:rPr>
                      <w:sz w:val="21"/>
                      <w:szCs w:val="21"/>
                    </w:rPr>
                    <w:t>水龙头</w:t>
                  </w:r>
                </w:p>
              </w:tc>
              <w:tc>
                <w:tcPr>
                  <w:tcW w:w="1043" w:type="pct"/>
                  <w:vAlign w:val="center"/>
                </w:tcPr>
                <w:p w14:paraId="6046650F">
                  <w:pPr>
                    <w:jc w:val="center"/>
                    <w:rPr>
                      <w:sz w:val="21"/>
                      <w:szCs w:val="21"/>
                    </w:rPr>
                  </w:pPr>
                  <w:r>
                    <w:rPr>
                      <w:sz w:val="21"/>
                      <w:szCs w:val="21"/>
                    </w:rPr>
                    <w:t>XSL-170</w:t>
                  </w:r>
                </w:p>
              </w:tc>
              <w:tc>
                <w:tcPr>
                  <w:tcW w:w="504" w:type="pct"/>
                  <w:vAlign w:val="center"/>
                </w:tcPr>
                <w:p w14:paraId="079FC8DE">
                  <w:pPr>
                    <w:jc w:val="center"/>
                    <w:rPr>
                      <w:sz w:val="21"/>
                      <w:szCs w:val="21"/>
                    </w:rPr>
                  </w:pPr>
                  <w:r>
                    <w:rPr>
                      <w:sz w:val="21"/>
                      <w:szCs w:val="21"/>
                    </w:rPr>
                    <w:t>1700 kN</w:t>
                  </w:r>
                </w:p>
              </w:tc>
              <w:tc>
                <w:tcPr>
                  <w:tcW w:w="463" w:type="pct"/>
                  <w:vAlign w:val="center"/>
                </w:tcPr>
                <w:p w14:paraId="17E9AD04">
                  <w:pPr>
                    <w:jc w:val="center"/>
                    <w:rPr>
                      <w:sz w:val="21"/>
                      <w:szCs w:val="21"/>
                    </w:rPr>
                  </w:pPr>
                  <w:r>
                    <w:rPr>
                      <w:sz w:val="21"/>
                      <w:szCs w:val="21"/>
                    </w:rPr>
                    <w:t>1</w:t>
                  </w:r>
                </w:p>
              </w:tc>
              <w:tc>
                <w:tcPr>
                  <w:tcW w:w="423" w:type="pct"/>
                  <w:vAlign w:val="center"/>
                </w:tcPr>
                <w:p w14:paraId="7A9F270D">
                  <w:pPr>
                    <w:jc w:val="center"/>
                    <w:rPr>
                      <w:sz w:val="21"/>
                      <w:szCs w:val="21"/>
                    </w:rPr>
                  </w:pPr>
                  <w:r>
                    <w:rPr>
                      <w:sz w:val="21"/>
                      <w:szCs w:val="21"/>
                    </w:rPr>
                    <w:t>1</w:t>
                  </w:r>
                </w:p>
              </w:tc>
              <w:tc>
                <w:tcPr>
                  <w:tcW w:w="488" w:type="pct"/>
                  <w:vAlign w:val="center"/>
                </w:tcPr>
                <w:p w14:paraId="46AA0B31">
                  <w:pPr>
                    <w:jc w:val="center"/>
                    <w:rPr>
                      <w:sz w:val="21"/>
                      <w:szCs w:val="21"/>
                    </w:rPr>
                  </w:pPr>
                  <w:r>
                    <w:rPr>
                      <w:rFonts w:hint="eastAsia"/>
                      <w:sz w:val="21"/>
                      <w:szCs w:val="21"/>
                    </w:rPr>
                    <w:t>0</w:t>
                  </w:r>
                </w:p>
              </w:tc>
              <w:tc>
                <w:tcPr>
                  <w:tcW w:w="463" w:type="pct"/>
                  <w:vAlign w:val="center"/>
                </w:tcPr>
                <w:p w14:paraId="047C3F2E">
                  <w:pPr>
                    <w:jc w:val="center"/>
                    <w:rPr>
                      <w:sz w:val="21"/>
                      <w:szCs w:val="21"/>
                    </w:rPr>
                  </w:pPr>
                  <w:r>
                    <w:rPr>
                      <w:rFonts w:hint="eastAsia"/>
                      <w:sz w:val="21"/>
                      <w:szCs w:val="21"/>
                    </w:rPr>
                    <w:t>不变</w:t>
                  </w:r>
                </w:p>
              </w:tc>
            </w:tr>
            <w:tr w14:paraId="6808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Align w:val="center"/>
                </w:tcPr>
                <w:p w14:paraId="1AF8106E">
                  <w:pPr>
                    <w:jc w:val="center"/>
                    <w:rPr>
                      <w:sz w:val="21"/>
                      <w:szCs w:val="21"/>
                    </w:rPr>
                  </w:pPr>
                  <w:r>
                    <w:rPr>
                      <w:sz w:val="21"/>
                      <w:szCs w:val="21"/>
                    </w:rPr>
                    <w:t>4</w:t>
                  </w:r>
                </w:p>
              </w:tc>
              <w:tc>
                <w:tcPr>
                  <w:tcW w:w="1399" w:type="pct"/>
                  <w:gridSpan w:val="2"/>
                  <w:vAlign w:val="center"/>
                </w:tcPr>
                <w:p w14:paraId="399B1624">
                  <w:pPr>
                    <w:jc w:val="center"/>
                    <w:rPr>
                      <w:sz w:val="21"/>
                      <w:szCs w:val="21"/>
                    </w:rPr>
                  </w:pPr>
                  <w:r>
                    <w:rPr>
                      <w:sz w:val="21"/>
                      <w:szCs w:val="21"/>
                    </w:rPr>
                    <w:t>转盘</w:t>
                  </w:r>
                </w:p>
              </w:tc>
              <w:tc>
                <w:tcPr>
                  <w:tcW w:w="1043" w:type="pct"/>
                  <w:vAlign w:val="center"/>
                </w:tcPr>
                <w:p w14:paraId="0DAD362D">
                  <w:pPr>
                    <w:jc w:val="center"/>
                    <w:rPr>
                      <w:sz w:val="21"/>
                      <w:szCs w:val="21"/>
                    </w:rPr>
                  </w:pPr>
                  <w:r>
                    <w:rPr>
                      <w:sz w:val="21"/>
                      <w:szCs w:val="21"/>
                    </w:rPr>
                    <w:t>ZP-275</w:t>
                  </w:r>
                </w:p>
              </w:tc>
              <w:tc>
                <w:tcPr>
                  <w:tcW w:w="504" w:type="pct"/>
                  <w:vAlign w:val="center"/>
                </w:tcPr>
                <w:p w14:paraId="490420AF">
                  <w:pPr>
                    <w:jc w:val="center"/>
                    <w:rPr>
                      <w:sz w:val="21"/>
                      <w:szCs w:val="21"/>
                    </w:rPr>
                  </w:pPr>
                  <w:r>
                    <w:rPr>
                      <w:sz w:val="21"/>
                      <w:szCs w:val="21"/>
                    </w:rPr>
                    <w:t>4500 kN</w:t>
                  </w:r>
                </w:p>
              </w:tc>
              <w:tc>
                <w:tcPr>
                  <w:tcW w:w="463" w:type="pct"/>
                  <w:vAlign w:val="center"/>
                </w:tcPr>
                <w:p w14:paraId="3E66A63A">
                  <w:pPr>
                    <w:jc w:val="center"/>
                    <w:rPr>
                      <w:sz w:val="21"/>
                      <w:szCs w:val="21"/>
                    </w:rPr>
                  </w:pPr>
                  <w:r>
                    <w:rPr>
                      <w:sz w:val="21"/>
                      <w:szCs w:val="21"/>
                    </w:rPr>
                    <w:t>1</w:t>
                  </w:r>
                </w:p>
              </w:tc>
              <w:tc>
                <w:tcPr>
                  <w:tcW w:w="423" w:type="pct"/>
                  <w:vAlign w:val="center"/>
                </w:tcPr>
                <w:p w14:paraId="0303D1F2">
                  <w:pPr>
                    <w:jc w:val="center"/>
                    <w:rPr>
                      <w:sz w:val="21"/>
                      <w:szCs w:val="21"/>
                    </w:rPr>
                  </w:pPr>
                  <w:r>
                    <w:rPr>
                      <w:sz w:val="21"/>
                      <w:szCs w:val="21"/>
                    </w:rPr>
                    <w:t>1</w:t>
                  </w:r>
                </w:p>
              </w:tc>
              <w:tc>
                <w:tcPr>
                  <w:tcW w:w="488" w:type="pct"/>
                  <w:vAlign w:val="center"/>
                </w:tcPr>
                <w:p w14:paraId="4499E058">
                  <w:pPr>
                    <w:jc w:val="center"/>
                    <w:rPr>
                      <w:sz w:val="21"/>
                      <w:szCs w:val="21"/>
                    </w:rPr>
                  </w:pPr>
                  <w:r>
                    <w:rPr>
                      <w:rFonts w:hint="eastAsia"/>
                      <w:sz w:val="21"/>
                      <w:szCs w:val="21"/>
                    </w:rPr>
                    <w:t>0</w:t>
                  </w:r>
                </w:p>
              </w:tc>
              <w:tc>
                <w:tcPr>
                  <w:tcW w:w="463" w:type="pct"/>
                  <w:vAlign w:val="center"/>
                </w:tcPr>
                <w:p w14:paraId="5E4068FC">
                  <w:pPr>
                    <w:jc w:val="center"/>
                    <w:rPr>
                      <w:sz w:val="21"/>
                      <w:szCs w:val="21"/>
                    </w:rPr>
                  </w:pPr>
                  <w:r>
                    <w:rPr>
                      <w:rFonts w:hint="eastAsia"/>
                      <w:sz w:val="21"/>
                      <w:szCs w:val="21"/>
                    </w:rPr>
                    <w:t>不变</w:t>
                  </w:r>
                </w:p>
              </w:tc>
            </w:tr>
            <w:tr w14:paraId="7104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27625EE7">
                  <w:pPr>
                    <w:jc w:val="center"/>
                    <w:rPr>
                      <w:sz w:val="21"/>
                      <w:szCs w:val="21"/>
                    </w:rPr>
                  </w:pPr>
                  <w:r>
                    <w:rPr>
                      <w:sz w:val="21"/>
                      <w:szCs w:val="21"/>
                    </w:rPr>
                    <w:t>5</w:t>
                  </w:r>
                </w:p>
              </w:tc>
              <w:tc>
                <w:tcPr>
                  <w:tcW w:w="743" w:type="pct"/>
                  <w:vMerge w:val="restart"/>
                  <w:vAlign w:val="center"/>
                </w:tcPr>
                <w:p w14:paraId="03DF8EDA">
                  <w:pPr>
                    <w:jc w:val="center"/>
                    <w:rPr>
                      <w:sz w:val="21"/>
                      <w:szCs w:val="21"/>
                    </w:rPr>
                  </w:pPr>
                  <w:r>
                    <w:rPr>
                      <w:sz w:val="21"/>
                      <w:szCs w:val="21"/>
                    </w:rPr>
                    <w:t>循环系统配置</w:t>
                  </w:r>
                </w:p>
              </w:tc>
              <w:tc>
                <w:tcPr>
                  <w:tcW w:w="655" w:type="pct"/>
                  <w:vAlign w:val="center"/>
                </w:tcPr>
                <w:p w14:paraId="3277E6E3">
                  <w:pPr>
                    <w:jc w:val="center"/>
                    <w:rPr>
                      <w:sz w:val="21"/>
                      <w:szCs w:val="21"/>
                    </w:rPr>
                  </w:pPr>
                  <w:r>
                    <w:rPr>
                      <w:sz w:val="21"/>
                      <w:szCs w:val="21"/>
                    </w:rPr>
                    <w:t>钻井泵1#</w:t>
                  </w:r>
                </w:p>
              </w:tc>
              <w:tc>
                <w:tcPr>
                  <w:tcW w:w="1043" w:type="pct"/>
                  <w:vAlign w:val="center"/>
                </w:tcPr>
                <w:p w14:paraId="3CE153F4">
                  <w:pPr>
                    <w:jc w:val="center"/>
                    <w:rPr>
                      <w:sz w:val="21"/>
                      <w:szCs w:val="21"/>
                    </w:rPr>
                  </w:pPr>
                  <w:r>
                    <w:rPr>
                      <w:sz w:val="21"/>
                      <w:szCs w:val="21"/>
                    </w:rPr>
                    <w:t>F1000</w:t>
                  </w:r>
                </w:p>
              </w:tc>
              <w:tc>
                <w:tcPr>
                  <w:tcW w:w="504" w:type="pct"/>
                  <w:vAlign w:val="center"/>
                </w:tcPr>
                <w:p w14:paraId="2B5E880A">
                  <w:pPr>
                    <w:jc w:val="center"/>
                    <w:rPr>
                      <w:sz w:val="21"/>
                      <w:szCs w:val="21"/>
                    </w:rPr>
                  </w:pPr>
                  <w:r>
                    <w:rPr>
                      <w:sz w:val="21"/>
                      <w:szCs w:val="21"/>
                    </w:rPr>
                    <w:t>746kW</w:t>
                  </w:r>
                </w:p>
              </w:tc>
              <w:tc>
                <w:tcPr>
                  <w:tcW w:w="463" w:type="pct"/>
                  <w:vAlign w:val="center"/>
                </w:tcPr>
                <w:p w14:paraId="6495BDA6">
                  <w:pPr>
                    <w:jc w:val="center"/>
                    <w:rPr>
                      <w:sz w:val="21"/>
                      <w:szCs w:val="21"/>
                    </w:rPr>
                  </w:pPr>
                  <w:r>
                    <w:rPr>
                      <w:sz w:val="21"/>
                      <w:szCs w:val="21"/>
                    </w:rPr>
                    <w:t>1</w:t>
                  </w:r>
                </w:p>
              </w:tc>
              <w:tc>
                <w:tcPr>
                  <w:tcW w:w="423" w:type="pct"/>
                  <w:vAlign w:val="center"/>
                </w:tcPr>
                <w:p w14:paraId="5F997739">
                  <w:pPr>
                    <w:jc w:val="center"/>
                    <w:rPr>
                      <w:sz w:val="21"/>
                      <w:szCs w:val="21"/>
                    </w:rPr>
                  </w:pPr>
                  <w:r>
                    <w:rPr>
                      <w:sz w:val="21"/>
                      <w:szCs w:val="21"/>
                    </w:rPr>
                    <w:t>1</w:t>
                  </w:r>
                </w:p>
              </w:tc>
              <w:tc>
                <w:tcPr>
                  <w:tcW w:w="488" w:type="pct"/>
                  <w:vAlign w:val="center"/>
                </w:tcPr>
                <w:p w14:paraId="1D7FB175">
                  <w:pPr>
                    <w:jc w:val="center"/>
                    <w:rPr>
                      <w:sz w:val="21"/>
                      <w:szCs w:val="21"/>
                    </w:rPr>
                  </w:pPr>
                  <w:r>
                    <w:rPr>
                      <w:rFonts w:hint="eastAsia"/>
                      <w:sz w:val="21"/>
                      <w:szCs w:val="21"/>
                    </w:rPr>
                    <w:t>0</w:t>
                  </w:r>
                </w:p>
              </w:tc>
              <w:tc>
                <w:tcPr>
                  <w:tcW w:w="463" w:type="pct"/>
                  <w:vAlign w:val="center"/>
                </w:tcPr>
                <w:p w14:paraId="46C7909F">
                  <w:pPr>
                    <w:jc w:val="center"/>
                    <w:rPr>
                      <w:sz w:val="21"/>
                      <w:szCs w:val="21"/>
                    </w:rPr>
                  </w:pPr>
                  <w:r>
                    <w:rPr>
                      <w:rFonts w:hint="eastAsia"/>
                      <w:sz w:val="21"/>
                      <w:szCs w:val="21"/>
                    </w:rPr>
                    <w:t>不变</w:t>
                  </w:r>
                </w:p>
              </w:tc>
            </w:tr>
            <w:tr w14:paraId="327D9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42F399CC">
                  <w:pPr>
                    <w:jc w:val="center"/>
                    <w:rPr>
                      <w:sz w:val="21"/>
                      <w:szCs w:val="21"/>
                    </w:rPr>
                  </w:pPr>
                </w:p>
              </w:tc>
              <w:tc>
                <w:tcPr>
                  <w:tcW w:w="743" w:type="pct"/>
                  <w:vMerge w:val="continue"/>
                  <w:vAlign w:val="center"/>
                </w:tcPr>
                <w:p w14:paraId="165FF543">
                  <w:pPr>
                    <w:jc w:val="center"/>
                    <w:rPr>
                      <w:sz w:val="21"/>
                      <w:szCs w:val="21"/>
                    </w:rPr>
                  </w:pPr>
                </w:p>
              </w:tc>
              <w:tc>
                <w:tcPr>
                  <w:tcW w:w="655" w:type="pct"/>
                  <w:vAlign w:val="center"/>
                </w:tcPr>
                <w:p w14:paraId="7A50D01F">
                  <w:pPr>
                    <w:jc w:val="center"/>
                    <w:rPr>
                      <w:sz w:val="21"/>
                      <w:szCs w:val="21"/>
                    </w:rPr>
                  </w:pPr>
                  <w:r>
                    <w:rPr>
                      <w:sz w:val="21"/>
                      <w:szCs w:val="21"/>
                    </w:rPr>
                    <w:t>钻井泵2#</w:t>
                  </w:r>
                </w:p>
              </w:tc>
              <w:tc>
                <w:tcPr>
                  <w:tcW w:w="1043" w:type="pct"/>
                  <w:vAlign w:val="center"/>
                </w:tcPr>
                <w:p w14:paraId="094D2BBA">
                  <w:pPr>
                    <w:jc w:val="center"/>
                    <w:rPr>
                      <w:sz w:val="21"/>
                      <w:szCs w:val="21"/>
                    </w:rPr>
                  </w:pPr>
                  <w:r>
                    <w:rPr>
                      <w:sz w:val="21"/>
                      <w:szCs w:val="21"/>
                    </w:rPr>
                    <w:t>F1000</w:t>
                  </w:r>
                </w:p>
              </w:tc>
              <w:tc>
                <w:tcPr>
                  <w:tcW w:w="504" w:type="pct"/>
                  <w:vAlign w:val="center"/>
                </w:tcPr>
                <w:p w14:paraId="709338C9">
                  <w:pPr>
                    <w:jc w:val="center"/>
                    <w:rPr>
                      <w:sz w:val="21"/>
                      <w:szCs w:val="21"/>
                    </w:rPr>
                  </w:pPr>
                  <w:r>
                    <w:rPr>
                      <w:sz w:val="21"/>
                      <w:szCs w:val="21"/>
                    </w:rPr>
                    <w:t>746kW</w:t>
                  </w:r>
                </w:p>
              </w:tc>
              <w:tc>
                <w:tcPr>
                  <w:tcW w:w="463" w:type="pct"/>
                  <w:vAlign w:val="center"/>
                </w:tcPr>
                <w:p w14:paraId="5AF67C64">
                  <w:pPr>
                    <w:jc w:val="center"/>
                    <w:rPr>
                      <w:sz w:val="21"/>
                      <w:szCs w:val="21"/>
                    </w:rPr>
                  </w:pPr>
                  <w:r>
                    <w:rPr>
                      <w:sz w:val="21"/>
                      <w:szCs w:val="21"/>
                    </w:rPr>
                    <w:t>1</w:t>
                  </w:r>
                </w:p>
              </w:tc>
              <w:tc>
                <w:tcPr>
                  <w:tcW w:w="423" w:type="pct"/>
                  <w:vAlign w:val="center"/>
                </w:tcPr>
                <w:p w14:paraId="3D0EEE75">
                  <w:pPr>
                    <w:jc w:val="center"/>
                    <w:rPr>
                      <w:sz w:val="21"/>
                      <w:szCs w:val="21"/>
                    </w:rPr>
                  </w:pPr>
                  <w:r>
                    <w:rPr>
                      <w:sz w:val="21"/>
                      <w:szCs w:val="21"/>
                    </w:rPr>
                    <w:t>1</w:t>
                  </w:r>
                </w:p>
              </w:tc>
              <w:tc>
                <w:tcPr>
                  <w:tcW w:w="488" w:type="pct"/>
                  <w:vAlign w:val="center"/>
                </w:tcPr>
                <w:p w14:paraId="00DEC816">
                  <w:pPr>
                    <w:jc w:val="center"/>
                    <w:rPr>
                      <w:sz w:val="21"/>
                      <w:szCs w:val="21"/>
                    </w:rPr>
                  </w:pPr>
                  <w:r>
                    <w:rPr>
                      <w:rFonts w:hint="eastAsia"/>
                      <w:sz w:val="21"/>
                      <w:szCs w:val="21"/>
                    </w:rPr>
                    <w:t>0</w:t>
                  </w:r>
                </w:p>
              </w:tc>
              <w:tc>
                <w:tcPr>
                  <w:tcW w:w="463" w:type="pct"/>
                  <w:vAlign w:val="center"/>
                </w:tcPr>
                <w:p w14:paraId="7DAEB5B3">
                  <w:pPr>
                    <w:jc w:val="center"/>
                    <w:rPr>
                      <w:sz w:val="21"/>
                      <w:szCs w:val="21"/>
                    </w:rPr>
                  </w:pPr>
                  <w:r>
                    <w:rPr>
                      <w:rFonts w:hint="eastAsia"/>
                      <w:sz w:val="21"/>
                      <w:szCs w:val="21"/>
                    </w:rPr>
                    <w:t>不变</w:t>
                  </w:r>
                </w:p>
              </w:tc>
            </w:tr>
            <w:tr w14:paraId="7C6B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86444DC">
                  <w:pPr>
                    <w:jc w:val="center"/>
                    <w:rPr>
                      <w:sz w:val="21"/>
                      <w:szCs w:val="21"/>
                    </w:rPr>
                  </w:pPr>
                </w:p>
              </w:tc>
              <w:tc>
                <w:tcPr>
                  <w:tcW w:w="743" w:type="pct"/>
                  <w:vMerge w:val="continue"/>
                  <w:vAlign w:val="center"/>
                </w:tcPr>
                <w:p w14:paraId="59B2738D">
                  <w:pPr>
                    <w:jc w:val="center"/>
                    <w:rPr>
                      <w:sz w:val="21"/>
                      <w:szCs w:val="21"/>
                    </w:rPr>
                  </w:pPr>
                </w:p>
              </w:tc>
              <w:tc>
                <w:tcPr>
                  <w:tcW w:w="655" w:type="pct"/>
                  <w:vAlign w:val="center"/>
                </w:tcPr>
                <w:p w14:paraId="2E07DAF0">
                  <w:pPr>
                    <w:jc w:val="center"/>
                    <w:rPr>
                      <w:sz w:val="21"/>
                      <w:szCs w:val="21"/>
                    </w:rPr>
                  </w:pPr>
                  <w:r>
                    <w:rPr>
                      <w:sz w:val="21"/>
                      <w:szCs w:val="21"/>
                    </w:rPr>
                    <w:t>钻井液罐</w:t>
                  </w:r>
                </w:p>
              </w:tc>
              <w:tc>
                <w:tcPr>
                  <w:tcW w:w="1043" w:type="pct"/>
                  <w:vAlign w:val="center"/>
                </w:tcPr>
                <w:p w14:paraId="7E67068B">
                  <w:pPr>
                    <w:jc w:val="center"/>
                    <w:rPr>
                      <w:sz w:val="21"/>
                      <w:szCs w:val="21"/>
                    </w:rPr>
                  </w:pPr>
                  <w:r>
                    <w:rPr>
                      <w:sz w:val="21"/>
                      <w:szCs w:val="21"/>
                    </w:rPr>
                    <w:t>/</w:t>
                  </w:r>
                </w:p>
              </w:tc>
              <w:tc>
                <w:tcPr>
                  <w:tcW w:w="504" w:type="pct"/>
                  <w:vAlign w:val="center"/>
                </w:tcPr>
                <w:p w14:paraId="51730F23">
                  <w:pPr>
                    <w:jc w:val="center"/>
                    <w:rPr>
                      <w:sz w:val="21"/>
                      <w:szCs w:val="21"/>
                    </w:rPr>
                  </w:pPr>
                  <w:r>
                    <w:rPr>
                      <w:sz w:val="21"/>
                      <w:szCs w:val="21"/>
                    </w:rPr>
                    <w:t>/</w:t>
                  </w:r>
                </w:p>
              </w:tc>
              <w:tc>
                <w:tcPr>
                  <w:tcW w:w="463" w:type="pct"/>
                  <w:vAlign w:val="center"/>
                </w:tcPr>
                <w:p w14:paraId="4618894E">
                  <w:pPr>
                    <w:jc w:val="center"/>
                    <w:rPr>
                      <w:sz w:val="21"/>
                      <w:szCs w:val="21"/>
                    </w:rPr>
                  </w:pPr>
                  <w:r>
                    <w:rPr>
                      <w:sz w:val="21"/>
                      <w:szCs w:val="21"/>
                    </w:rPr>
                    <w:t>7</w:t>
                  </w:r>
                </w:p>
              </w:tc>
              <w:tc>
                <w:tcPr>
                  <w:tcW w:w="423" w:type="pct"/>
                  <w:vAlign w:val="center"/>
                </w:tcPr>
                <w:p w14:paraId="36585C23">
                  <w:pPr>
                    <w:jc w:val="center"/>
                    <w:rPr>
                      <w:sz w:val="21"/>
                      <w:szCs w:val="21"/>
                    </w:rPr>
                  </w:pPr>
                  <w:r>
                    <w:rPr>
                      <w:sz w:val="21"/>
                      <w:szCs w:val="21"/>
                    </w:rPr>
                    <w:t>7</w:t>
                  </w:r>
                </w:p>
              </w:tc>
              <w:tc>
                <w:tcPr>
                  <w:tcW w:w="488" w:type="pct"/>
                  <w:vAlign w:val="center"/>
                </w:tcPr>
                <w:p w14:paraId="76D38CA5">
                  <w:pPr>
                    <w:jc w:val="center"/>
                    <w:rPr>
                      <w:sz w:val="21"/>
                      <w:szCs w:val="21"/>
                    </w:rPr>
                  </w:pPr>
                  <w:r>
                    <w:rPr>
                      <w:rFonts w:hint="eastAsia"/>
                      <w:sz w:val="21"/>
                      <w:szCs w:val="21"/>
                    </w:rPr>
                    <w:t>0</w:t>
                  </w:r>
                </w:p>
              </w:tc>
              <w:tc>
                <w:tcPr>
                  <w:tcW w:w="463" w:type="pct"/>
                  <w:vAlign w:val="center"/>
                </w:tcPr>
                <w:p w14:paraId="2CC77F4B">
                  <w:pPr>
                    <w:jc w:val="center"/>
                    <w:rPr>
                      <w:sz w:val="21"/>
                      <w:szCs w:val="21"/>
                    </w:rPr>
                  </w:pPr>
                  <w:r>
                    <w:rPr>
                      <w:rFonts w:hint="eastAsia"/>
                      <w:sz w:val="21"/>
                      <w:szCs w:val="21"/>
                    </w:rPr>
                    <w:t>不变</w:t>
                  </w:r>
                </w:p>
              </w:tc>
            </w:tr>
            <w:tr w14:paraId="1CFD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351F5804">
                  <w:pPr>
                    <w:jc w:val="center"/>
                    <w:rPr>
                      <w:sz w:val="21"/>
                      <w:szCs w:val="21"/>
                    </w:rPr>
                  </w:pPr>
                </w:p>
              </w:tc>
              <w:tc>
                <w:tcPr>
                  <w:tcW w:w="743" w:type="pct"/>
                  <w:vMerge w:val="continue"/>
                  <w:vAlign w:val="center"/>
                </w:tcPr>
                <w:p w14:paraId="0E80586A">
                  <w:pPr>
                    <w:jc w:val="center"/>
                    <w:rPr>
                      <w:sz w:val="21"/>
                      <w:szCs w:val="21"/>
                    </w:rPr>
                  </w:pPr>
                </w:p>
              </w:tc>
              <w:tc>
                <w:tcPr>
                  <w:tcW w:w="655" w:type="pct"/>
                  <w:vAlign w:val="center"/>
                </w:tcPr>
                <w:p w14:paraId="6CCC8E81">
                  <w:pPr>
                    <w:jc w:val="center"/>
                    <w:rPr>
                      <w:sz w:val="21"/>
                      <w:szCs w:val="21"/>
                    </w:rPr>
                  </w:pPr>
                  <w:r>
                    <w:rPr>
                      <w:sz w:val="21"/>
                      <w:szCs w:val="21"/>
                    </w:rPr>
                    <w:t>搅拌器</w:t>
                  </w:r>
                </w:p>
              </w:tc>
              <w:tc>
                <w:tcPr>
                  <w:tcW w:w="1043" w:type="pct"/>
                  <w:vAlign w:val="center"/>
                </w:tcPr>
                <w:p w14:paraId="7E83ED4F">
                  <w:pPr>
                    <w:jc w:val="center"/>
                    <w:rPr>
                      <w:sz w:val="21"/>
                      <w:szCs w:val="21"/>
                    </w:rPr>
                  </w:pPr>
                  <w:r>
                    <w:rPr>
                      <w:sz w:val="21"/>
                      <w:szCs w:val="21"/>
                    </w:rPr>
                    <w:t>NJ-7.5</w:t>
                  </w:r>
                </w:p>
              </w:tc>
              <w:tc>
                <w:tcPr>
                  <w:tcW w:w="504" w:type="pct"/>
                  <w:vAlign w:val="center"/>
                </w:tcPr>
                <w:p w14:paraId="2633F90B">
                  <w:pPr>
                    <w:jc w:val="center"/>
                    <w:rPr>
                      <w:sz w:val="21"/>
                      <w:szCs w:val="21"/>
                    </w:rPr>
                  </w:pPr>
                  <w:r>
                    <w:rPr>
                      <w:sz w:val="21"/>
                      <w:szCs w:val="21"/>
                    </w:rPr>
                    <w:t>/</w:t>
                  </w:r>
                </w:p>
              </w:tc>
              <w:tc>
                <w:tcPr>
                  <w:tcW w:w="463" w:type="pct"/>
                  <w:vAlign w:val="center"/>
                </w:tcPr>
                <w:p w14:paraId="32E5F2E3">
                  <w:pPr>
                    <w:jc w:val="center"/>
                    <w:rPr>
                      <w:sz w:val="21"/>
                      <w:szCs w:val="21"/>
                    </w:rPr>
                  </w:pPr>
                  <w:r>
                    <w:rPr>
                      <w:sz w:val="21"/>
                      <w:szCs w:val="21"/>
                    </w:rPr>
                    <w:t>8</w:t>
                  </w:r>
                </w:p>
              </w:tc>
              <w:tc>
                <w:tcPr>
                  <w:tcW w:w="423" w:type="pct"/>
                  <w:vAlign w:val="center"/>
                </w:tcPr>
                <w:p w14:paraId="3AA3CAC7">
                  <w:pPr>
                    <w:jc w:val="center"/>
                    <w:rPr>
                      <w:sz w:val="21"/>
                      <w:szCs w:val="21"/>
                    </w:rPr>
                  </w:pPr>
                  <w:r>
                    <w:rPr>
                      <w:sz w:val="21"/>
                      <w:szCs w:val="21"/>
                    </w:rPr>
                    <w:t>8</w:t>
                  </w:r>
                </w:p>
              </w:tc>
              <w:tc>
                <w:tcPr>
                  <w:tcW w:w="488" w:type="pct"/>
                  <w:vAlign w:val="center"/>
                </w:tcPr>
                <w:p w14:paraId="38A705BE">
                  <w:pPr>
                    <w:jc w:val="center"/>
                    <w:rPr>
                      <w:sz w:val="21"/>
                      <w:szCs w:val="21"/>
                    </w:rPr>
                  </w:pPr>
                  <w:r>
                    <w:rPr>
                      <w:rFonts w:hint="eastAsia"/>
                      <w:sz w:val="21"/>
                      <w:szCs w:val="21"/>
                    </w:rPr>
                    <w:t>0</w:t>
                  </w:r>
                </w:p>
              </w:tc>
              <w:tc>
                <w:tcPr>
                  <w:tcW w:w="463" w:type="pct"/>
                  <w:vAlign w:val="center"/>
                </w:tcPr>
                <w:p w14:paraId="7A940E81">
                  <w:pPr>
                    <w:jc w:val="center"/>
                    <w:rPr>
                      <w:sz w:val="21"/>
                      <w:szCs w:val="21"/>
                    </w:rPr>
                  </w:pPr>
                  <w:r>
                    <w:rPr>
                      <w:rFonts w:hint="eastAsia"/>
                      <w:sz w:val="21"/>
                      <w:szCs w:val="21"/>
                    </w:rPr>
                    <w:t>不变</w:t>
                  </w:r>
                </w:p>
              </w:tc>
            </w:tr>
            <w:tr w14:paraId="42F7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411DFBA1">
                  <w:pPr>
                    <w:jc w:val="center"/>
                    <w:rPr>
                      <w:sz w:val="21"/>
                      <w:szCs w:val="21"/>
                    </w:rPr>
                  </w:pPr>
                </w:p>
              </w:tc>
              <w:tc>
                <w:tcPr>
                  <w:tcW w:w="743" w:type="pct"/>
                  <w:vMerge w:val="continue"/>
                  <w:vAlign w:val="center"/>
                </w:tcPr>
                <w:p w14:paraId="364B2D00">
                  <w:pPr>
                    <w:jc w:val="center"/>
                    <w:rPr>
                      <w:sz w:val="21"/>
                      <w:szCs w:val="21"/>
                    </w:rPr>
                  </w:pPr>
                </w:p>
              </w:tc>
              <w:tc>
                <w:tcPr>
                  <w:tcW w:w="655" w:type="pct"/>
                  <w:vAlign w:val="center"/>
                </w:tcPr>
                <w:p w14:paraId="7D0A26D9">
                  <w:pPr>
                    <w:jc w:val="center"/>
                    <w:rPr>
                      <w:sz w:val="21"/>
                      <w:szCs w:val="21"/>
                    </w:rPr>
                  </w:pPr>
                  <w:r>
                    <w:rPr>
                      <w:sz w:val="21"/>
                      <w:szCs w:val="21"/>
                    </w:rPr>
                    <w:t>加重装置</w:t>
                  </w:r>
                </w:p>
              </w:tc>
              <w:tc>
                <w:tcPr>
                  <w:tcW w:w="1043" w:type="pct"/>
                  <w:vAlign w:val="center"/>
                </w:tcPr>
                <w:p w14:paraId="09814879">
                  <w:pPr>
                    <w:jc w:val="center"/>
                    <w:rPr>
                      <w:sz w:val="21"/>
                      <w:szCs w:val="21"/>
                    </w:rPr>
                  </w:pPr>
                  <w:r>
                    <w:rPr>
                      <w:sz w:val="21"/>
                      <w:szCs w:val="21"/>
                    </w:rPr>
                    <w:t>/</w:t>
                  </w:r>
                </w:p>
              </w:tc>
              <w:tc>
                <w:tcPr>
                  <w:tcW w:w="504" w:type="pct"/>
                  <w:vAlign w:val="center"/>
                </w:tcPr>
                <w:p w14:paraId="3FC60454">
                  <w:pPr>
                    <w:jc w:val="center"/>
                    <w:rPr>
                      <w:sz w:val="21"/>
                      <w:szCs w:val="21"/>
                    </w:rPr>
                  </w:pPr>
                  <w:r>
                    <w:rPr>
                      <w:sz w:val="21"/>
                      <w:szCs w:val="21"/>
                    </w:rPr>
                    <w:t>/</w:t>
                  </w:r>
                </w:p>
              </w:tc>
              <w:tc>
                <w:tcPr>
                  <w:tcW w:w="463" w:type="pct"/>
                  <w:vAlign w:val="center"/>
                </w:tcPr>
                <w:p w14:paraId="2AA0D11A">
                  <w:pPr>
                    <w:jc w:val="center"/>
                    <w:rPr>
                      <w:sz w:val="21"/>
                      <w:szCs w:val="21"/>
                    </w:rPr>
                  </w:pPr>
                  <w:r>
                    <w:rPr>
                      <w:sz w:val="21"/>
                      <w:szCs w:val="21"/>
                    </w:rPr>
                    <w:t>1</w:t>
                  </w:r>
                </w:p>
              </w:tc>
              <w:tc>
                <w:tcPr>
                  <w:tcW w:w="423" w:type="pct"/>
                  <w:vAlign w:val="center"/>
                </w:tcPr>
                <w:p w14:paraId="768289F7">
                  <w:pPr>
                    <w:jc w:val="center"/>
                    <w:rPr>
                      <w:sz w:val="21"/>
                      <w:szCs w:val="21"/>
                    </w:rPr>
                  </w:pPr>
                  <w:r>
                    <w:rPr>
                      <w:sz w:val="21"/>
                      <w:szCs w:val="21"/>
                    </w:rPr>
                    <w:t>1</w:t>
                  </w:r>
                </w:p>
              </w:tc>
              <w:tc>
                <w:tcPr>
                  <w:tcW w:w="488" w:type="pct"/>
                  <w:vAlign w:val="center"/>
                </w:tcPr>
                <w:p w14:paraId="08F3B96D">
                  <w:pPr>
                    <w:jc w:val="center"/>
                    <w:rPr>
                      <w:sz w:val="21"/>
                      <w:szCs w:val="21"/>
                    </w:rPr>
                  </w:pPr>
                  <w:r>
                    <w:rPr>
                      <w:rFonts w:hint="eastAsia"/>
                      <w:sz w:val="21"/>
                      <w:szCs w:val="21"/>
                    </w:rPr>
                    <w:t>0</w:t>
                  </w:r>
                </w:p>
              </w:tc>
              <w:tc>
                <w:tcPr>
                  <w:tcW w:w="463" w:type="pct"/>
                  <w:vAlign w:val="center"/>
                </w:tcPr>
                <w:p w14:paraId="091D4545">
                  <w:pPr>
                    <w:jc w:val="center"/>
                    <w:rPr>
                      <w:sz w:val="21"/>
                      <w:szCs w:val="21"/>
                    </w:rPr>
                  </w:pPr>
                  <w:r>
                    <w:rPr>
                      <w:rFonts w:hint="eastAsia"/>
                      <w:sz w:val="21"/>
                      <w:szCs w:val="21"/>
                    </w:rPr>
                    <w:t>不变</w:t>
                  </w:r>
                </w:p>
              </w:tc>
            </w:tr>
            <w:tr w14:paraId="3D5C5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E33064C">
                  <w:pPr>
                    <w:jc w:val="center"/>
                    <w:rPr>
                      <w:sz w:val="21"/>
                      <w:szCs w:val="21"/>
                    </w:rPr>
                  </w:pPr>
                </w:p>
              </w:tc>
              <w:tc>
                <w:tcPr>
                  <w:tcW w:w="743" w:type="pct"/>
                  <w:vMerge w:val="continue"/>
                  <w:vAlign w:val="center"/>
                </w:tcPr>
                <w:p w14:paraId="26855D70">
                  <w:pPr>
                    <w:jc w:val="center"/>
                    <w:rPr>
                      <w:sz w:val="21"/>
                      <w:szCs w:val="21"/>
                    </w:rPr>
                  </w:pPr>
                </w:p>
              </w:tc>
              <w:tc>
                <w:tcPr>
                  <w:tcW w:w="655" w:type="pct"/>
                  <w:vAlign w:val="center"/>
                </w:tcPr>
                <w:p w14:paraId="655E64A2">
                  <w:pPr>
                    <w:jc w:val="center"/>
                    <w:rPr>
                      <w:sz w:val="21"/>
                      <w:szCs w:val="21"/>
                    </w:rPr>
                  </w:pPr>
                  <w:r>
                    <w:rPr>
                      <w:sz w:val="21"/>
                      <w:szCs w:val="21"/>
                    </w:rPr>
                    <w:t>自动灌浆装置</w:t>
                  </w:r>
                </w:p>
              </w:tc>
              <w:tc>
                <w:tcPr>
                  <w:tcW w:w="1043" w:type="pct"/>
                  <w:vAlign w:val="center"/>
                </w:tcPr>
                <w:p w14:paraId="7147779C">
                  <w:pPr>
                    <w:jc w:val="center"/>
                    <w:rPr>
                      <w:sz w:val="21"/>
                      <w:szCs w:val="21"/>
                    </w:rPr>
                  </w:pPr>
                  <w:r>
                    <w:rPr>
                      <w:sz w:val="21"/>
                      <w:szCs w:val="21"/>
                    </w:rPr>
                    <w:t>/</w:t>
                  </w:r>
                </w:p>
              </w:tc>
              <w:tc>
                <w:tcPr>
                  <w:tcW w:w="504" w:type="pct"/>
                  <w:vAlign w:val="center"/>
                </w:tcPr>
                <w:p w14:paraId="5DC496ED">
                  <w:pPr>
                    <w:jc w:val="center"/>
                    <w:rPr>
                      <w:sz w:val="21"/>
                      <w:szCs w:val="21"/>
                    </w:rPr>
                  </w:pPr>
                  <w:r>
                    <w:rPr>
                      <w:sz w:val="21"/>
                      <w:szCs w:val="21"/>
                    </w:rPr>
                    <w:t>/</w:t>
                  </w:r>
                </w:p>
              </w:tc>
              <w:tc>
                <w:tcPr>
                  <w:tcW w:w="463" w:type="pct"/>
                  <w:vAlign w:val="center"/>
                </w:tcPr>
                <w:p w14:paraId="59DEFAA8">
                  <w:pPr>
                    <w:jc w:val="center"/>
                    <w:rPr>
                      <w:sz w:val="21"/>
                      <w:szCs w:val="21"/>
                    </w:rPr>
                  </w:pPr>
                  <w:r>
                    <w:rPr>
                      <w:sz w:val="21"/>
                      <w:szCs w:val="21"/>
                    </w:rPr>
                    <w:t>1</w:t>
                  </w:r>
                </w:p>
              </w:tc>
              <w:tc>
                <w:tcPr>
                  <w:tcW w:w="423" w:type="pct"/>
                  <w:vAlign w:val="center"/>
                </w:tcPr>
                <w:p w14:paraId="5A42E2D6">
                  <w:pPr>
                    <w:jc w:val="center"/>
                    <w:rPr>
                      <w:sz w:val="21"/>
                      <w:szCs w:val="21"/>
                    </w:rPr>
                  </w:pPr>
                  <w:r>
                    <w:rPr>
                      <w:sz w:val="21"/>
                      <w:szCs w:val="21"/>
                    </w:rPr>
                    <w:t>1</w:t>
                  </w:r>
                </w:p>
              </w:tc>
              <w:tc>
                <w:tcPr>
                  <w:tcW w:w="488" w:type="pct"/>
                  <w:vAlign w:val="center"/>
                </w:tcPr>
                <w:p w14:paraId="5305037B">
                  <w:pPr>
                    <w:jc w:val="center"/>
                    <w:rPr>
                      <w:sz w:val="21"/>
                      <w:szCs w:val="21"/>
                    </w:rPr>
                  </w:pPr>
                  <w:r>
                    <w:rPr>
                      <w:rFonts w:hint="eastAsia"/>
                      <w:sz w:val="21"/>
                      <w:szCs w:val="21"/>
                    </w:rPr>
                    <w:t>0</w:t>
                  </w:r>
                </w:p>
              </w:tc>
              <w:tc>
                <w:tcPr>
                  <w:tcW w:w="463" w:type="pct"/>
                  <w:vAlign w:val="center"/>
                </w:tcPr>
                <w:p w14:paraId="02637A6D">
                  <w:pPr>
                    <w:jc w:val="center"/>
                    <w:rPr>
                      <w:sz w:val="21"/>
                      <w:szCs w:val="21"/>
                    </w:rPr>
                  </w:pPr>
                  <w:r>
                    <w:rPr>
                      <w:rFonts w:hint="eastAsia"/>
                      <w:sz w:val="21"/>
                      <w:szCs w:val="21"/>
                    </w:rPr>
                    <w:t>不变</w:t>
                  </w:r>
                </w:p>
              </w:tc>
            </w:tr>
            <w:tr w14:paraId="43409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1B18F9D6">
                  <w:pPr>
                    <w:jc w:val="center"/>
                    <w:rPr>
                      <w:sz w:val="21"/>
                      <w:szCs w:val="21"/>
                    </w:rPr>
                  </w:pPr>
                  <w:r>
                    <w:rPr>
                      <w:sz w:val="21"/>
                      <w:szCs w:val="21"/>
                    </w:rPr>
                    <w:t>6</w:t>
                  </w:r>
                </w:p>
              </w:tc>
              <w:tc>
                <w:tcPr>
                  <w:tcW w:w="743" w:type="pct"/>
                  <w:vMerge w:val="restart"/>
                  <w:vAlign w:val="center"/>
                </w:tcPr>
                <w:p w14:paraId="28355904">
                  <w:pPr>
                    <w:jc w:val="center"/>
                    <w:rPr>
                      <w:sz w:val="21"/>
                      <w:szCs w:val="21"/>
                    </w:rPr>
                  </w:pPr>
                  <w:r>
                    <w:rPr>
                      <w:sz w:val="21"/>
                      <w:szCs w:val="21"/>
                    </w:rPr>
                    <w:t>普通钻机动力系统</w:t>
                  </w:r>
                </w:p>
              </w:tc>
              <w:tc>
                <w:tcPr>
                  <w:tcW w:w="655" w:type="pct"/>
                  <w:vAlign w:val="center"/>
                </w:tcPr>
                <w:p w14:paraId="21A4B2DD">
                  <w:pPr>
                    <w:jc w:val="center"/>
                    <w:rPr>
                      <w:sz w:val="21"/>
                      <w:szCs w:val="21"/>
                    </w:rPr>
                  </w:pPr>
                  <w:r>
                    <w:rPr>
                      <w:sz w:val="21"/>
                      <w:szCs w:val="21"/>
                    </w:rPr>
                    <w:t>柴油机1#</w:t>
                  </w:r>
                </w:p>
              </w:tc>
              <w:tc>
                <w:tcPr>
                  <w:tcW w:w="1043" w:type="pct"/>
                  <w:vAlign w:val="center"/>
                </w:tcPr>
                <w:p w14:paraId="466E9BE8">
                  <w:pPr>
                    <w:jc w:val="center"/>
                    <w:rPr>
                      <w:sz w:val="21"/>
                      <w:szCs w:val="21"/>
                    </w:rPr>
                  </w:pPr>
                  <w:r>
                    <w:rPr>
                      <w:sz w:val="21"/>
                      <w:szCs w:val="21"/>
                    </w:rPr>
                    <w:t>VOLVO300</w:t>
                  </w:r>
                </w:p>
              </w:tc>
              <w:tc>
                <w:tcPr>
                  <w:tcW w:w="504" w:type="pct"/>
                  <w:vAlign w:val="center"/>
                </w:tcPr>
                <w:p w14:paraId="1C5FE209">
                  <w:pPr>
                    <w:jc w:val="center"/>
                    <w:rPr>
                      <w:sz w:val="21"/>
                      <w:szCs w:val="21"/>
                    </w:rPr>
                  </w:pPr>
                  <w:r>
                    <w:rPr>
                      <w:sz w:val="21"/>
                      <w:szCs w:val="21"/>
                    </w:rPr>
                    <w:t>300KW82</w:t>
                  </w:r>
                </w:p>
              </w:tc>
              <w:tc>
                <w:tcPr>
                  <w:tcW w:w="463" w:type="pct"/>
                  <w:vAlign w:val="center"/>
                </w:tcPr>
                <w:p w14:paraId="256F2313">
                  <w:pPr>
                    <w:jc w:val="center"/>
                    <w:rPr>
                      <w:sz w:val="21"/>
                      <w:szCs w:val="21"/>
                    </w:rPr>
                  </w:pPr>
                  <w:r>
                    <w:rPr>
                      <w:sz w:val="21"/>
                      <w:szCs w:val="21"/>
                    </w:rPr>
                    <w:t>1</w:t>
                  </w:r>
                </w:p>
              </w:tc>
              <w:tc>
                <w:tcPr>
                  <w:tcW w:w="423" w:type="pct"/>
                  <w:vAlign w:val="center"/>
                </w:tcPr>
                <w:p w14:paraId="33A16566">
                  <w:pPr>
                    <w:jc w:val="center"/>
                    <w:rPr>
                      <w:sz w:val="21"/>
                      <w:szCs w:val="21"/>
                    </w:rPr>
                  </w:pPr>
                  <w:r>
                    <w:rPr>
                      <w:sz w:val="21"/>
                      <w:szCs w:val="21"/>
                    </w:rPr>
                    <w:t>1</w:t>
                  </w:r>
                </w:p>
              </w:tc>
              <w:tc>
                <w:tcPr>
                  <w:tcW w:w="488" w:type="pct"/>
                  <w:vAlign w:val="center"/>
                </w:tcPr>
                <w:p w14:paraId="51BBB732">
                  <w:pPr>
                    <w:jc w:val="center"/>
                    <w:rPr>
                      <w:sz w:val="21"/>
                      <w:szCs w:val="21"/>
                    </w:rPr>
                  </w:pPr>
                  <w:r>
                    <w:rPr>
                      <w:rFonts w:hint="eastAsia"/>
                      <w:sz w:val="21"/>
                      <w:szCs w:val="21"/>
                    </w:rPr>
                    <w:t>0</w:t>
                  </w:r>
                </w:p>
              </w:tc>
              <w:tc>
                <w:tcPr>
                  <w:tcW w:w="463" w:type="pct"/>
                  <w:vAlign w:val="center"/>
                </w:tcPr>
                <w:p w14:paraId="296FDB66">
                  <w:pPr>
                    <w:jc w:val="center"/>
                    <w:rPr>
                      <w:sz w:val="21"/>
                      <w:szCs w:val="21"/>
                    </w:rPr>
                  </w:pPr>
                  <w:r>
                    <w:rPr>
                      <w:rFonts w:hint="eastAsia"/>
                      <w:sz w:val="21"/>
                      <w:szCs w:val="21"/>
                    </w:rPr>
                    <w:t>不变</w:t>
                  </w:r>
                </w:p>
              </w:tc>
            </w:tr>
            <w:tr w14:paraId="09C4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EF6496A">
                  <w:pPr>
                    <w:jc w:val="center"/>
                    <w:rPr>
                      <w:sz w:val="21"/>
                      <w:szCs w:val="21"/>
                    </w:rPr>
                  </w:pPr>
                </w:p>
              </w:tc>
              <w:tc>
                <w:tcPr>
                  <w:tcW w:w="743" w:type="pct"/>
                  <w:vMerge w:val="continue"/>
                  <w:vAlign w:val="center"/>
                </w:tcPr>
                <w:p w14:paraId="696B3954">
                  <w:pPr>
                    <w:jc w:val="center"/>
                    <w:rPr>
                      <w:sz w:val="21"/>
                      <w:szCs w:val="21"/>
                    </w:rPr>
                  </w:pPr>
                </w:p>
              </w:tc>
              <w:tc>
                <w:tcPr>
                  <w:tcW w:w="655" w:type="pct"/>
                  <w:vAlign w:val="center"/>
                </w:tcPr>
                <w:p w14:paraId="518332D7">
                  <w:pPr>
                    <w:jc w:val="center"/>
                    <w:rPr>
                      <w:sz w:val="21"/>
                      <w:szCs w:val="21"/>
                    </w:rPr>
                  </w:pPr>
                  <w:r>
                    <w:rPr>
                      <w:sz w:val="21"/>
                      <w:szCs w:val="21"/>
                    </w:rPr>
                    <w:t>柴油机2#</w:t>
                  </w:r>
                </w:p>
              </w:tc>
              <w:tc>
                <w:tcPr>
                  <w:tcW w:w="1043" w:type="pct"/>
                  <w:vAlign w:val="center"/>
                </w:tcPr>
                <w:p w14:paraId="31424E74">
                  <w:pPr>
                    <w:jc w:val="center"/>
                    <w:rPr>
                      <w:sz w:val="21"/>
                      <w:szCs w:val="21"/>
                    </w:rPr>
                  </w:pPr>
                  <w:r>
                    <w:rPr>
                      <w:sz w:val="21"/>
                      <w:szCs w:val="21"/>
                    </w:rPr>
                    <w:t>VOLVO300</w:t>
                  </w:r>
                </w:p>
              </w:tc>
              <w:tc>
                <w:tcPr>
                  <w:tcW w:w="504" w:type="pct"/>
                  <w:vAlign w:val="center"/>
                </w:tcPr>
                <w:p w14:paraId="57C884A4">
                  <w:pPr>
                    <w:jc w:val="center"/>
                    <w:rPr>
                      <w:sz w:val="21"/>
                      <w:szCs w:val="21"/>
                    </w:rPr>
                  </w:pPr>
                  <w:r>
                    <w:rPr>
                      <w:sz w:val="21"/>
                      <w:szCs w:val="21"/>
                    </w:rPr>
                    <w:t>300KW82</w:t>
                  </w:r>
                </w:p>
              </w:tc>
              <w:tc>
                <w:tcPr>
                  <w:tcW w:w="463" w:type="pct"/>
                  <w:vAlign w:val="center"/>
                </w:tcPr>
                <w:p w14:paraId="429572E0">
                  <w:pPr>
                    <w:jc w:val="center"/>
                    <w:rPr>
                      <w:sz w:val="21"/>
                      <w:szCs w:val="21"/>
                    </w:rPr>
                  </w:pPr>
                  <w:r>
                    <w:rPr>
                      <w:sz w:val="21"/>
                      <w:szCs w:val="21"/>
                    </w:rPr>
                    <w:t>1</w:t>
                  </w:r>
                </w:p>
              </w:tc>
              <w:tc>
                <w:tcPr>
                  <w:tcW w:w="423" w:type="pct"/>
                  <w:vAlign w:val="center"/>
                </w:tcPr>
                <w:p w14:paraId="7A64D968">
                  <w:pPr>
                    <w:jc w:val="center"/>
                    <w:rPr>
                      <w:sz w:val="21"/>
                      <w:szCs w:val="21"/>
                    </w:rPr>
                  </w:pPr>
                  <w:r>
                    <w:rPr>
                      <w:sz w:val="21"/>
                      <w:szCs w:val="21"/>
                    </w:rPr>
                    <w:t>1</w:t>
                  </w:r>
                </w:p>
              </w:tc>
              <w:tc>
                <w:tcPr>
                  <w:tcW w:w="488" w:type="pct"/>
                  <w:vAlign w:val="center"/>
                </w:tcPr>
                <w:p w14:paraId="09F5696A">
                  <w:pPr>
                    <w:jc w:val="center"/>
                    <w:rPr>
                      <w:sz w:val="21"/>
                      <w:szCs w:val="21"/>
                    </w:rPr>
                  </w:pPr>
                  <w:r>
                    <w:rPr>
                      <w:rFonts w:hint="eastAsia"/>
                      <w:sz w:val="21"/>
                      <w:szCs w:val="21"/>
                    </w:rPr>
                    <w:t>0</w:t>
                  </w:r>
                </w:p>
              </w:tc>
              <w:tc>
                <w:tcPr>
                  <w:tcW w:w="463" w:type="pct"/>
                  <w:vAlign w:val="center"/>
                </w:tcPr>
                <w:p w14:paraId="26D9BA16">
                  <w:pPr>
                    <w:jc w:val="center"/>
                    <w:rPr>
                      <w:sz w:val="21"/>
                      <w:szCs w:val="21"/>
                    </w:rPr>
                  </w:pPr>
                  <w:r>
                    <w:rPr>
                      <w:rFonts w:hint="eastAsia"/>
                      <w:sz w:val="21"/>
                      <w:szCs w:val="21"/>
                    </w:rPr>
                    <w:t>不变</w:t>
                  </w:r>
                </w:p>
              </w:tc>
            </w:tr>
            <w:tr w14:paraId="3610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Align w:val="center"/>
                </w:tcPr>
                <w:p w14:paraId="588B720B">
                  <w:pPr>
                    <w:jc w:val="center"/>
                    <w:rPr>
                      <w:sz w:val="21"/>
                      <w:szCs w:val="21"/>
                    </w:rPr>
                  </w:pPr>
                  <w:r>
                    <w:rPr>
                      <w:sz w:val="21"/>
                      <w:szCs w:val="21"/>
                    </w:rPr>
                    <w:t>7</w:t>
                  </w:r>
                </w:p>
              </w:tc>
              <w:tc>
                <w:tcPr>
                  <w:tcW w:w="743" w:type="pct"/>
                  <w:vAlign w:val="center"/>
                </w:tcPr>
                <w:p w14:paraId="78A30016">
                  <w:pPr>
                    <w:jc w:val="center"/>
                    <w:rPr>
                      <w:sz w:val="21"/>
                      <w:szCs w:val="21"/>
                    </w:rPr>
                  </w:pPr>
                  <w:r>
                    <w:rPr>
                      <w:sz w:val="21"/>
                      <w:szCs w:val="21"/>
                    </w:rPr>
                    <w:t>发电机组</w:t>
                  </w:r>
                </w:p>
              </w:tc>
              <w:tc>
                <w:tcPr>
                  <w:tcW w:w="655" w:type="pct"/>
                  <w:vAlign w:val="center"/>
                </w:tcPr>
                <w:p w14:paraId="20474202">
                  <w:pPr>
                    <w:jc w:val="center"/>
                    <w:rPr>
                      <w:sz w:val="21"/>
                      <w:szCs w:val="21"/>
                    </w:rPr>
                  </w:pPr>
                  <w:r>
                    <w:rPr>
                      <w:sz w:val="21"/>
                      <w:szCs w:val="21"/>
                    </w:rPr>
                    <w:t>发电机1#</w:t>
                  </w:r>
                </w:p>
              </w:tc>
              <w:tc>
                <w:tcPr>
                  <w:tcW w:w="1043" w:type="pct"/>
                  <w:vAlign w:val="center"/>
                </w:tcPr>
                <w:p w14:paraId="68BBFD7F">
                  <w:pPr>
                    <w:jc w:val="center"/>
                    <w:rPr>
                      <w:sz w:val="21"/>
                      <w:szCs w:val="21"/>
                    </w:rPr>
                  </w:pPr>
                  <w:r>
                    <w:rPr>
                      <w:sz w:val="21"/>
                      <w:szCs w:val="21"/>
                    </w:rPr>
                    <w:t>C15</w:t>
                  </w:r>
                </w:p>
              </w:tc>
              <w:tc>
                <w:tcPr>
                  <w:tcW w:w="504" w:type="pct"/>
                  <w:vAlign w:val="center"/>
                </w:tcPr>
                <w:p w14:paraId="0EF8E8E0">
                  <w:pPr>
                    <w:jc w:val="center"/>
                    <w:rPr>
                      <w:sz w:val="21"/>
                      <w:szCs w:val="21"/>
                    </w:rPr>
                  </w:pPr>
                  <w:r>
                    <w:rPr>
                      <w:sz w:val="21"/>
                      <w:szCs w:val="21"/>
                    </w:rPr>
                    <w:t>350HP</w:t>
                  </w:r>
                </w:p>
              </w:tc>
              <w:tc>
                <w:tcPr>
                  <w:tcW w:w="463" w:type="pct"/>
                  <w:vAlign w:val="center"/>
                </w:tcPr>
                <w:p w14:paraId="7E0A96E3">
                  <w:pPr>
                    <w:jc w:val="center"/>
                    <w:rPr>
                      <w:sz w:val="21"/>
                      <w:szCs w:val="21"/>
                    </w:rPr>
                  </w:pPr>
                  <w:r>
                    <w:rPr>
                      <w:sz w:val="21"/>
                      <w:szCs w:val="21"/>
                    </w:rPr>
                    <w:t>1</w:t>
                  </w:r>
                </w:p>
              </w:tc>
              <w:tc>
                <w:tcPr>
                  <w:tcW w:w="423" w:type="pct"/>
                  <w:vAlign w:val="center"/>
                </w:tcPr>
                <w:p w14:paraId="774B8789">
                  <w:pPr>
                    <w:jc w:val="center"/>
                    <w:rPr>
                      <w:sz w:val="21"/>
                      <w:szCs w:val="21"/>
                    </w:rPr>
                  </w:pPr>
                  <w:r>
                    <w:rPr>
                      <w:sz w:val="21"/>
                      <w:szCs w:val="21"/>
                    </w:rPr>
                    <w:t>1</w:t>
                  </w:r>
                </w:p>
              </w:tc>
              <w:tc>
                <w:tcPr>
                  <w:tcW w:w="488" w:type="pct"/>
                  <w:vAlign w:val="center"/>
                </w:tcPr>
                <w:p w14:paraId="279B8363">
                  <w:pPr>
                    <w:jc w:val="center"/>
                    <w:rPr>
                      <w:sz w:val="21"/>
                      <w:szCs w:val="21"/>
                    </w:rPr>
                  </w:pPr>
                  <w:r>
                    <w:rPr>
                      <w:rFonts w:hint="eastAsia"/>
                      <w:sz w:val="21"/>
                      <w:szCs w:val="21"/>
                    </w:rPr>
                    <w:t>0</w:t>
                  </w:r>
                </w:p>
              </w:tc>
              <w:tc>
                <w:tcPr>
                  <w:tcW w:w="463" w:type="pct"/>
                  <w:vAlign w:val="center"/>
                </w:tcPr>
                <w:p w14:paraId="140C471B">
                  <w:pPr>
                    <w:jc w:val="center"/>
                    <w:rPr>
                      <w:sz w:val="21"/>
                      <w:szCs w:val="21"/>
                    </w:rPr>
                  </w:pPr>
                  <w:r>
                    <w:rPr>
                      <w:rFonts w:hint="eastAsia"/>
                      <w:sz w:val="21"/>
                      <w:szCs w:val="21"/>
                    </w:rPr>
                    <w:t>不变</w:t>
                  </w:r>
                </w:p>
              </w:tc>
            </w:tr>
            <w:tr w14:paraId="4603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3689E22E">
                  <w:pPr>
                    <w:jc w:val="center"/>
                    <w:rPr>
                      <w:sz w:val="21"/>
                      <w:szCs w:val="21"/>
                    </w:rPr>
                  </w:pPr>
                  <w:r>
                    <w:rPr>
                      <w:sz w:val="21"/>
                      <w:szCs w:val="21"/>
                    </w:rPr>
                    <w:t>8</w:t>
                  </w:r>
                </w:p>
              </w:tc>
              <w:tc>
                <w:tcPr>
                  <w:tcW w:w="743" w:type="pct"/>
                  <w:vMerge w:val="restart"/>
                  <w:vAlign w:val="center"/>
                </w:tcPr>
                <w:p w14:paraId="62B6CE6F">
                  <w:pPr>
                    <w:jc w:val="center"/>
                    <w:rPr>
                      <w:sz w:val="21"/>
                      <w:szCs w:val="21"/>
                    </w:rPr>
                  </w:pPr>
                  <w:r>
                    <w:rPr>
                      <w:sz w:val="21"/>
                      <w:szCs w:val="21"/>
                    </w:rPr>
                    <w:t>钻机控制系统</w:t>
                  </w:r>
                </w:p>
              </w:tc>
              <w:tc>
                <w:tcPr>
                  <w:tcW w:w="655" w:type="pct"/>
                  <w:vAlign w:val="center"/>
                </w:tcPr>
                <w:p w14:paraId="1A1A5C5B">
                  <w:pPr>
                    <w:jc w:val="center"/>
                    <w:rPr>
                      <w:sz w:val="21"/>
                      <w:szCs w:val="21"/>
                    </w:rPr>
                  </w:pPr>
                  <w:r>
                    <w:rPr>
                      <w:sz w:val="21"/>
                      <w:szCs w:val="21"/>
                    </w:rPr>
                    <w:t>自动压风机</w:t>
                  </w:r>
                </w:p>
              </w:tc>
              <w:tc>
                <w:tcPr>
                  <w:tcW w:w="1043" w:type="pct"/>
                  <w:vAlign w:val="center"/>
                </w:tcPr>
                <w:p w14:paraId="0055D558">
                  <w:pPr>
                    <w:jc w:val="center"/>
                    <w:rPr>
                      <w:sz w:val="21"/>
                      <w:szCs w:val="21"/>
                    </w:rPr>
                  </w:pPr>
                  <w:r>
                    <w:rPr>
                      <w:sz w:val="21"/>
                      <w:szCs w:val="21"/>
                    </w:rPr>
                    <w:t>1V-3/8</w:t>
                  </w:r>
                </w:p>
              </w:tc>
              <w:tc>
                <w:tcPr>
                  <w:tcW w:w="504" w:type="pct"/>
                  <w:vAlign w:val="center"/>
                </w:tcPr>
                <w:p w14:paraId="77E652FA">
                  <w:pPr>
                    <w:jc w:val="center"/>
                    <w:rPr>
                      <w:sz w:val="21"/>
                      <w:szCs w:val="21"/>
                    </w:rPr>
                  </w:pPr>
                  <w:r>
                    <w:rPr>
                      <w:sz w:val="21"/>
                      <w:szCs w:val="21"/>
                    </w:rPr>
                    <w:t>/</w:t>
                  </w:r>
                </w:p>
              </w:tc>
              <w:tc>
                <w:tcPr>
                  <w:tcW w:w="463" w:type="pct"/>
                  <w:vAlign w:val="center"/>
                </w:tcPr>
                <w:p w14:paraId="5A0A41FF">
                  <w:pPr>
                    <w:jc w:val="center"/>
                    <w:rPr>
                      <w:sz w:val="21"/>
                      <w:szCs w:val="21"/>
                    </w:rPr>
                  </w:pPr>
                  <w:r>
                    <w:rPr>
                      <w:sz w:val="21"/>
                      <w:szCs w:val="21"/>
                    </w:rPr>
                    <w:t>1</w:t>
                  </w:r>
                </w:p>
              </w:tc>
              <w:tc>
                <w:tcPr>
                  <w:tcW w:w="423" w:type="pct"/>
                  <w:vAlign w:val="center"/>
                </w:tcPr>
                <w:p w14:paraId="5692C18E">
                  <w:pPr>
                    <w:jc w:val="center"/>
                    <w:rPr>
                      <w:sz w:val="21"/>
                      <w:szCs w:val="21"/>
                    </w:rPr>
                  </w:pPr>
                  <w:r>
                    <w:rPr>
                      <w:sz w:val="21"/>
                      <w:szCs w:val="21"/>
                    </w:rPr>
                    <w:t>1</w:t>
                  </w:r>
                </w:p>
              </w:tc>
              <w:tc>
                <w:tcPr>
                  <w:tcW w:w="488" w:type="pct"/>
                  <w:vAlign w:val="center"/>
                </w:tcPr>
                <w:p w14:paraId="57185055">
                  <w:pPr>
                    <w:jc w:val="center"/>
                    <w:rPr>
                      <w:sz w:val="21"/>
                      <w:szCs w:val="21"/>
                    </w:rPr>
                  </w:pPr>
                  <w:r>
                    <w:rPr>
                      <w:rFonts w:hint="eastAsia"/>
                      <w:sz w:val="21"/>
                      <w:szCs w:val="21"/>
                    </w:rPr>
                    <w:t>0</w:t>
                  </w:r>
                </w:p>
              </w:tc>
              <w:tc>
                <w:tcPr>
                  <w:tcW w:w="463" w:type="pct"/>
                  <w:vAlign w:val="center"/>
                </w:tcPr>
                <w:p w14:paraId="5ACEAE5C">
                  <w:pPr>
                    <w:jc w:val="center"/>
                    <w:rPr>
                      <w:sz w:val="21"/>
                      <w:szCs w:val="21"/>
                    </w:rPr>
                  </w:pPr>
                  <w:r>
                    <w:rPr>
                      <w:rFonts w:hint="eastAsia"/>
                      <w:sz w:val="21"/>
                      <w:szCs w:val="21"/>
                    </w:rPr>
                    <w:t>不变</w:t>
                  </w:r>
                </w:p>
              </w:tc>
            </w:tr>
            <w:tr w14:paraId="4784F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E817C31">
                  <w:pPr>
                    <w:jc w:val="center"/>
                    <w:rPr>
                      <w:sz w:val="21"/>
                      <w:szCs w:val="21"/>
                    </w:rPr>
                  </w:pPr>
                </w:p>
              </w:tc>
              <w:tc>
                <w:tcPr>
                  <w:tcW w:w="743" w:type="pct"/>
                  <w:vMerge w:val="continue"/>
                  <w:vAlign w:val="center"/>
                </w:tcPr>
                <w:p w14:paraId="688631E0">
                  <w:pPr>
                    <w:jc w:val="center"/>
                    <w:rPr>
                      <w:sz w:val="21"/>
                      <w:szCs w:val="21"/>
                    </w:rPr>
                  </w:pPr>
                </w:p>
              </w:tc>
              <w:tc>
                <w:tcPr>
                  <w:tcW w:w="655" w:type="pct"/>
                  <w:vAlign w:val="center"/>
                </w:tcPr>
                <w:p w14:paraId="7F34428D">
                  <w:pPr>
                    <w:jc w:val="center"/>
                    <w:rPr>
                      <w:sz w:val="21"/>
                      <w:szCs w:val="21"/>
                    </w:rPr>
                  </w:pPr>
                  <w:r>
                    <w:rPr>
                      <w:sz w:val="21"/>
                      <w:szCs w:val="21"/>
                    </w:rPr>
                    <w:t>电动压风机</w:t>
                  </w:r>
                </w:p>
              </w:tc>
              <w:tc>
                <w:tcPr>
                  <w:tcW w:w="1043" w:type="pct"/>
                  <w:vAlign w:val="center"/>
                </w:tcPr>
                <w:p w14:paraId="12EA15CF">
                  <w:pPr>
                    <w:jc w:val="center"/>
                    <w:rPr>
                      <w:sz w:val="21"/>
                      <w:szCs w:val="21"/>
                    </w:rPr>
                  </w:pPr>
                  <w:r>
                    <w:rPr>
                      <w:sz w:val="21"/>
                      <w:szCs w:val="21"/>
                    </w:rPr>
                    <w:t>1V-3/8</w:t>
                  </w:r>
                </w:p>
              </w:tc>
              <w:tc>
                <w:tcPr>
                  <w:tcW w:w="504" w:type="pct"/>
                  <w:vAlign w:val="center"/>
                </w:tcPr>
                <w:p w14:paraId="39535FF8">
                  <w:pPr>
                    <w:jc w:val="center"/>
                    <w:rPr>
                      <w:sz w:val="21"/>
                      <w:szCs w:val="21"/>
                    </w:rPr>
                  </w:pPr>
                  <w:r>
                    <w:rPr>
                      <w:sz w:val="21"/>
                      <w:szCs w:val="21"/>
                    </w:rPr>
                    <w:t>/</w:t>
                  </w:r>
                </w:p>
              </w:tc>
              <w:tc>
                <w:tcPr>
                  <w:tcW w:w="463" w:type="pct"/>
                  <w:vAlign w:val="center"/>
                </w:tcPr>
                <w:p w14:paraId="4E9588A8">
                  <w:pPr>
                    <w:jc w:val="center"/>
                    <w:rPr>
                      <w:sz w:val="21"/>
                      <w:szCs w:val="21"/>
                    </w:rPr>
                  </w:pPr>
                  <w:r>
                    <w:rPr>
                      <w:sz w:val="21"/>
                      <w:szCs w:val="21"/>
                    </w:rPr>
                    <w:t>1</w:t>
                  </w:r>
                </w:p>
              </w:tc>
              <w:tc>
                <w:tcPr>
                  <w:tcW w:w="423" w:type="pct"/>
                  <w:vAlign w:val="center"/>
                </w:tcPr>
                <w:p w14:paraId="59A86D85">
                  <w:pPr>
                    <w:jc w:val="center"/>
                    <w:rPr>
                      <w:sz w:val="21"/>
                      <w:szCs w:val="21"/>
                    </w:rPr>
                  </w:pPr>
                  <w:r>
                    <w:rPr>
                      <w:sz w:val="21"/>
                      <w:szCs w:val="21"/>
                    </w:rPr>
                    <w:t>1</w:t>
                  </w:r>
                </w:p>
              </w:tc>
              <w:tc>
                <w:tcPr>
                  <w:tcW w:w="488" w:type="pct"/>
                  <w:vAlign w:val="center"/>
                </w:tcPr>
                <w:p w14:paraId="2D7E7503">
                  <w:pPr>
                    <w:jc w:val="center"/>
                    <w:rPr>
                      <w:sz w:val="21"/>
                      <w:szCs w:val="21"/>
                    </w:rPr>
                  </w:pPr>
                  <w:r>
                    <w:rPr>
                      <w:rFonts w:hint="eastAsia"/>
                      <w:sz w:val="21"/>
                      <w:szCs w:val="21"/>
                    </w:rPr>
                    <w:t>0</w:t>
                  </w:r>
                </w:p>
              </w:tc>
              <w:tc>
                <w:tcPr>
                  <w:tcW w:w="463" w:type="pct"/>
                  <w:vAlign w:val="center"/>
                </w:tcPr>
                <w:p w14:paraId="675BCAEE">
                  <w:pPr>
                    <w:jc w:val="center"/>
                    <w:rPr>
                      <w:sz w:val="21"/>
                      <w:szCs w:val="21"/>
                    </w:rPr>
                  </w:pPr>
                  <w:r>
                    <w:rPr>
                      <w:rFonts w:hint="eastAsia"/>
                      <w:sz w:val="21"/>
                      <w:szCs w:val="21"/>
                    </w:rPr>
                    <w:t>不变</w:t>
                  </w:r>
                </w:p>
              </w:tc>
            </w:tr>
            <w:tr w14:paraId="35CA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5383671D">
                  <w:pPr>
                    <w:jc w:val="center"/>
                    <w:rPr>
                      <w:sz w:val="21"/>
                      <w:szCs w:val="21"/>
                    </w:rPr>
                  </w:pPr>
                </w:p>
              </w:tc>
              <w:tc>
                <w:tcPr>
                  <w:tcW w:w="743" w:type="pct"/>
                  <w:vMerge w:val="continue"/>
                  <w:vAlign w:val="center"/>
                </w:tcPr>
                <w:p w14:paraId="7317A923">
                  <w:pPr>
                    <w:jc w:val="center"/>
                    <w:rPr>
                      <w:sz w:val="21"/>
                      <w:szCs w:val="21"/>
                    </w:rPr>
                  </w:pPr>
                </w:p>
              </w:tc>
              <w:tc>
                <w:tcPr>
                  <w:tcW w:w="655" w:type="pct"/>
                  <w:vAlign w:val="center"/>
                </w:tcPr>
                <w:p w14:paraId="6DC0893D">
                  <w:pPr>
                    <w:jc w:val="center"/>
                    <w:rPr>
                      <w:sz w:val="21"/>
                      <w:szCs w:val="21"/>
                    </w:rPr>
                  </w:pPr>
                  <w:r>
                    <w:rPr>
                      <w:sz w:val="21"/>
                      <w:szCs w:val="21"/>
                    </w:rPr>
                    <w:t>气源净化装置</w:t>
                  </w:r>
                </w:p>
              </w:tc>
              <w:tc>
                <w:tcPr>
                  <w:tcW w:w="1043" w:type="pct"/>
                  <w:vAlign w:val="center"/>
                </w:tcPr>
                <w:p w14:paraId="0E5DEE29">
                  <w:pPr>
                    <w:jc w:val="center"/>
                    <w:rPr>
                      <w:sz w:val="21"/>
                      <w:szCs w:val="21"/>
                    </w:rPr>
                  </w:pPr>
                  <w:r>
                    <w:rPr>
                      <w:sz w:val="21"/>
                      <w:szCs w:val="21"/>
                    </w:rPr>
                    <w:t>DFY</w:t>
                  </w:r>
                </w:p>
              </w:tc>
              <w:tc>
                <w:tcPr>
                  <w:tcW w:w="504" w:type="pct"/>
                  <w:vAlign w:val="center"/>
                </w:tcPr>
                <w:p w14:paraId="44865E41">
                  <w:pPr>
                    <w:jc w:val="center"/>
                    <w:rPr>
                      <w:sz w:val="21"/>
                      <w:szCs w:val="21"/>
                    </w:rPr>
                  </w:pPr>
                  <w:r>
                    <w:rPr>
                      <w:sz w:val="21"/>
                      <w:szCs w:val="21"/>
                    </w:rPr>
                    <w:t>/</w:t>
                  </w:r>
                </w:p>
              </w:tc>
              <w:tc>
                <w:tcPr>
                  <w:tcW w:w="463" w:type="pct"/>
                  <w:vAlign w:val="center"/>
                </w:tcPr>
                <w:p w14:paraId="71DAC8C4">
                  <w:pPr>
                    <w:jc w:val="center"/>
                    <w:rPr>
                      <w:sz w:val="21"/>
                      <w:szCs w:val="21"/>
                    </w:rPr>
                  </w:pPr>
                  <w:r>
                    <w:rPr>
                      <w:sz w:val="21"/>
                      <w:szCs w:val="21"/>
                    </w:rPr>
                    <w:t>1</w:t>
                  </w:r>
                </w:p>
              </w:tc>
              <w:tc>
                <w:tcPr>
                  <w:tcW w:w="423" w:type="pct"/>
                  <w:vAlign w:val="center"/>
                </w:tcPr>
                <w:p w14:paraId="7154E948">
                  <w:pPr>
                    <w:jc w:val="center"/>
                    <w:rPr>
                      <w:sz w:val="21"/>
                      <w:szCs w:val="21"/>
                    </w:rPr>
                  </w:pPr>
                  <w:r>
                    <w:rPr>
                      <w:sz w:val="21"/>
                      <w:szCs w:val="21"/>
                    </w:rPr>
                    <w:t>1</w:t>
                  </w:r>
                </w:p>
              </w:tc>
              <w:tc>
                <w:tcPr>
                  <w:tcW w:w="488" w:type="pct"/>
                  <w:vAlign w:val="center"/>
                </w:tcPr>
                <w:p w14:paraId="61866684">
                  <w:pPr>
                    <w:jc w:val="center"/>
                    <w:rPr>
                      <w:sz w:val="21"/>
                      <w:szCs w:val="21"/>
                    </w:rPr>
                  </w:pPr>
                  <w:r>
                    <w:rPr>
                      <w:rFonts w:hint="eastAsia"/>
                      <w:sz w:val="21"/>
                      <w:szCs w:val="21"/>
                    </w:rPr>
                    <w:t>0</w:t>
                  </w:r>
                </w:p>
              </w:tc>
              <w:tc>
                <w:tcPr>
                  <w:tcW w:w="463" w:type="pct"/>
                  <w:vAlign w:val="center"/>
                </w:tcPr>
                <w:p w14:paraId="7C17BD6D">
                  <w:pPr>
                    <w:jc w:val="center"/>
                    <w:rPr>
                      <w:sz w:val="21"/>
                      <w:szCs w:val="21"/>
                    </w:rPr>
                  </w:pPr>
                  <w:r>
                    <w:rPr>
                      <w:rFonts w:hint="eastAsia"/>
                      <w:sz w:val="21"/>
                      <w:szCs w:val="21"/>
                    </w:rPr>
                    <w:t>不变</w:t>
                  </w:r>
                </w:p>
              </w:tc>
            </w:tr>
            <w:tr w14:paraId="58A1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46BABA5C">
                  <w:pPr>
                    <w:jc w:val="center"/>
                    <w:rPr>
                      <w:sz w:val="21"/>
                      <w:szCs w:val="21"/>
                    </w:rPr>
                  </w:pPr>
                </w:p>
              </w:tc>
              <w:tc>
                <w:tcPr>
                  <w:tcW w:w="743" w:type="pct"/>
                  <w:vMerge w:val="continue"/>
                  <w:vAlign w:val="center"/>
                </w:tcPr>
                <w:p w14:paraId="048C4779">
                  <w:pPr>
                    <w:jc w:val="center"/>
                    <w:rPr>
                      <w:sz w:val="21"/>
                      <w:szCs w:val="21"/>
                    </w:rPr>
                  </w:pPr>
                </w:p>
              </w:tc>
              <w:tc>
                <w:tcPr>
                  <w:tcW w:w="655" w:type="pct"/>
                  <w:vAlign w:val="center"/>
                </w:tcPr>
                <w:p w14:paraId="149E9D97">
                  <w:pPr>
                    <w:jc w:val="center"/>
                    <w:rPr>
                      <w:sz w:val="21"/>
                      <w:szCs w:val="21"/>
                    </w:rPr>
                  </w:pPr>
                  <w:r>
                    <w:rPr>
                      <w:sz w:val="21"/>
                      <w:szCs w:val="21"/>
                    </w:rPr>
                    <w:t>刹车系统</w:t>
                  </w:r>
                </w:p>
              </w:tc>
              <w:tc>
                <w:tcPr>
                  <w:tcW w:w="1043" w:type="pct"/>
                  <w:vAlign w:val="center"/>
                </w:tcPr>
                <w:p w14:paraId="241058EA">
                  <w:pPr>
                    <w:jc w:val="center"/>
                    <w:rPr>
                      <w:sz w:val="21"/>
                      <w:szCs w:val="21"/>
                    </w:rPr>
                  </w:pPr>
                  <w:r>
                    <w:rPr>
                      <w:sz w:val="21"/>
                      <w:szCs w:val="21"/>
                    </w:rPr>
                    <w:t>液压盘式刹车</w:t>
                  </w:r>
                </w:p>
              </w:tc>
              <w:tc>
                <w:tcPr>
                  <w:tcW w:w="504" w:type="pct"/>
                  <w:vAlign w:val="center"/>
                </w:tcPr>
                <w:p w14:paraId="222FBF2F">
                  <w:pPr>
                    <w:jc w:val="center"/>
                    <w:rPr>
                      <w:sz w:val="21"/>
                      <w:szCs w:val="21"/>
                    </w:rPr>
                  </w:pPr>
                  <w:r>
                    <w:rPr>
                      <w:sz w:val="21"/>
                      <w:szCs w:val="21"/>
                    </w:rPr>
                    <w:t>/</w:t>
                  </w:r>
                </w:p>
              </w:tc>
              <w:tc>
                <w:tcPr>
                  <w:tcW w:w="463" w:type="pct"/>
                  <w:vAlign w:val="center"/>
                </w:tcPr>
                <w:p w14:paraId="1CC62E11">
                  <w:pPr>
                    <w:jc w:val="center"/>
                    <w:rPr>
                      <w:sz w:val="21"/>
                      <w:szCs w:val="21"/>
                    </w:rPr>
                  </w:pPr>
                  <w:r>
                    <w:rPr>
                      <w:sz w:val="21"/>
                      <w:szCs w:val="21"/>
                    </w:rPr>
                    <w:t>1</w:t>
                  </w:r>
                </w:p>
              </w:tc>
              <w:tc>
                <w:tcPr>
                  <w:tcW w:w="423" w:type="pct"/>
                  <w:vAlign w:val="center"/>
                </w:tcPr>
                <w:p w14:paraId="79E1FA4B">
                  <w:pPr>
                    <w:jc w:val="center"/>
                    <w:rPr>
                      <w:sz w:val="21"/>
                      <w:szCs w:val="21"/>
                    </w:rPr>
                  </w:pPr>
                  <w:r>
                    <w:rPr>
                      <w:sz w:val="21"/>
                      <w:szCs w:val="21"/>
                    </w:rPr>
                    <w:t>1</w:t>
                  </w:r>
                </w:p>
              </w:tc>
              <w:tc>
                <w:tcPr>
                  <w:tcW w:w="488" w:type="pct"/>
                  <w:vAlign w:val="center"/>
                </w:tcPr>
                <w:p w14:paraId="6D4C1152">
                  <w:pPr>
                    <w:jc w:val="center"/>
                    <w:rPr>
                      <w:sz w:val="21"/>
                      <w:szCs w:val="21"/>
                    </w:rPr>
                  </w:pPr>
                  <w:r>
                    <w:rPr>
                      <w:rFonts w:hint="eastAsia"/>
                      <w:sz w:val="21"/>
                      <w:szCs w:val="21"/>
                    </w:rPr>
                    <w:t>0</w:t>
                  </w:r>
                </w:p>
              </w:tc>
              <w:tc>
                <w:tcPr>
                  <w:tcW w:w="463" w:type="pct"/>
                  <w:vAlign w:val="center"/>
                </w:tcPr>
                <w:p w14:paraId="1A415D38">
                  <w:pPr>
                    <w:jc w:val="center"/>
                    <w:rPr>
                      <w:sz w:val="21"/>
                      <w:szCs w:val="21"/>
                    </w:rPr>
                  </w:pPr>
                  <w:r>
                    <w:rPr>
                      <w:rFonts w:hint="eastAsia"/>
                      <w:sz w:val="21"/>
                      <w:szCs w:val="21"/>
                    </w:rPr>
                    <w:t>不变</w:t>
                  </w:r>
                </w:p>
              </w:tc>
            </w:tr>
            <w:tr w14:paraId="5F753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56FB15C9">
                  <w:pPr>
                    <w:jc w:val="center"/>
                    <w:rPr>
                      <w:sz w:val="21"/>
                      <w:szCs w:val="21"/>
                    </w:rPr>
                  </w:pPr>
                </w:p>
              </w:tc>
              <w:tc>
                <w:tcPr>
                  <w:tcW w:w="743" w:type="pct"/>
                  <w:vMerge w:val="continue"/>
                  <w:vAlign w:val="center"/>
                </w:tcPr>
                <w:p w14:paraId="797FA2B2">
                  <w:pPr>
                    <w:jc w:val="center"/>
                    <w:rPr>
                      <w:sz w:val="21"/>
                      <w:szCs w:val="21"/>
                    </w:rPr>
                  </w:pPr>
                </w:p>
              </w:tc>
              <w:tc>
                <w:tcPr>
                  <w:tcW w:w="655" w:type="pct"/>
                  <w:vAlign w:val="center"/>
                </w:tcPr>
                <w:p w14:paraId="30918F56">
                  <w:pPr>
                    <w:jc w:val="center"/>
                    <w:rPr>
                      <w:sz w:val="21"/>
                      <w:szCs w:val="21"/>
                    </w:rPr>
                  </w:pPr>
                  <w:r>
                    <w:rPr>
                      <w:sz w:val="21"/>
                      <w:szCs w:val="21"/>
                    </w:rPr>
                    <w:t>辅助刹车</w:t>
                  </w:r>
                </w:p>
              </w:tc>
              <w:tc>
                <w:tcPr>
                  <w:tcW w:w="1043" w:type="pct"/>
                  <w:vAlign w:val="center"/>
                </w:tcPr>
                <w:p w14:paraId="5B3495B5">
                  <w:pPr>
                    <w:jc w:val="center"/>
                    <w:rPr>
                      <w:sz w:val="21"/>
                      <w:szCs w:val="21"/>
                    </w:rPr>
                  </w:pPr>
                  <w:r>
                    <w:rPr>
                      <w:sz w:val="21"/>
                      <w:szCs w:val="21"/>
                    </w:rPr>
                    <w:t>电磁刹车或伊顿刹车</w:t>
                  </w:r>
                </w:p>
              </w:tc>
              <w:tc>
                <w:tcPr>
                  <w:tcW w:w="504" w:type="pct"/>
                  <w:vAlign w:val="center"/>
                </w:tcPr>
                <w:p w14:paraId="0B6014D4">
                  <w:pPr>
                    <w:jc w:val="center"/>
                    <w:rPr>
                      <w:sz w:val="21"/>
                      <w:szCs w:val="21"/>
                    </w:rPr>
                  </w:pPr>
                  <w:r>
                    <w:rPr>
                      <w:sz w:val="21"/>
                      <w:szCs w:val="21"/>
                    </w:rPr>
                    <w:t>/</w:t>
                  </w:r>
                </w:p>
              </w:tc>
              <w:tc>
                <w:tcPr>
                  <w:tcW w:w="463" w:type="pct"/>
                  <w:vAlign w:val="center"/>
                </w:tcPr>
                <w:p w14:paraId="000BB4DA">
                  <w:pPr>
                    <w:jc w:val="center"/>
                    <w:rPr>
                      <w:sz w:val="21"/>
                      <w:szCs w:val="21"/>
                    </w:rPr>
                  </w:pPr>
                  <w:r>
                    <w:rPr>
                      <w:sz w:val="21"/>
                      <w:szCs w:val="21"/>
                    </w:rPr>
                    <w:t>1</w:t>
                  </w:r>
                </w:p>
              </w:tc>
              <w:tc>
                <w:tcPr>
                  <w:tcW w:w="423" w:type="pct"/>
                  <w:vAlign w:val="center"/>
                </w:tcPr>
                <w:p w14:paraId="5C25CCA3">
                  <w:pPr>
                    <w:jc w:val="center"/>
                    <w:rPr>
                      <w:sz w:val="21"/>
                      <w:szCs w:val="21"/>
                    </w:rPr>
                  </w:pPr>
                  <w:r>
                    <w:rPr>
                      <w:sz w:val="21"/>
                      <w:szCs w:val="21"/>
                    </w:rPr>
                    <w:t>1</w:t>
                  </w:r>
                </w:p>
              </w:tc>
              <w:tc>
                <w:tcPr>
                  <w:tcW w:w="488" w:type="pct"/>
                  <w:vAlign w:val="center"/>
                </w:tcPr>
                <w:p w14:paraId="312860F5">
                  <w:pPr>
                    <w:jc w:val="center"/>
                    <w:rPr>
                      <w:sz w:val="21"/>
                      <w:szCs w:val="21"/>
                    </w:rPr>
                  </w:pPr>
                  <w:r>
                    <w:rPr>
                      <w:rFonts w:hint="eastAsia"/>
                      <w:sz w:val="21"/>
                      <w:szCs w:val="21"/>
                    </w:rPr>
                    <w:t>0</w:t>
                  </w:r>
                </w:p>
              </w:tc>
              <w:tc>
                <w:tcPr>
                  <w:tcW w:w="463" w:type="pct"/>
                  <w:vAlign w:val="center"/>
                </w:tcPr>
                <w:p w14:paraId="751C7303">
                  <w:pPr>
                    <w:jc w:val="center"/>
                    <w:rPr>
                      <w:sz w:val="21"/>
                      <w:szCs w:val="21"/>
                    </w:rPr>
                  </w:pPr>
                  <w:r>
                    <w:rPr>
                      <w:rFonts w:hint="eastAsia"/>
                      <w:sz w:val="21"/>
                      <w:szCs w:val="21"/>
                    </w:rPr>
                    <w:t>不变</w:t>
                  </w:r>
                </w:p>
              </w:tc>
            </w:tr>
            <w:tr w14:paraId="7AFC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2F9A9D60">
                  <w:pPr>
                    <w:jc w:val="center"/>
                    <w:rPr>
                      <w:sz w:val="21"/>
                      <w:szCs w:val="21"/>
                    </w:rPr>
                  </w:pPr>
                  <w:r>
                    <w:rPr>
                      <w:sz w:val="21"/>
                      <w:szCs w:val="21"/>
                    </w:rPr>
                    <w:t>9</w:t>
                  </w:r>
                </w:p>
              </w:tc>
              <w:tc>
                <w:tcPr>
                  <w:tcW w:w="743" w:type="pct"/>
                  <w:vMerge w:val="restart"/>
                  <w:vAlign w:val="center"/>
                </w:tcPr>
                <w:p w14:paraId="59942592">
                  <w:pPr>
                    <w:jc w:val="center"/>
                    <w:rPr>
                      <w:sz w:val="21"/>
                      <w:szCs w:val="21"/>
                    </w:rPr>
                  </w:pPr>
                  <w:r>
                    <w:rPr>
                      <w:sz w:val="21"/>
                      <w:szCs w:val="21"/>
                    </w:rPr>
                    <w:t>固控系统</w:t>
                  </w:r>
                </w:p>
              </w:tc>
              <w:tc>
                <w:tcPr>
                  <w:tcW w:w="655" w:type="pct"/>
                  <w:vAlign w:val="center"/>
                </w:tcPr>
                <w:p w14:paraId="237226A3">
                  <w:pPr>
                    <w:jc w:val="center"/>
                    <w:rPr>
                      <w:sz w:val="21"/>
                      <w:szCs w:val="21"/>
                    </w:rPr>
                  </w:pPr>
                  <w:r>
                    <w:rPr>
                      <w:sz w:val="21"/>
                      <w:szCs w:val="21"/>
                    </w:rPr>
                    <w:t>振动筛1#</w:t>
                  </w:r>
                </w:p>
              </w:tc>
              <w:tc>
                <w:tcPr>
                  <w:tcW w:w="1043" w:type="pct"/>
                  <w:vAlign w:val="center"/>
                </w:tcPr>
                <w:p w14:paraId="6D40F176">
                  <w:pPr>
                    <w:jc w:val="center"/>
                    <w:rPr>
                      <w:sz w:val="21"/>
                      <w:szCs w:val="21"/>
                    </w:rPr>
                  </w:pPr>
                  <w:r>
                    <w:rPr>
                      <w:sz w:val="21"/>
                      <w:szCs w:val="21"/>
                    </w:rPr>
                    <w:t>DL-50×2</w:t>
                  </w:r>
                </w:p>
              </w:tc>
              <w:tc>
                <w:tcPr>
                  <w:tcW w:w="504" w:type="pct"/>
                  <w:vAlign w:val="center"/>
                </w:tcPr>
                <w:p w14:paraId="6F7C292F">
                  <w:pPr>
                    <w:jc w:val="center"/>
                    <w:rPr>
                      <w:sz w:val="21"/>
                      <w:szCs w:val="21"/>
                    </w:rPr>
                  </w:pPr>
                  <w:r>
                    <w:rPr>
                      <w:sz w:val="21"/>
                      <w:szCs w:val="21"/>
                    </w:rPr>
                    <w:t>3 kW</w:t>
                  </w:r>
                </w:p>
              </w:tc>
              <w:tc>
                <w:tcPr>
                  <w:tcW w:w="463" w:type="pct"/>
                  <w:vAlign w:val="center"/>
                </w:tcPr>
                <w:p w14:paraId="0944F0E1">
                  <w:pPr>
                    <w:jc w:val="center"/>
                    <w:rPr>
                      <w:sz w:val="21"/>
                      <w:szCs w:val="21"/>
                    </w:rPr>
                  </w:pPr>
                  <w:r>
                    <w:rPr>
                      <w:sz w:val="21"/>
                      <w:szCs w:val="21"/>
                    </w:rPr>
                    <w:t>1</w:t>
                  </w:r>
                </w:p>
              </w:tc>
              <w:tc>
                <w:tcPr>
                  <w:tcW w:w="423" w:type="pct"/>
                  <w:vAlign w:val="center"/>
                </w:tcPr>
                <w:p w14:paraId="34D9A482">
                  <w:pPr>
                    <w:jc w:val="center"/>
                    <w:rPr>
                      <w:sz w:val="21"/>
                      <w:szCs w:val="21"/>
                    </w:rPr>
                  </w:pPr>
                  <w:r>
                    <w:rPr>
                      <w:sz w:val="21"/>
                      <w:szCs w:val="21"/>
                    </w:rPr>
                    <w:t>1</w:t>
                  </w:r>
                </w:p>
              </w:tc>
              <w:tc>
                <w:tcPr>
                  <w:tcW w:w="488" w:type="pct"/>
                  <w:vAlign w:val="center"/>
                </w:tcPr>
                <w:p w14:paraId="1C88CE9E">
                  <w:pPr>
                    <w:jc w:val="center"/>
                    <w:rPr>
                      <w:sz w:val="21"/>
                      <w:szCs w:val="21"/>
                    </w:rPr>
                  </w:pPr>
                  <w:r>
                    <w:rPr>
                      <w:rFonts w:hint="eastAsia"/>
                      <w:sz w:val="21"/>
                      <w:szCs w:val="21"/>
                    </w:rPr>
                    <w:t>0</w:t>
                  </w:r>
                </w:p>
              </w:tc>
              <w:tc>
                <w:tcPr>
                  <w:tcW w:w="463" w:type="pct"/>
                  <w:vAlign w:val="center"/>
                </w:tcPr>
                <w:p w14:paraId="476B5080">
                  <w:pPr>
                    <w:jc w:val="center"/>
                    <w:rPr>
                      <w:sz w:val="21"/>
                      <w:szCs w:val="21"/>
                    </w:rPr>
                  </w:pPr>
                  <w:r>
                    <w:rPr>
                      <w:rFonts w:hint="eastAsia"/>
                      <w:sz w:val="21"/>
                      <w:szCs w:val="21"/>
                    </w:rPr>
                    <w:t>不变</w:t>
                  </w:r>
                </w:p>
              </w:tc>
            </w:tr>
            <w:tr w14:paraId="23BB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33B7795B">
                  <w:pPr>
                    <w:jc w:val="center"/>
                    <w:rPr>
                      <w:sz w:val="21"/>
                      <w:szCs w:val="21"/>
                    </w:rPr>
                  </w:pPr>
                </w:p>
              </w:tc>
              <w:tc>
                <w:tcPr>
                  <w:tcW w:w="743" w:type="pct"/>
                  <w:vMerge w:val="continue"/>
                  <w:vAlign w:val="center"/>
                </w:tcPr>
                <w:p w14:paraId="20B77366">
                  <w:pPr>
                    <w:jc w:val="center"/>
                    <w:rPr>
                      <w:sz w:val="21"/>
                      <w:szCs w:val="21"/>
                    </w:rPr>
                  </w:pPr>
                </w:p>
              </w:tc>
              <w:tc>
                <w:tcPr>
                  <w:tcW w:w="655" w:type="pct"/>
                  <w:vAlign w:val="center"/>
                </w:tcPr>
                <w:p w14:paraId="38D2D3A4">
                  <w:pPr>
                    <w:jc w:val="center"/>
                    <w:rPr>
                      <w:sz w:val="21"/>
                      <w:szCs w:val="21"/>
                    </w:rPr>
                  </w:pPr>
                  <w:r>
                    <w:rPr>
                      <w:sz w:val="21"/>
                      <w:szCs w:val="21"/>
                    </w:rPr>
                    <w:t>振动筛2#</w:t>
                  </w:r>
                </w:p>
              </w:tc>
              <w:tc>
                <w:tcPr>
                  <w:tcW w:w="1043" w:type="pct"/>
                  <w:vAlign w:val="center"/>
                </w:tcPr>
                <w:p w14:paraId="0B0E0E47">
                  <w:pPr>
                    <w:jc w:val="center"/>
                    <w:rPr>
                      <w:sz w:val="21"/>
                      <w:szCs w:val="21"/>
                    </w:rPr>
                  </w:pPr>
                  <w:r>
                    <w:rPr>
                      <w:sz w:val="21"/>
                      <w:szCs w:val="21"/>
                    </w:rPr>
                    <w:t>DL-50×2</w:t>
                  </w:r>
                </w:p>
              </w:tc>
              <w:tc>
                <w:tcPr>
                  <w:tcW w:w="504" w:type="pct"/>
                  <w:vAlign w:val="center"/>
                </w:tcPr>
                <w:p w14:paraId="35466926">
                  <w:pPr>
                    <w:jc w:val="center"/>
                    <w:rPr>
                      <w:sz w:val="21"/>
                      <w:szCs w:val="21"/>
                    </w:rPr>
                  </w:pPr>
                  <w:r>
                    <w:rPr>
                      <w:sz w:val="21"/>
                      <w:szCs w:val="21"/>
                    </w:rPr>
                    <w:t>3 kW</w:t>
                  </w:r>
                </w:p>
              </w:tc>
              <w:tc>
                <w:tcPr>
                  <w:tcW w:w="463" w:type="pct"/>
                  <w:vAlign w:val="center"/>
                </w:tcPr>
                <w:p w14:paraId="693CA8D9">
                  <w:pPr>
                    <w:jc w:val="center"/>
                    <w:rPr>
                      <w:sz w:val="21"/>
                      <w:szCs w:val="21"/>
                    </w:rPr>
                  </w:pPr>
                  <w:r>
                    <w:rPr>
                      <w:sz w:val="21"/>
                      <w:szCs w:val="21"/>
                    </w:rPr>
                    <w:t>1</w:t>
                  </w:r>
                </w:p>
              </w:tc>
              <w:tc>
                <w:tcPr>
                  <w:tcW w:w="423" w:type="pct"/>
                  <w:vAlign w:val="center"/>
                </w:tcPr>
                <w:p w14:paraId="57268910">
                  <w:pPr>
                    <w:jc w:val="center"/>
                    <w:rPr>
                      <w:sz w:val="21"/>
                      <w:szCs w:val="21"/>
                    </w:rPr>
                  </w:pPr>
                  <w:r>
                    <w:rPr>
                      <w:sz w:val="21"/>
                      <w:szCs w:val="21"/>
                    </w:rPr>
                    <w:t>1</w:t>
                  </w:r>
                </w:p>
              </w:tc>
              <w:tc>
                <w:tcPr>
                  <w:tcW w:w="488" w:type="pct"/>
                  <w:vAlign w:val="center"/>
                </w:tcPr>
                <w:p w14:paraId="7C650ACB">
                  <w:pPr>
                    <w:jc w:val="center"/>
                    <w:rPr>
                      <w:sz w:val="21"/>
                      <w:szCs w:val="21"/>
                    </w:rPr>
                  </w:pPr>
                  <w:r>
                    <w:rPr>
                      <w:rFonts w:hint="eastAsia"/>
                      <w:sz w:val="21"/>
                      <w:szCs w:val="21"/>
                    </w:rPr>
                    <w:t>0</w:t>
                  </w:r>
                </w:p>
              </w:tc>
              <w:tc>
                <w:tcPr>
                  <w:tcW w:w="463" w:type="pct"/>
                  <w:vAlign w:val="center"/>
                </w:tcPr>
                <w:p w14:paraId="4B5C01BC">
                  <w:pPr>
                    <w:jc w:val="center"/>
                    <w:rPr>
                      <w:sz w:val="21"/>
                      <w:szCs w:val="21"/>
                    </w:rPr>
                  </w:pPr>
                  <w:r>
                    <w:rPr>
                      <w:rFonts w:hint="eastAsia"/>
                      <w:sz w:val="21"/>
                      <w:szCs w:val="21"/>
                    </w:rPr>
                    <w:t>不变</w:t>
                  </w:r>
                </w:p>
              </w:tc>
            </w:tr>
            <w:tr w14:paraId="243B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67DF7B7D">
                  <w:pPr>
                    <w:jc w:val="center"/>
                    <w:rPr>
                      <w:sz w:val="21"/>
                      <w:szCs w:val="21"/>
                    </w:rPr>
                  </w:pPr>
                </w:p>
              </w:tc>
              <w:tc>
                <w:tcPr>
                  <w:tcW w:w="743" w:type="pct"/>
                  <w:vMerge w:val="continue"/>
                  <w:vAlign w:val="center"/>
                </w:tcPr>
                <w:p w14:paraId="0391484D">
                  <w:pPr>
                    <w:jc w:val="center"/>
                    <w:rPr>
                      <w:sz w:val="21"/>
                      <w:szCs w:val="21"/>
                    </w:rPr>
                  </w:pPr>
                </w:p>
              </w:tc>
              <w:tc>
                <w:tcPr>
                  <w:tcW w:w="655" w:type="pct"/>
                  <w:vAlign w:val="center"/>
                </w:tcPr>
                <w:p w14:paraId="778F55EF">
                  <w:pPr>
                    <w:jc w:val="center"/>
                    <w:rPr>
                      <w:sz w:val="21"/>
                      <w:szCs w:val="21"/>
                    </w:rPr>
                  </w:pPr>
                  <w:r>
                    <w:rPr>
                      <w:sz w:val="21"/>
                      <w:szCs w:val="21"/>
                    </w:rPr>
                    <w:t>除砂器</w:t>
                  </w:r>
                </w:p>
              </w:tc>
              <w:tc>
                <w:tcPr>
                  <w:tcW w:w="1043" w:type="pct"/>
                  <w:vAlign w:val="center"/>
                </w:tcPr>
                <w:p w14:paraId="50E0B938">
                  <w:pPr>
                    <w:jc w:val="center"/>
                    <w:rPr>
                      <w:sz w:val="21"/>
                      <w:szCs w:val="21"/>
                    </w:rPr>
                  </w:pPr>
                  <w:r>
                    <w:rPr>
                      <w:sz w:val="21"/>
                      <w:szCs w:val="21"/>
                    </w:rPr>
                    <w:t>ZQJ200×2-1.6×0.6</w:t>
                  </w:r>
                </w:p>
              </w:tc>
              <w:tc>
                <w:tcPr>
                  <w:tcW w:w="504" w:type="pct"/>
                  <w:vAlign w:val="center"/>
                </w:tcPr>
                <w:p w14:paraId="582E7BE0">
                  <w:pPr>
                    <w:jc w:val="center"/>
                    <w:rPr>
                      <w:sz w:val="21"/>
                      <w:szCs w:val="21"/>
                    </w:rPr>
                  </w:pPr>
                  <w:r>
                    <w:rPr>
                      <w:sz w:val="21"/>
                      <w:szCs w:val="21"/>
                    </w:rPr>
                    <w:t>18 kW</w:t>
                  </w:r>
                </w:p>
              </w:tc>
              <w:tc>
                <w:tcPr>
                  <w:tcW w:w="463" w:type="pct"/>
                  <w:vAlign w:val="center"/>
                </w:tcPr>
                <w:p w14:paraId="0A5314BF">
                  <w:pPr>
                    <w:jc w:val="center"/>
                    <w:rPr>
                      <w:sz w:val="21"/>
                      <w:szCs w:val="21"/>
                    </w:rPr>
                  </w:pPr>
                  <w:r>
                    <w:rPr>
                      <w:sz w:val="21"/>
                      <w:szCs w:val="21"/>
                    </w:rPr>
                    <w:t>1</w:t>
                  </w:r>
                </w:p>
              </w:tc>
              <w:tc>
                <w:tcPr>
                  <w:tcW w:w="423" w:type="pct"/>
                  <w:vAlign w:val="center"/>
                </w:tcPr>
                <w:p w14:paraId="304FAB18">
                  <w:pPr>
                    <w:jc w:val="center"/>
                    <w:rPr>
                      <w:sz w:val="21"/>
                      <w:szCs w:val="21"/>
                    </w:rPr>
                  </w:pPr>
                  <w:r>
                    <w:rPr>
                      <w:sz w:val="21"/>
                      <w:szCs w:val="21"/>
                    </w:rPr>
                    <w:t>1</w:t>
                  </w:r>
                </w:p>
              </w:tc>
              <w:tc>
                <w:tcPr>
                  <w:tcW w:w="488" w:type="pct"/>
                  <w:vAlign w:val="center"/>
                </w:tcPr>
                <w:p w14:paraId="7B638B09">
                  <w:pPr>
                    <w:jc w:val="center"/>
                    <w:rPr>
                      <w:sz w:val="21"/>
                      <w:szCs w:val="21"/>
                    </w:rPr>
                  </w:pPr>
                  <w:r>
                    <w:rPr>
                      <w:rFonts w:hint="eastAsia"/>
                      <w:sz w:val="21"/>
                      <w:szCs w:val="21"/>
                    </w:rPr>
                    <w:t>0</w:t>
                  </w:r>
                </w:p>
              </w:tc>
              <w:tc>
                <w:tcPr>
                  <w:tcW w:w="463" w:type="pct"/>
                  <w:vAlign w:val="center"/>
                </w:tcPr>
                <w:p w14:paraId="34D9D7E0">
                  <w:pPr>
                    <w:jc w:val="center"/>
                    <w:rPr>
                      <w:sz w:val="21"/>
                      <w:szCs w:val="21"/>
                    </w:rPr>
                  </w:pPr>
                  <w:r>
                    <w:rPr>
                      <w:rFonts w:hint="eastAsia"/>
                      <w:sz w:val="21"/>
                      <w:szCs w:val="21"/>
                    </w:rPr>
                    <w:t>不变</w:t>
                  </w:r>
                </w:p>
              </w:tc>
            </w:tr>
            <w:tr w14:paraId="2AEC3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6C769A0">
                  <w:pPr>
                    <w:jc w:val="center"/>
                    <w:rPr>
                      <w:sz w:val="21"/>
                      <w:szCs w:val="21"/>
                    </w:rPr>
                  </w:pPr>
                </w:p>
              </w:tc>
              <w:tc>
                <w:tcPr>
                  <w:tcW w:w="743" w:type="pct"/>
                  <w:vMerge w:val="continue"/>
                  <w:vAlign w:val="center"/>
                </w:tcPr>
                <w:p w14:paraId="7B2BE63B">
                  <w:pPr>
                    <w:jc w:val="center"/>
                    <w:rPr>
                      <w:sz w:val="21"/>
                      <w:szCs w:val="21"/>
                    </w:rPr>
                  </w:pPr>
                </w:p>
              </w:tc>
              <w:tc>
                <w:tcPr>
                  <w:tcW w:w="655" w:type="pct"/>
                  <w:vAlign w:val="center"/>
                </w:tcPr>
                <w:p w14:paraId="5E2C4DBB">
                  <w:pPr>
                    <w:jc w:val="center"/>
                    <w:rPr>
                      <w:sz w:val="21"/>
                      <w:szCs w:val="21"/>
                    </w:rPr>
                  </w:pPr>
                  <w:r>
                    <w:rPr>
                      <w:sz w:val="21"/>
                      <w:szCs w:val="21"/>
                    </w:rPr>
                    <w:t>除泥器</w:t>
                  </w:r>
                </w:p>
              </w:tc>
              <w:tc>
                <w:tcPr>
                  <w:tcW w:w="1043" w:type="pct"/>
                  <w:vAlign w:val="center"/>
                </w:tcPr>
                <w:p w14:paraId="64AEF924">
                  <w:pPr>
                    <w:jc w:val="center"/>
                    <w:rPr>
                      <w:sz w:val="21"/>
                      <w:szCs w:val="21"/>
                    </w:rPr>
                  </w:pPr>
                  <w:r>
                    <w:rPr>
                      <w:sz w:val="21"/>
                      <w:szCs w:val="21"/>
                    </w:rPr>
                    <w:t>ZQJ125×8-1.6×0.7</w:t>
                  </w:r>
                </w:p>
              </w:tc>
              <w:tc>
                <w:tcPr>
                  <w:tcW w:w="504" w:type="pct"/>
                  <w:vAlign w:val="center"/>
                </w:tcPr>
                <w:p w14:paraId="2798BDBC">
                  <w:pPr>
                    <w:jc w:val="center"/>
                    <w:rPr>
                      <w:sz w:val="21"/>
                      <w:szCs w:val="21"/>
                    </w:rPr>
                  </w:pPr>
                  <w:r>
                    <w:rPr>
                      <w:sz w:val="21"/>
                      <w:szCs w:val="21"/>
                    </w:rPr>
                    <w:t>3 kW</w:t>
                  </w:r>
                </w:p>
              </w:tc>
              <w:tc>
                <w:tcPr>
                  <w:tcW w:w="463" w:type="pct"/>
                  <w:vAlign w:val="center"/>
                </w:tcPr>
                <w:p w14:paraId="29B39F1A">
                  <w:pPr>
                    <w:jc w:val="center"/>
                    <w:rPr>
                      <w:sz w:val="21"/>
                      <w:szCs w:val="21"/>
                    </w:rPr>
                  </w:pPr>
                  <w:r>
                    <w:rPr>
                      <w:sz w:val="21"/>
                      <w:szCs w:val="21"/>
                    </w:rPr>
                    <w:t>1</w:t>
                  </w:r>
                </w:p>
              </w:tc>
              <w:tc>
                <w:tcPr>
                  <w:tcW w:w="423" w:type="pct"/>
                  <w:vAlign w:val="center"/>
                </w:tcPr>
                <w:p w14:paraId="6AEB7F0F">
                  <w:pPr>
                    <w:jc w:val="center"/>
                    <w:rPr>
                      <w:sz w:val="21"/>
                      <w:szCs w:val="21"/>
                    </w:rPr>
                  </w:pPr>
                  <w:r>
                    <w:rPr>
                      <w:sz w:val="21"/>
                      <w:szCs w:val="21"/>
                    </w:rPr>
                    <w:t>1</w:t>
                  </w:r>
                </w:p>
              </w:tc>
              <w:tc>
                <w:tcPr>
                  <w:tcW w:w="488" w:type="pct"/>
                  <w:vAlign w:val="center"/>
                </w:tcPr>
                <w:p w14:paraId="677661C0">
                  <w:pPr>
                    <w:jc w:val="center"/>
                    <w:rPr>
                      <w:sz w:val="21"/>
                      <w:szCs w:val="21"/>
                    </w:rPr>
                  </w:pPr>
                  <w:r>
                    <w:rPr>
                      <w:rFonts w:hint="eastAsia"/>
                      <w:sz w:val="21"/>
                      <w:szCs w:val="21"/>
                    </w:rPr>
                    <w:t>0</w:t>
                  </w:r>
                </w:p>
              </w:tc>
              <w:tc>
                <w:tcPr>
                  <w:tcW w:w="463" w:type="pct"/>
                  <w:vAlign w:val="center"/>
                </w:tcPr>
                <w:p w14:paraId="4390F3F7">
                  <w:pPr>
                    <w:jc w:val="center"/>
                    <w:rPr>
                      <w:sz w:val="21"/>
                      <w:szCs w:val="21"/>
                    </w:rPr>
                  </w:pPr>
                  <w:r>
                    <w:rPr>
                      <w:rFonts w:hint="eastAsia"/>
                      <w:sz w:val="21"/>
                      <w:szCs w:val="21"/>
                    </w:rPr>
                    <w:t>不变</w:t>
                  </w:r>
                </w:p>
              </w:tc>
            </w:tr>
            <w:tr w14:paraId="2F079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jc w:val="center"/>
              </w:trPr>
              <w:tc>
                <w:tcPr>
                  <w:tcW w:w="213" w:type="pct"/>
                  <w:vMerge w:val="continue"/>
                  <w:vAlign w:val="center"/>
                </w:tcPr>
                <w:p w14:paraId="42E74852">
                  <w:pPr>
                    <w:jc w:val="center"/>
                    <w:rPr>
                      <w:sz w:val="21"/>
                      <w:szCs w:val="21"/>
                    </w:rPr>
                  </w:pPr>
                </w:p>
              </w:tc>
              <w:tc>
                <w:tcPr>
                  <w:tcW w:w="743" w:type="pct"/>
                  <w:vMerge w:val="continue"/>
                  <w:vAlign w:val="center"/>
                </w:tcPr>
                <w:p w14:paraId="3DCE41D0">
                  <w:pPr>
                    <w:jc w:val="center"/>
                    <w:rPr>
                      <w:sz w:val="21"/>
                      <w:szCs w:val="21"/>
                    </w:rPr>
                  </w:pPr>
                </w:p>
              </w:tc>
              <w:tc>
                <w:tcPr>
                  <w:tcW w:w="655" w:type="pct"/>
                  <w:vAlign w:val="center"/>
                </w:tcPr>
                <w:p w14:paraId="2CBFA21A">
                  <w:pPr>
                    <w:jc w:val="center"/>
                    <w:rPr>
                      <w:sz w:val="21"/>
                      <w:szCs w:val="21"/>
                    </w:rPr>
                  </w:pPr>
                  <w:r>
                    <w:rPr>
                      <w:sz w:val="21"/>
                      <w:szCs w:val="21"/>
                    </w:rPr>
                    <w:t>离心机</w:t>
                  </w:r>
                </w:p>
              </w:tc>
              <w:tc>
                <w:tcPr>
                  <w:tcW w:w="1043" w:type="pct"/>
                  <w:vAlign w:val="center"/>
                </w:tcPr>
                <w:p w14:paraId="4EBA9B9B">
                  <w:pPr>
                    <w:jc w:val="center"/>
                    <w:rPr>
                      <w:sz w:val="21"/>
                      <w:szCs w:val="21"/>
                    </w:rPr>
                  </w:pPr>
                  <w:r>
                    <w:rPr>
                      <w:sz w:val="21"/>
                      <w:szCs w:val="21"/>
                    </w:rPr>
                    <w:t>LW450-842N</w:t>
                  </w:r>
                </w:p>
              </w:tc>
              <w:tc>
                <w:tcPr>
                  <w:tcW w:w="504" w:type="pct"/>
                  <w:vAlign w:val="center"/>
                </w:tcPr>
                <w:p w14:paraId="67F0732E">
                  <w:pPr>
                    <w:jc w:val="center"/>
                    <w:rPr>
                      <w:sz w:val="21"/>
                      <w:szCs w:val="21"/>
                    </w:rPr>
                  </w:pPr>
                  <w:r>
                    <w:rPr>
                      <w:sz w:val="21"/>
                      <w:szCs w:val="21"/>
                    </w:rPr>
                    <w:t>27 kW</w:t>
                  </w:r>
                </w:p>
              </w:tc>
              <w:tc>
                <w:tcPr>
                  <w:tcW w:w="463" w:type="pct"/>
                  <w:vAlign w:val="center"/>
                </w:tcPr>
                <w:p w14:paraId="0E7F9ECE">
                  <w:pPr>
                    <w:jc w:val="center"/>
                    <w:rPr>
                      <w:sz w:val="21"/>
                      <w:szCs w:val="21"/>
                    </w:rPr>
                  </w:pPr>
                  <w:r>
                    <w:rPr>
                      <w:sz w:val="21"/>
                      <w:szCs w:val="21"/>
                    </w:rPr>
                    <w:t>1</w:t>
                  </w:r>
                </w:p>
              </w:tc>
              <w:tc>
                <w:tcPr>
                  <w:tcW w:w="423" w:type="pct"/>
                  <w:vAlign w:val="center"/>
                </w:tcPr>
                <w:p w14:paraId="50FBF850">
                  <w:pPr>
                    <w:jc w:val="center"/>
                    <w:rPr>
                      <w:sz w:val="21"/>
                      <w:szCs w:val="21"/>
                    </w:rPr>
                  </w:pPr>
                  <w:r>
                    <w:rPr>
                      <w:sz w:val="21"/>
                      <w:szCs w:val="21"/>
                    </w:rPr>
                    <w:t>1</w:t>
                  </w:r>
                </w:p>
              </w:tc>
              <w:tc>
                <w:tcPr>
                  <w:tcW w:w="488" w:type="pct"/>
                  <w:vAlign w:val="center"/>
                </w:tcPr>
                <w:p w14:paraId="6D71E6BB">
                  <w:pPr>
                    <w:jc w:val="center"/>
                    <w:rPr>
                      <w:sz w:val="21"/>
                      <w:szCs w:val="21"/>
                    </w:rPr>
                  </w:pPr>
                  <w:r>
                    <w:rPr>
                      <w:rFonts w:hint="eastAsia"/>
                      <w:sz w:val="21"/>
                      <w:szCs w:val="21"/>
                    </w:rPr>
                    <w:t>0</w:t>
                  </w:r>
                </w:p>
              </w:tc>
              <w:tc>
                <w:tcPr>
                  <w:tcW w:w="463" w:type="pct"/>
                  <w:vAlign w:val="center"/>
                </w:tcPr>
                <w:p w14:paraId="45AD93B0">
                  <w:pPr>
                    <w:jc w:val="center"/>
                    <w:rPr>
                      <w:sz w:val="21"/>
                      <w:szCs w:val="21"/>
                    </w:rPr>
                  </w:pPr>
                  <w:r>
                    <w:rPr>
                      <w:rFonts w:hint="eastAsia"/>
                      <w:sz w:val="21"/>
                      <w:szCs w:val="21"/>
                    </w:rPr>
                    <w:t>不变</w:t>
                  </w:r>
                </w:p>
              </w:tc>
            </w:tr>
            <w:tr w14:paraId="06A5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50F517E1">
                  <w:pPr>
                    <w:jc w:val="center"/>
                    <w:rPr>
                      <w:sz w:val="21"/>
                      <w:szCs w:val="21"/>
                    </w:rPr>
                  </w:pPr>
                </w:p>
              </w:tc>
              <w:tc>
                <w:tcPr>
                  <w:tcW w:w="743" w:type="pct"/>
                  <w:vMerge w:val="continue"/>
                  <w:vAlign w:val="center"/>
                </w:tcPr>
                <w:p w14:paraId="65A200F5">
                  <w:pPr>
                    <w:jc w:val="center"/>
                    <w:rPr>
                      <w:sz w:val="21"/>
                      <w:szCs w:val="21"/>
                    </w:rPr>
                  </w:pPr>
                </w:p>
              </w:tc>
              <w:tc>
                <w:tcPr>
                  <w:tcW w:w="655" w:type="pct"/>
                  <w:vAlign w:val="center"/>
                </w:tcPr>
                <w:p w14:paraId="130B9844">
                  <w:pPr>
                    <w:jc w:val="center"/>
                    <w:rPr>
                      <w:sz w:val="21"/>
                      <w:szCs w:val="21"/>
                    </w:rPr>
                  </w:pPr>
                  <w:r>
                    <w:rPr>
                      <w:sz w:val="21"/>
                      <w:szCs w:val="21"/>
                    </w:rPr>
                    <w:t>除气器</w:t>
                  </w:r>
                </w:p>
              </w:tc>
              <w:tc>
                <w:tcPr>
                  <w:tcW w:w="1043" w:type="pct"/>
                  <w:vAlign w:val="center"/>
                </w:tcPr>
                <w:p w14:paraId="3EDD1356">
                  <w:pPr>
                    <w:jc w:val="center"/>
                    <w:rPr>
                      <w:sz w:val="21"/>
                      <w:szCs w:val="21"/>
                    </w:rPr>
                  </w:pPr>
                  <w:r>
                    <w:rPr>
                      <w:sz w:val="21"/>
                      <w:szCs w:val="21"/>
                    </w:rPr>
                    <w:t>LCH-50Ⅱ</w:t>
                  </w:r>
                </w:p>
              </w:tc>
              <w:tc>
                <w:tcPr>
                  <w:tcW w:w="504" w:type="pct"/>
                  <w:vAlign w:val="center"/>
                </w:tcPr>
                <w:p w14:paraId="423BB1A5">
                  <w:pPr>
                    <w:jc w:val="center"/>
                    <w:rPr>
                      <w:sz w:val="21"/>
                      <w:szCs w:val="21"/>
                    </w:rPr>
                  </w:pPr>
                  <w:r>
                    <w:rPr>
                      <w:sz w:val="21"/>
                      <w:szCs w:val="21"/>
                    </w:rPr>
                    <w:t>3kW</w:t>
                  </w:r>
                </w:p>
              </w:tc>
              <w:tc>
                <w:tcPr>
                  <w:tcW w:w="463" w:type="pct"/>
                  <w:vAlign w:val="center"/>
                </w:tcPr>
                <w:p w14:paraId="071AD3E6">
                  <w:pPr>
                    <w:jc w:val="center"/>
                    <w:rPr>
                      <w:sz w:val="21"/>
                      <w:szCs w:val="21"/>
                    </w:rPr>
                  </w:pPr>
                  <w:r>
                    <w:rPr>
                      <w:sz w:val="21"/>
                      <w:szCs w:val="21"/>
                    </w:rPr>
                    <w:t>1</w:t>
                  </w:r>
                </w:p>
              </w:tc>
              <w:tc>
                <w:tcPr>
                  <w:tcW w:w="423" w:type="pct"/>
                  <w:vAlign w:val="center"/>
                </w:tcPr>
                <w:p w14:paraId="2B3FC093">
                  <w:pPr>
                    <w:jc w:val="center"/>
                    <w:rPr>
                      <w:sz w:val="21"/>
                      <w:szCs w:val="21"/>
                    </w:rPr>
                  </w:pPr>
                  <w:r>
                    <w:rPr>
                      <w:sz w:val="21"/>
                      <w:szCs w:val="21"/>
                    </w:rPr>
                    <w:t>1</w:t>
                  </w:r>
                </w:p>
              </w:tc>
              <w:tc>
                <w:tcPr>
                  <w:tcW w:w="488" w:type="pct"/>
                  <w:vAlign w:val="center"/>
                </w:tcPr>
                <w:p w14:paraId="47CB8CB6">
                  <w:pPr>
                    <w:jc w:val="center"/>
                    <w:rPr>
                      <w:sz w:val="21"/>
                      <w:szCs w:val="21"/>
                    </w:rPr>
                  </w:pPr>
                  <w:r>
                    <w:rPr>
                      <w:rFonts w:hint="eastAsia"/>
                      <w:sz w:val="21"/>
                      <w:szCs w:val="21"/>
                    </w:rPr>
                    <w:t>0</w:t>
                  </w:r>
                </w:p>
              </w:tc>
              <w:tc>
                <w:tcPr>
                  <w:tcW w:w="463" w:type="pct"/>
                  <w:vAlign w:val="center"/>
                </w:tcPr>
                <w:p w14:paraId="66E1FCA1">
                  <w:pPr>
                    <w:jc w:val="center"/>
                    <w:rPr>
                      <w:sz w:val="21"/>
                      <w:szCs w:val="21"/>
                    </w:rPr>
                  </w:pPr>
                  <w:r>
                    <w:rPr>
                      <w:rFonts w:hint="eastAsia"/>
                      <w:sz w:val="21"/>
                      <w:szCs w:val="21"/>
                    </w:rPr>
                    <w:t>不变</w:t>
                  </w:r>
                </w:p>
              </w:tc>
            </w:tr>
            <w:tr w14:paraId="163F1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98BFA41">
                  <w:pPr>
                    <w:jc w:val="center"/>
                    <w:rPr>
                      <w:sz w:val="21"/>
                      <w:szCs w:val="21"/>
                    </w:rPr>
                  </w:pPr>
                </w:p>
              </w:tc>
              <w:tc>
                <w:tcPr>
                  <w:tcW w:w="743" w:type="pct"/>
                  <w:vMerge w:val="continue"/>
                  <w:vAlign w:val="center"/>
                </w:tcPr>
                <w:p w14:paraId="2A0C6136">
                  <w:pPr>
                    <w:jc w:val="center"/>
                    <w:rPr>
                      <w:sz w:val="21"/>
                      <w:szCs w:val="21"/>
                    </w:rPr>
                  </w:pPr>
                </w:p>
              </w:tc>
              <w:tc>
                <w:tcPr>
                  <w:tcW w:w="655" w:type="pct"/>
                  <w:vAlign w:val="center"/>
                </w:tcPr>
                <w:p w14:paraId="37FA270A">
                  <w:pPr>
                    <w:jc w:val="center"/>
                    <w:rPr>
                      <w:sz w:val="21"/>
                      <w:szCs w:val="21"/>
                    </w:rPr>
                  </w:pPr>
                  <w:r>
                    <w:rPr>
                      <w:sz w:val="21"/>
                      <w:szCs w:val="21"/>
                    </w:rPr>
                    <w:t>泥浆不落地装置</w:t>
                  </w:r>
                </w:p>
              </w:tc>
              <w:tc>
                <w:tcPr>
                  <w:tcW w:w="1043" w:type="pct"/>
                  <w:vAlign w:val="center"/>
                </w:tcPr>
                <w:p w14:paraId="12B87CFB">
                  <w:pPr>
                    <w:jc w:val="center"/>
                    <w:rPr>
                      <w:sz w:val="21"/>
                      <w:szCs w:val="21"/>
                    </w:rPr>
                  </w:pPr>
                  <w:r>
                    <w:rPr>
                      <w:sz w:val="21"/>
                      <w:szCs w:val="21"/>
                    </w:rPr>
                    <w:t>/</w:t>
                  </w:r>
                </w:p>
              </w:tc>
              <w:tc>
                <w:tcPr>
                  <w:tcW w:w="504" w:type="pct"/>
                  <w:vAlign w:val="center"/>
                </w:tcPr>
                <w:p w14:paraId="4A9F7490">
                  <w:pPr>
                    <w:jc w:val="center"/>
                    <w:rPr>
                      <w:sz w:val="21"/>
                      <w:szCs w:val="21"/>
                    </w:rPr>
                  </w:pPr>
                  <w:r>
                    <w:rPr>
                      <w:sz w:val="21"/>
                      <w:szCs w:val="21"/>
                    </w:rPr>
                    <w:t>/</w:t>
                  </w:r>
                </w:p>
              </w:tc>
              <w:tc>
                <w:tcPr>
                  <w:tcW w:w="463" w:type="pct"/>
                  <w:vAlign w:val="center"/>
                </w:tcPr>
                <w:p w14:paraId="624787CF">
                  <w:pPr>
                    <w:jc w:val="center"/>
                    <w:rPr>
                      <w:sz w:val="21"/>
                      <w:szCs w:val="21"/>
                    </w:rPr>
                  </w:pPr>
                  <w:r>
                    <w:rPr>
                      <w:sz w:val="21"/>
                      <w:szCs w:val="21"/>
                    </w:rPr>
                    <w:t>1</w:t>
                  </w:r>
                </w:p>
              </w:tc>
              <w:tc>
                <w:tcPr>
                  <w:tcW w:w="423" w:type="pct"/>
                  <w:vAlign w:val="center"/>
                </w:tcPr>
                <w:p w14:paraId="6D3205AF">
                  <w:pPr>
                    <w:jc w:val="center"/>
                    <w:rPr>
                      <w:sz w:val="21"/>
                      <w:szCs w:val="21"/>
                    </w:rPr>
                  </w:pPr>
                  <w:r>
                    <w:rPr>
                      <w:sz w:val="21"/>
                      <w:szCs w:val="21"/>
                    </w:rPr>
                    <w:t>1</w:t>
                  </w:r>
                </w:p>
              </w:tc>
              <w:tc>
                <w:tcPr>
                  <w:tcW w:w="488" w:type="pct"/>
                  <w:vAlign w:val="center"/>
                </w:tcPr>
                <w:p w14:paraId="33110396">
                  <w:pPr>
                    <w:jc w:val="center"/>
                    <w:rPr>
                      <w:sz w:val="21"/>
                      <w:szCs w:val="21"/>
                    </w:rPr>
                  </w:pPr>
                  <w:r>
                    <w:rPr>
                      <w:rFonts w:hint="eastAsia"/>
                      <w:sz w:val="21"/>
                      <w:szCs w:val="21"/>
                    </w:rPr>
                    <w:t>0</w:t>
                  </w:r>
                </w:p>
              </w:tc>
              <w:tc>
                <w:tcPr>
                  <w:tcW w:w="463" w:type="pct"/>
                  <w:vAlign w:val="center"/>
                </w:tcPr>
                <w:p w14:paraId="2EC35275">
                  <w:pPr>
                    <w:jc w:val="center"/>
                    <w:rPr>
                      <w:sz w:val="21"/>
                      <w:szCs w:val="21"/>
                    </w:rPr>
                  </w:pPr>
                  <w:r>
                    <w:rPr>
                      <w:rFonts w:hint="eastAsia"/>
                      <w:sz w:val="21"/>
                      <w:szCs w:val="21"/>
                    </w:rPr>
                    <w:t>不变</w:t>
                  </w:r>
                </w:p>
              </w:tc>
            </w:tr>
            <w:tr w14:paraId="0A034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0D9B3FEA">
                  <w:pPr>
                    <w:jc w:val="center"/>
                    <w:rPr>
                      <w:sz w:val="21"/>
                      <w:szCs w:val="21"/>
                    </w:rPr>
                  </w:pPr>
                  <w:r>
                    <w:rPr>
                      <w:sz w:val="21"/>
                      <w:szCs w:val="21"/>
                    </w:rPr>
                    <w:t>10</w:t>
                  </w:r>
                </w:p>
              </w:tc>
              <w:tc>
                <w:tcPr>
                  <w:tcW w:w="743" w:type="pct"/>
                  <w:vMerge w:val="restart"/>
                  <w:vAlign w:val="center"/>
                </w:tcPr>
                <w:p w14:paraId="17EFB8F2">
                  <w:pPr>
                    <w:jc w:val="center"/>
                    <w:rPr>
                      <w:sz w:val="21"/>
                      <w:szCs w:val="21"/>
                    </w:rPr>
                  </w:pPr>
                  <w:r>
                    <w:rPr>
                      <w:sz w:val="21"/>
                      <w:szCs w:val="21"/>
                    </w:rPr>
                    <w:t>井控系统</w:t>
                  </w:r>
                </w:p>
              </w:tc>
              <w:tc>
                <w:tcPr>
                  <w:tcW w:w="655" w:type="pct"/>
                  <w:vAlign w:val="center"/>
                </w:tcPr>
                <w:p w14:paraId="6296D396">
                  <w:pPr>
                    <w:jc w:val="center"/>
                    <w:rPr>
                      <w:sz w:val="21"/>
                      <w:szCs w:val="21"/>
                    </w:rPr>
                  </w:pPr>
                  <w:r>
                    <w:rPr>
                      <w:sz w:val="21"/>
                      <w:szCs w:val="21"/>
                    </w:rPr>
                    <w:t>环形防喷器</w:t>
                  </w:r>
                </w:p>
              </w:tc>
              <w:tc>
                <w:tcPr>
                  <w:tcW w:w="1043" w:type="pct"/>
                  <w:vAlign w:val="center"/>
                </w:tcPr>
                <w:p w14:paraId="4F3FF9C2">
                  <w:pPr>
                    <w:jc w:val="center"/>
                    <w:rPr>
                      <w:sz w:val="21"/>
                      <w:szCs w:val="21"/>
                    </w:rPr>
                  </w:pPr>
                  <w:r>
                    <w:rPr>
                      <w:sz w:val="21"/>
                      <w:szCs w:val="21"/>
                    </w:rPr>
                    <w:t>FH35-35</w:t>
                  </w:r>
                </w:p>
              </w:tc>
              <w:tc>
                <w:tcPr>
                  <w:tcW w:w="504" w:type="pct"/>
                  <w:vAlign w:val="center"/>
                </w:tcPr>
                <w:p w14:paraId="645D6044">
                  <w:pPr>
                    <w:jc w:val="center"/>
                    <w:rPr>
                      <w:sz w:val="21"/>
                      <w:szCs w:val="21"/>
                    </w:rPr>
                  </w:pPr>
                  <w:r>
                    <w:rPr>
                      <w:sz w:val="21"/>
                      <w:szCs w:val="21"/>
                    </w:rPr>
                    <w:t>/</w:t>
                  </w:r>
                </w:p>
              </w:tc>
              <w:tc>
                <w:tcPr>
                  <w:tcW w:w="463" w:type="pct"/>
                  <w:vAlign w:val="center"/>
                </w:tcPr>
                <w:p w14:paraId="6D42F3E8">
                  <w:pPr>
                    <w:jc w:val="center"/>
                    <w:rPr>
                      <w:sz w:val="21"/>
                      <w:szCs w:val="21"/>
                    </w:rPr>
                  </w:pPr>
                  <w:r>
                    <w:rPr>
                      <w:sz w:val="21"/>
                      <w:szCs w:val="21"/>
                    </w:rPr>
                    <w:t>1</w:t>
                  </w:r>
                </w:p>
              </w:tc>
              <w:tc>
                <w:tcPr>
                  <w:tcW w:w="423" w:type="pct"/>
                  <w:vAlign w:val="center"/>
                </w:tcPr>
                <w:p w14:paraId="3C93F801">
                  <w:pPr>
                    <w:jc w:val="center"/>
                    <w:rPr>
                      <w:sz w:val="21"/>
                      <w:szCs w:val="21"/>
                    </w:rPr>
                  </w:pPr>
                  <w:r>
                    <w:rPr>
                      <w:sz w:val="21"/>
                      <w:szCs w:val="21"/>
                    </w:rPr>
                    <w:t>1</w:t>
                  </w:r>
                </w:p>
              </w:tc>
              <w:tc>
                <w:tcPr>
                  <w:tcW w:w="488" w:type="pct"/>
                  <w:vAlign w:val="center"/>
                </w:tcPr>
                <w:p w14:paraId="139E076C">
                  <w:pPr>
                    <w:jc w:val="center"/>
                    <w:rPr>
                      <w:sz w:val="21"/>
                      <w:szCs w:val="21"/>
                    </w:rPr>
                  </w:pPr>
                  <w:r>
                    <w:rPr>
                      <w:rFonts w:hint="eastAsia"/>
                      <w:sz w:val="21"/>
                      <w:szCs w:val="21"/>
                    </w:rPr>
                    <w:t>0</w:t>
                  </w:r>
                </w:p>
              </w:tc>
              <w:tc>
                <w:tcPr>
                  <w:tcW w:w="463" w:type="pct"/>
                  <w:vAlign w:val="center"/>
                </w:tcPr>
                <w:p w14:paraId="308F7188">
                  <w:pPr>
                    <w:jc w:val="center"/>
                    <w:rPr>
                      <w:sz w:val="21"/>
                      <w:szCs w:val="21"/>
                    </w:rPr>
                  </w:pPr>
                  <w:r>
                    <w:rPr>
                      <w:rFonts w:hint="eastAsia"/>
                      <w:sz w:val="21"/>
                      <w:szCs w:val="21"/>
                    </w:rPr>
                    <w:t>不变</w:t>
                  </w:r>
                </w:p>
              </w:tc>
            </w:tr>
            <w:tr w14:paraId="445CE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3B422732">
                  <w:pPr>
                    <w:jc w:val="center"/>
                    <w:rPr>
                      <w:sz w:val="21"/>
                      <w:szCs w:val="21"/>
                    </w:rPr>
                  </w:pPr>
                </w:p>
              </w:tc>
              <w:tc>
                <w:tcPr>
                  <w:tcW w:w="743" w:type="pct"/>
                  <w:vMerge w:val="continue"/>
                  <w:vAlign w:val="center"/>
                </w:tcPr>
                <w:p w14:paraId="73E68A7E">
                  <w:pPr>
                    <w:jc w:val="center"/>
                    <w:rPr>
                      <w:sz w:val="21"/>
                      <w:szCs w:val="21"/>
                    </w:rPr>
                  </w:pPr>
                </w:p>
              </w:tc>
              <w:tc>
                <w:tcPr>
                  <w:tcW w:w="655" w:type="pct"/>
                  <w:vAlign w:val="center"/>
                </w:tcPr>
                <w:p w14:paraId="6E5C021A">
                  <w:pPr>
                    <w:jc w:val="center"/>
                    <w:rPr>
                      <w:sz w:val="21"/>
                      <w:szCs w:val="21"/>
                    </w:rPr>
                  </w:pPr>
                  <w:r>
                    <w:rPr>
                      <w:sz w:val="21"/>
                      <w:szCs w:val="21"/>
                    </w:rPr>
                    <w:t>双闸板防喷器</w:t>
                  </w:r>
                </w:p>
              </w:tc>
              <w:tc>
                <w:tcPr>
                  <w:tcW w:w="1043" w:type="pct"/>
                  <w:vAlign w:val="center"/>
                </w:tcPr>
                <w:p w14:paraId="5AC982E0">
                  <w:pPr>
                    <w:jc w:val="center"/>
                    <w:rPr>
                      <w:sz w:val="21"/>
                      <w:szCs w:val="21"/>
                    </w:rPr>
                  </w:pPr>
                  <w:r>
                    <w:rPr>
                      <w:sz w:val="21"/>
                      <w:szCs w:val="21"/>
                    </w:rPr>
                    <w:t>2FZ35-35</w:t>
                  </w:r>
                </w:p>
              </w:tc>
              <w:tc>
                <w:tcPr>
                  <w:tcW w:w="504" w:type="pct"/>
                  <w:vAlign w:val="center"/>
                </w:tcPr>
                <w:p w14:paraId="7FAEA6B6">
                  <w:pPr>
                    <w:jc w:val="center"/>
                    <w:rPr>
                      <w:sz w:val="21"/>
                      <w:szCs w:val="21"/>
                    </w:rPr>
                  </w:pPr>
                  <w:r>
                    <w:rPr>
                      <w:sz w:val="21"/>
                      <w:szCs w:val="21"/>
                    </w:rPr>
                    <w:t>/</w:t>
                  </w:r>
                </w:p>
              </w:tc>
              <w:tc>
                <w:tcPr>
                  <w:tcW w:w="463" w:type="pct"/>
                  <w:vAlign w:val="center"/>
                </w:tcPr>
                <w:p w14:paraId="6A3E7E10">
                  <w:pPr>
                    <w:jc w:val="center"/>
                    <w:rPr>
                      <w:sz w:val="21"/>
                      <w:szCs w:val="21"/>
                    </w:rPr>
                  </w:pPr>
                  <w:r>
                    <w:rPr>
                      <w:sz w:val="21"/>
                      <w:szCs w:val="21"/>
                    </w:rPr>
                    <w:t>1</w:t>
                  </w:r>
                </w:p>
              </w:tc>
              <w:tc>
                <w:tcPr>
                  <w:tcW w:w="423" w:type="pct"/>
                  <w:vAlign w:val="center"/>
                </w:tcPr>
                <w:p w14:paraId="7A772604">
                  <w:pPr>
                    <w:jc w:val="center"/>
                    <w:rPr>
                      <w:sz w:val="21"/>
                      <w:szCs w:val="21"/>
                    </w:rPr>
                  </w:pPr>
                  <w:r>
                    <w:rPr>
                      <w:sz w:val="21"/>
                      <w:szCs w:val="21"/>
                    </w:rPr>
                    <w:t>1</w:t>
                  </w:r>
                </w:p>
              </w:tc>
              <w:tc>
                <w:tcPr>
                  <w:tcW w:w="488" w:type="pct"/>
                  <w:vAlign w:val="center"/>
                </w:tcPr>
                <w:p w14:paraId="47FA7179">
                  <w:pPr>
                    <w:jc w:val="center"/>
                    <w:rPr>
                      <w:sz w:val="21"/>
                      <w:szCs w:val="21"/>
                    </w:rPr>
                  </w:pPr>
                  <w:r>
                    <w:rPr>
                      <w:rFonts w:hint="eastAsia"/>
                      <w:sz w:val="21"/>
                      <w:szCs w:val="21"/>
                    </w:rPr>
                    <w:t>0</w:t>
                  </w:r>
                </w:p>
              </w:tc>
              <w:tc>
                <w:tcPr>
                  <w:tcW w:w="463" w:type="pct"/>
                  <w:vAlign w:val="center"/>
                </w:tcPr>
                <w:p w14:paraId="6DDFF8E9">
                  <w:pPr>
                    <w:jc w:val="center"/>
                    <w:rPr>
                      <w:sz w:val="21"/>
                      <w:szCs w:val="21"/>
                    </w:rPr>
                  </w:pPr>
                  <w:r>
                    <w:rPr>
                      <w:rFonts w:hint="eastAsia"/>
                      <w:sz w:val="21"/>
                      <w:szCs w:val="21"/>
                    </w:rPr>
                    <w:t>不变</w:t>
                  </w:r>
                </w:p>
              </w:tc>
            </w:tr>
            <w:tr w14:paraId="2A376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3B1E6060">
                  <w:pPr>
                    <w:jc w:val="center"/>
                    <w:rPr>
                      <w:sz w:val="21"/>
                      <w:szCs w:val="21"/>
                    </w:rPr>
                  </w:pPr>
                </w:p>
              </w:tc>
              <w:tc>
                <w:tcPr>
                  <w:tcW w:w="743" w:type="pct"/>
                  <w:vMerge w:val="continue"/>
                  <w:vAlign w:val="center"/>
                </w:tcPr>
                <w:p w14:paraId="17641C58">
                  <w:pPr>
                    <w:jc w:val="center"/>
                    <w:rPr>
                      <w:sz w:val="21"/>
                      <w:szCs w:val="21"/>
                    </w:rPr>
                  </w:pPr>
                </w:p>
              </w:tc>
              <w:tc>
                <w:tcPr>
                  <w:tcW w:w="655" w:type="pct"/>
                  <w:vAlign w:val="center"/>
                </w:tcPr>
                <w:p w14:paraId="76A00ACC">
                  <w:pPr>
                    <w:jc w:val="center"/>
                    <w:rPr>
                      <w:sz w:val="21"/>
                      <w:szCs w:val="21"/>
                    </w:rPr>
                  </w:pPr>
                  <w:r>
                    <w:rPr>
                      <w:sz w:val="21"/>
                      <w:szCs w:val="21"/>
                    </w:rPr>
                    <w:t>四通</w:t>
                  </w:r>
                </w:p>
              </w:tc>
              <w:tc>
                <w:tcPr>
                  <w:tcW w:w="1043" w:type="pct"/>
                  <w:vAlign w:val="center"/>
                </w:tcPr>
                <w:p w14:paraId="74CB221A">
                  <w:pPr>
                    <w:jc w:val="center"/>
                    <w:rPr>
                      <w:sz w:val="21"/>
                      <w:szCs w:val="21"/>
                    </w:rPr>
                  </w:pPr>
                  <w:r>
                    <w:rPr>
                      <w:sz w:val="21"/>
                      <w:szCs w:val="21"/>
                    </w:rPr>
                    <w:t>FS35-35</w:t>
                  </w:r>
                </w:p>
              </w:tc>
              <w:tc>
                <w:tcPr>
                  <w:tcW w:w="504" w:type="pct"/>
                  <w:vAlign w:val="center"/>
                </w:tcPr>
                <w:p w14:paraId="2FE83229">
                  <w:pPr>
                    <w:jc w:val="center"/>
                    <w:rPr>
                      <w:sz w:val="21"/>
                      <w:szCs w:val="21"/>
                    </w:rPr>
                  </w:pPr>
                  <w:r>
                    <w:rPr>
                      <w:sz w:val="21"/>
                      <w:szCs w:val="21"/>
                    </w:rPr>
                    <w:t>/</w:t>
                  </w:r>
                </w:p>
              </w:tc>
              <w:tc>
                <w:tcPr>
                  <w:tcW w:w="463" w:type="pct"/>
                  <w:vAlign w:val="center"/>
                </w:tcPr>
                <w:p w14:paraId="79D92C54">
                  <w:pPr>
                    <w:jc w:val="center"/>
                    <w:rPr>
                      <w:sz w:val="21"/>
                      <w:szCs w:val="21"/>
                    </w:rPr>
                  </w:pPr>
                  <w:r>
                    <w:rPr>
                      <w:sz w:val="21"/>
                      <w:szCs w:val="21"/>
                    </w:rPr>
                    <w:t>1</w:t>
                  </w:r>
                </w:p>
              </w:tc>
              <w:tc>
                <w:tcPr>
                  <w:tcW w:w="423" w:type="pct"/>
                  <w:vAlign w:val="center"/>
                </w:tcPr>
                <w:p w14:paraId="1B867FC3">
                  <w:pPr>
                    <w:jc w:val="center"/>
                    <w:rPr>
                      <w:sz w:val="21"/>
                      <w:szCs w:val="21"/>
                    </w:rPr>
                  </w:pPr>
                  <w:r>
                    <w:rPr>
                      <w:sz w:val="21"/>
                      <w:szCs w:val="21"/>
                    </w:rPr>
                    <w:t>1</w:t>
                  </w:r>
                </w:p>
              </w:tc>
              <w:tc>
                <w:tcPr>
                  <w:tcW w:w="488" w:type="pct"/>
                  <w:vAlign w:val="center"/>
                </w:tcPr>
                <w:p w14:paraId="11E02F63">
                  <w:pPr>
                    <w:jc w:val="center"/>
                    <w:rPr>
                      <w:sz w:val="21"/>
                      <w:szCs w:val="21"/>
                    </w:rPr>
                  </w:pPr>
                  <w:r>
                    <w:rPr>
                      <w:rFonts w:hint="eastAsia"/>
                      <w:sz w:val="21"/>
                      <w:szCs w:val="21"/>
                    </w:rPr>
                    <w:t>0</w:t>
                  </w:r>
                </w:p>
              </w:tc>
              <w:tc>
                <w:tcPr>
                  <w:tcW w:w="463" w:type="pct"/>
                  <w:vAlign w:val="center"/>
                </w:tcPr>
                <w:p w14:paraId="6086B0BF">
                  <w:pPr>
                    <w:jc w:val="center"/>
                    <w:rPr>
                      <w:sz w:val="21"/>
                      <w:szCs w:val="21"/>
                    </w:rPr>
                  </w:pPr>
                  <w:r>
                    <w:rPr>
                      <w:rFonts w:hint="eastAsia"/>
                      <w:sz w:val="21"/>
                      <w:szCs w:val="21"/>
                    </w:rPr>
                    <w:t>不变</w:t>
                  </w:r>
                </w:p>
              </w:tc>
            </w:tr>
            <w:tr w14:paraId="00DBF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2ADDE6F8">
                  <w:pPr>
                    <w:jc w:val="center"/>
                    <w:rPr>
                      <w:sz w:val="21"/>
                      <w:szCs w:val="21"/>
                    </w:rPr>
                  </w:pPr>
                </w:p>
              </w:tc>
              <w:tc>
                <w:tcPr>
                  <w:tcW w:w="743" w:type="pct"/>
                  <w:vMerge w:val="continue"/>
                  <w:vAlign w:val="center"/>
                </w:tcPr>
                <w:p w14:paraId="1DF278C2">
                  <w:pPr>
                    <w:jc w:val="center"/>
                    <w:rPr>
                      <w:sz w:val="21"/>
                      <w:szCs w:val="21"/>
                    </w:rPr>
                  </w:pPr>
                </w:p>
              </w:tc>
              <w:tc>
                <w:tcPr>
                  <w:tcW w:w="655" w:type="pct"/>
                  <w:vAlign w:val="center"/>
                </w:tcPr>
                <w:p w14:paraId="7A0F7AF2">
                  <w:pPr>
                    <w:jc w:val="center"/>
                    <w:rPr>
                      <w:sz w:val="21"/>
                      <w:szCs w:val="21"/>
                    </w:rPr>
                  </w:pPr>
                  <w:r>
                    <w:rPr>
                      <w:sz w:val="21"/>
                      <w:szCs w:val="21"/>
                    </w:rPr>
                    <w:t>控制装置</w:t>
                  </w:r>
                </w:p>
              </w:tc>
              <w:tc>
                <w:tcPr>
                  <w:tcW w:w="1043" w:type="pct"/>
                  <w:vAlign w:val="center"/>
                </w:tcPr>
                <w:p w14:paraId="3EEC9944">
                  <w:pPr>
                    <w:jc w:val="center"/>
                    <w:rPr>
                      <w:sz w:val="21"/>
                      <w:szCs w:val="21"/>
                    </w:rPr>
                  </w:pPr>
                  <w:r>
                    <w:rPr>
                      <w:sz w:val="21"/>
                      <w:szCs w:val="21"/>
                    </w:rPr>
                    <w:t>远控台FKQ640-7</w:t>
                  </w:r>
                </w:p>
                <w:p w14:paraId="15C08937">
                  <w:pPr>
                    <w:jc w:val="center"/>
                    <w:rPr>
                      <w:sz w:val="21"/>
                      <w:szCs w:val="21"/>
                    </w:rPr>
                  </w:pPr>
                  <w:r>
                    <w:rPr>
                      <w:sz w:val="21"/>
                      <w:szCs w:val="21"/>
                    </w:rPr>
                    <w:t>司控台FZQ1-1-7</w:t>
                  </w:r>
                </w:p>
                <w:p w14:paraId="165CCFB6">
                  <w:pPr>
                    <w:jc w:val="center"/>
                    <w:rPr>
                      <w:sz w:val="21"/>
                      <w:szCs w:val="21"/>
                    </w:rPr>
                  </w:pPr>
                  <w:r>
                    <w:rPr>
                      <w:sz w:val="21"/>
                      <w:szCs w:val="21"/>
                    </w:rPr>
                    <w:t>节控箱JYK-1-35D</w:t>
                  </w:r>
                </w:p>
              </w:tc>
              <w:tc>
                <w:tcPr>
                  <w:tcW w:w="504" w:type="pct"/>
                  <w:vAlign w:val="center"/>
                </w:tcPr>
                <w:p w14:paraId="01992C99">
                  <w:pPr>
                    <w:jc w:val="center"/>
                    <w:rPr>
                      <w:sz w:val="21"/>
                      <w:szCs w:val="21"/>
                    </w:rPr>
                  </w:pPr>
                  <w:r>
                    <w:rPr>
                      <w:sz w:val="21"/>
                      <w:szCs w:val="21"/>
                    </w:rPr>
                    <w:t>/</w:t>
                  </w:r>
                </w:p>
              </w:tc>
              <w:tc>
                <w:tcPr>
                  <w:tcW w:w="463" w:type="pct"/>
                  <w:vAlign w:val="center"/>
                </w:tcPr>
                <w:p w14:paraId="6C5094E3">
                  <w:pPr>
                    <w:jc w:val="center"/>
                    <w:rPr>
                      <w:sz w:val="21"/>
                      <w:szCs w:val="21"/>
                    </w:rPr>
                  </w:pPr>
                  <w:r>
                    <w:rPr>
                      <w:sz w:val="21"/>
                      <w:szCs w:val="21"/>
                    </w:rPr>
                    <w:t>1</w:t>
                  </w:r>
                </w:p>
              </w:tc>
              <w:tc>
                <w:tcPr>
                  <w:tcW w:w="423" w:type="pct"/>
                  <w:vAlign w:val="center"/>
                </w:tcPr>
                <w:p w14:paraId="6A6CC837">
                  <w:pPr>
                    <w:jc w:val="center"/>
                    <w:rPr>
                      <w:sz w:val="21"/>
                      <w:szCs w:val="21"/>
                    </w:rPr>
                  </w:pPr>
                  <w:r>
                    <w:rPr>
                      <w:sz w:val="21"/>
                      <w:szCs w:val="21"/>
                    </w:rPr>
                    <w:t>1</w:t>
                  </w:r>
                </w:p>
              </w:tc>
              <w:tc>
                <w:tcPr>
                  <w:tcW w:w="488" w:type="pct"/>
                  <w:vAlign w:val="center"/>
                </w:tcPr>
                <w:p w14:paraId="6A49E62E">
                  <w:pPr>
                    <w:jc w:val="center"/>
                    <w:rPr>
                      <w:sz w:val="21"/>
                      <w:szCs w:val="21"/>
                    </w:rPr>
                  </w:pPr>
                  <w:r>
                    <w:rPr>
                      <w:rFonts w:hint="eastAsia"/>
                      <w:sz w:val="21"/>
                      <w:szCs w:val="21"/>
                    </w:rPr>
                    <w:t>0</w:t>
                  </w:r>
                </w:p>
              </w:tc>
              <w:tc>
                <w:tcPr>
                  <w:tcW w:w="463" w:type="pct"/>
                  <w:vAlign w:val="center"/>
                </w:tcPr>
                <w:p w14:paraId="30106ABF">
                  <w:pPr>
                    <w:jc w:val="center"/>
                    <w:rPr>
                      <w:sz w:val="21"/>
                      <w:szCs w:val="21"/>
                    </w:rPr>
                  </w:pPr>
                  <w:r>
                    <w:rPr>
                      <w:rFonts w:hint="eastAsia"/>
                      <w:sz w:val="21"/>
                      <w:szCs w:val="21"/>
                    </w:rPr>
                    <w:t>不变</w:t>
                  </w:r>
                </w:p>
              </w:tc>
            </w:tr>
            <w:tr w14:paraId="3FED1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12307285">
                  <w:pPr>
                    <w:jc w:val="center"/>
                    <w:rPr>
                      <w:sz w:val="21"/>
                      <w:szCs w:val="21"/>
                    </w:rPr>
                  </w:pPr>
                </w:p>
              </w:tc>
              <w:tc>
                <w:tcPr>
                  <w:tcW w:w="743" w:type="pct"/>
                  <w:vMerge w:val="continue"/>
                  <w:vAlign w:val="center"/>
                </w:tcPr>
                <w:p w14:paraId="67A62411">
                  <w:pPr>
                    <w:jc w:val="center"/>
                    <w:rPr>
                      <w:sz w:val="21"/>
                      <w:szCs w:val="21"/>
                    </w:rPr>
                  </w:pPr>
                </w:p>
              </w:tc>
              <w:tc>
                <w:tcPr>
                  <w:tcW w:w="655" w:type="pct"/>
                  <w:vAlign w:val="center"/>
                </w:tcPr>
                <w:p w14:paraId="6BC29E04">
                  <w:pPr>
                    <w:jc w:val="center"/>
                    <w:rPr>
                      <w:sz w:val="21"/>
                      <w:szCs w:val="21"/>
                    </w:rPr>
                  </w:pPr>
                  <w:r>
                    <w:rPr>
                      <w:sz w:val="21"/>
                      <w:szCs w:val="21"/>
                    </w:rPr>
                    <w:t>节流压井管汇</w:t>
                  </w:r>
                </w:p>
              </w:tc>
              <w:tc>
                <w:tcPr>
                  <w:tcW w:w="1043" w:type="pct"/>
                  <w:vAlign w:val="center"/>
                </w:tcPr>
                <w:p w14:paraId="2434EEF3">
                  <w:pPr>
                    <w:jc w:val="center"/>
                    <w:rPr>
                      <w:sz w:val="21"/>
                      <w:szCs w:val="21"/>
                    </w:rPr>
                  </w:pPr>
                  <w:r>
                    <w:rPr>
                      <w:sz w:val="21"/>
                      <w:szCs w:val="21"/>
                    </w:rPr>
                    <w:t>JG/YG103-35</w:t>
                  </w:r>
                </w:p>
              </w:tc>
              <w:tc>
                <w:tcPr>
                  <w:tcW w:w="504" w:type="pct"/>
                  <w:vAlign w:val="center"/>
                </w:tcPr>
                <w:p w14:paraId="1DBF9E8C">
                  <w:pPr>
                    <w:jc w:val="center"/>
                    <w:rPr>
                      <w:sz w:val="21"/>
                      <w:szCs w:val="21"/>
                    </w:rPr>
                  </w:pPr>
                  <w:r>
                    <w:rPr>
                      <w:sz w:val="21"/>
                      <w:szCs w:val="21"/>
                    </w:rPr>
                    <w:t>/</w:t>
                  </w:r>
                </w:p>
              </w:tc>
              <w:tc>
                <w:tcPr>
                  <w:tcW w:w="463" w:type="pct"/>
                  <w:vAlign w:val="center"/>
                </w:tcPr>
                <w:p w14:paraId="5B321229">
                  <w:pPr>
                    <w:jc w:val="center"/>
                    <w:rPr>
                      <w:sz w:val="21"/>
                      <w:szCs w:val="21"/>
                    </w:rPr>
                  </w:pPr>
                  <w:r>
                    <w:rPr>
                      <w:sz w:val="21"/>
                      <w:szCs w:val="21"/>
                    </w:rPr>
                    <w:t>1</w:t>
                  </w:r>
                </w:p>
              </w:tc>
              <w:tc>
                <w:tcPr>
                  <w:tcW w:w="423" w:type="pct"/>
                  <w:vAlign w:val="center"/>
                </w:tcPr>
                <w:p w14:paraId="2AEF9CAB">
                  <w:pPr>
                    <w:jc w:val="center"/>
                    <w:rPr>
                      <w:sz w:val="21"/>
                      <w:szCs w:val="21"/>
                    </w:rPr>
                  </w:pPr>
                  <w:r>
                    <w:rPr>
                      <w:sz w:val="21"/>
                      <w:szCs w:val="21"/>
                    </w:rPr>
                    <w:t>1</w:t>
                  </w:r>
                </w:p>
              </w:tc>
              <w:tc>
                <w:tcPr>
                  <w:tcW w:w="488" w:type="pct"/>
                  <w:vAlign w:val="center"/>
                </w:tcPr>
                <w:p w14:paraId="455A0391">
                  <w:pPr>
                    <w:jc w:val="center"/>
                    <w:rPr>
                      <w:sz w:val="21"/>
                      <w:szCs w:val="21"/>
                    </w:rPr>
                  </w:pPr>
                  <w:r>
                    <w:rPr>
                      <w:rFonts w:hint="eastAsia"/>
                      <w:sz w:val="21"/>
                      <w:szCs w:val="21"/>
                    </w:rPr>
                    <w:t>0</w:t>
                  </w:r>
                </w:p>
              </w:tc>
              <w:tc>
                <w:tcPr>
                  <w:tcW w:w="463" w:type="pct"/>
                  <w:vAlign w:val="center"/>
                </w:tcPr>
                <w:p w14:paraId="2947BB67">
                  <w:pPr>
                    <w:jc w:val="center"/>
                    <w:rPr>
                      <w:sz w:val="21"/>
                      <w:szCs w:val="21"/>
                    </w:rPr>
                  </w:pPr>
                  <w:r>
                    <w:rPr>
                      <w:rFonts w:hint="eastAsia"/>
                      <w:sz w:val="21"/>
                      <w:szCs w:val="21"/>
                    </w:rPr>
                    <w:t>不变</w:t>
                  </w:r>
                </w:p>
              </w:tc>
            </w:tr>
            <w:tr w14:paraId="0A32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06865C57">
                  <w:pPr>
                    <w:jc w:val="center"/>
                    <w:rPr>
                      <w:sz w:val="21"/>
                      <w:szCs w:val="21"/>
                    </w:rPr>
                  </w:pPr>
                </w:p>
              </w:tc>
              <w:tc>
                <w:tcPr>
                  <w:tcW w:w="743" w:type="pct"/>
                  <w:vMerge w:val="continue"/>
                  <w:vAlign w:val="center"/>
                </w:tcPr>
                <w:p w14:paraId="6B91202A">
                  <w:pPr>
                    <w:jc w:val="center"/>
                    <w:rPr>
                      <w:sz w:val="21"/>
                      <w:szCs w:val="21"/>
                    </w:rPr>
                  </w:pPr>
                </w:p>
              </w:tc>
              <w:tc>
                <w:tcPr>
                  <w:tcW w:w="655" w:type="pct"/>
                  <w:vAlign w:val="center"/>
                </w:tcPr>
                <w:p w14:paraId="398BCBB1">
                  <w:pPr>
                    <w:jc w:val="center"/>
                    <w:rPr>
                      <w:sz w:val="21"/>
                      <w:szCs w:val="21"/>
                    </w:rPr>
                  </w:pPr>
                  <w:r>
                    <w:rPr>
                      <w:sz w:val="21"/>
                      <w:szCs w:val="21"/>
                    </w:rPr>
                    <w:t>液气分离器</w:t>
                  </w:r>
                </w:p>
              </w:tc>
              <w:tc>
                <w:tcPr>
                  <w:tcW w:w="1043" w:type="pct"/>
                  <w:vAlign w:val="center"/>
                </w:tcPr>
                <w:p w14:paraId="43121673">
                  <w:pPr>
                    <w:jc w:val="center"/>
                    <w:rPr>
                      <w:sz w:val="21"/>
                      <w:szCs w:val="21"/>
                    </w:rPr>
                  </w:pPr>
                  <w:r>
                    <w:rPr>
                      <w:sz w:val="21"/>
                      <w:szCs w:val="21"/>
                    </w:rPr>
                    <w:t>YQ800</w:t>
                  </w:r>
                </w:p>
              </w:tc>
              <w:tc>
                <w:tcPr>
                  <w:tcW w:w="504" w:type="pct"/>
                  <w:vAlign w:val="center"/>
                </w:tcPr>
                <w:p w14:paraId="27F408C1">
                  <w:pPr>
                    <w:jc w:val="center"/>
                    <w:rPr>
                      <w:sz w:val="21"/>
                      <w:szCs w:val="21"/>
                    </w:rPr>
                  </w:pPr>
                  <w:r>
                    <w:rPr>
                      <w:sz w:val="21"/>
                      <w:szCs w:val="21"/>
                    </w:rPr>
                    <w:t>/</w:t>
                  </w:r>
                </w:p>
              </w:tc>
              <w:tc>
                <w:tcPr>
                  <w:tcW w:w="463" w:type="pct"/>
                  <w:vAlign w:val="center"/>
                </w:tcPr>
                <w:p w14:paraId="580098D2">
                  <w:pPr>
                    <w:jc w:val="center"/>
                    <w:rPr>
                      <w:sz w:val="21"/>
                      <w:szCs w:val="21"/>
                    </w:rPr>
                  </w:pPr>
                  <w:r>
                    <w:rPr>
                      <w:sz w:val="21"/>
                      <w:szCs w:val="21"/>
                    </w:rPr>
                    <w:t>1</w:t>
                  </w:r>
                </w:p>
              </w:tc>
              <w:tc>
                <w:tcPr>
                  <w:tcW w:w="423" w:type="pct"/>
                  <w:vAlign w:val="center"/>
                </w:tcPr>
                <w:p w14:paraId="29F39FC9">
                  <w:pPr>
                    <w:jc w:val="center"/>
                    <w:rPr>
                      <w:sz w:val="21"/>
                      <w:szCs w:val="21"/>
                    </w:rPr>
                  </w:pPr>
                  <w:r>
                    <w:rPr>
                      <w:sz w:val="21"/>
                      <w:szCs w:val="21"/>
                    </w:rPr>
                    <w:t>1</w:t>
                  </w:r>
                </w:p>
              </w:tc>
              <w:tc>
                <w:tcPr>
                  <w:tcW w:w="488" w:type="pct"/>
                  <w:vAlign w:val="center"/>
                </w:tcPr>
                <w:p w14:paraId="0245A04A">
                  <w:pPr>
                    <w:jc w:val="center"/>
                    <w:rPr>
                      <w:sz w:val="21"/>
                      <w:szCs w:val="21"/>
                    </w:rPr>
                  </w:pPr>
                  <w:r>
                    <w:rPr>
                      <w:rFonts w:hint="eastAsia"/>
                      <w:sz w:val="21"/>
                      <w:szCs w:val="21"/>
                    </w:rPr>
                    <w:t>0</w:t>
                  </w:r>
                </w:p>
              </w:tc>
              <w:tc>
                <w:tcPr>
                  <w:tcW w:w="463" w:type="pct"/>
                  <w:vAlign w:val="center"/>
                </w:tcPr>
                <w:p w14:paraId="4422E830">
                  <w:pPr>
                    <w:jc w:val="center"/>
                    <w:rPr>
                      <w:sz w:val="21"/>
                      <w:szCs w:val="21"/>
                    </w:rPr>
                  </w:pPr>
                  <w:r>
                    <w:rPr>
                      <w:rFonts w:hint="eastAsia"/>
                      <w:sz w:val="21"/>
                      <w:szCs w:val="21"/>
                    </w:rPr>
                    <w:t>不变</w:t>
                  </w:r>
                </w:p>
              </w:tc>
            </w:tr>
            <w:tr w14:paraId="3BE8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restart"/>
                  <w:vAlign w:val="center"/>
                </w:tcPr>
                <w:p w14:paraId="44EE9348">
                  <w:pPr>
                    <w:jc w:val="center"/>
                    <w:rPr>
                      <w:sz w:val="21"/>
                      <w:szCs w:val="21"/>
                    </w:rPr>
                  </w:pPr>
                  <w:r>
                    <w:rPr>
                      <w:sz w:val="21"/>
                      <w:szCs w:val="21"/>
                    </w:rPr>
                    <w:t>11</w:t>
                  </w:r>
                </w:p>
              </w:tc>
              <w:tc>
                <w:tcPr>
                  <w:tcW w:w="743" w:type="pct"/>
                  <w:vMerge w:val="restart"/>
                  <w:vAlign w:val="center"/>
                </w:tcPr>
                <w:p w14:paraId="0F9511D1">
                  <w:pPr>
                    <w:jc w:val="center"/>
                    <w:rPr>
                      <w:sz w:val="21"/>
                      <w:szCs w:val="21"/>
                    </w:rPr>
                  </w:pPr>
                  <w:r>
                    <w:rPr>
                      <w:sz w:val="21"/>
                      <w:szCs w:val="21"/>
                    </w:rPr>
                    <w:t>安全配备</w:t>
                  </w:r>
                </w:p>
              </w:tc>
              <w:tc>
                <w:tcPr>
                  <w:tcW w:w="655" w:type="pct"/>
                  <w:vAlign w:val="center"/>
                </w:tcPr>
                <w:p w14:paraId="64D93E8A">
                  <w:pPr>
                    <w:jc w:val="center"/>
                    <w:rPr>
                      <w:sz w:val="21"/>
                      <w:szCs w:val="21"/>
                    </w:rPr>
                  </w:pPr>
                  <w:r>
                    <w:rPr>
                      <w:sz w:val="21"/>
                      <w:szCs w:val="21"/>
                    </w:rPr>
                    <w:t>二层台逃生装置</w:t>
                  </w:r>
                </w:p>
              </w:tc>
              <w:tc>
                <w:tcPr>
                  <w:tcW w:w="1043" w:type="pct"/>
                  <w:vAlign w:val="center"/>
                </w:tcPr>
                <w:p w14:paraId="7D411623">
                  <w:pPr>
                    <w:jc w:val="center"/>
                    <w:rPr>
                      <w:sz w:val="21"/>
                      <w:szCs w:val="21"/>
                    </w:rPr>
                  </w:pPr>
                  <w:r>
                    <w:rPr>
                      <w:sz w:val="21"/>
                      <w:szCs w:val="21"/>
                    </w:rPr>
                    <w:t>/</w:t>
                  </w:r>
                </w:p>
              </w:tc>
              <w:tc>
                <w:tcPr>
                  <w:tcW w:w="504" w:type="pct"/>
                  <w:vAlign w:val="center"/>
                </w:tcPr>
                <w:p w14:paraId="44FB2D08">
                  <w:pPr>
                    <w:jc w:val="center"/>
                    <w:rPr>
                      <w:sz w:val="21"/>
                      <w:szCs w:val="21"/>
                    </w:rPr>
                  </w:pPr>
                  <w:r>
                    <w:rPr>
                      <w:sz w:val="21"/>
                      <w:szCs w:val="21"/>
                    </w:rPr>
                    <w:t>/</w:t>
                  </w:r>
                </w:p>
              </w:tc>
              <w:tc>
                <w:tcPr>
                  <w:tcW w:w="463" w:type="pct"/>
                  <w:vAlign w:val="center"/>
                </w:tcPr>
                <w:p w14:paraId="72FB7088">
                  <w:pPr>
                    <w:jc w:val="center"/>
                    <w:rPr>
                      <w:sz w:val="21"/>
                      <w:szCs w:val="21"/>
                    </w:rPr>
                  </w:pPr>
                  <w:r>
                    <w:rPr>
                      <w:sz w:val="21"/>
                      <w:szCs w:val="21"/>
                    </w:rPr>
                    <w:t>1</w:t>
                  </w:r>
                </w:p>
              </w:tc>
              <w:tc>
                <w:tcPr>
                  <w:tcW w:w="423" w:type="pct"/>
                  <w:vAlign w:val="center"/>
                </w:tcPr>
                <w:p w14:paraId="33190F70">
                  <w:pPr>
                    <w:jc w:val="center"/>
                    <w:rPr>
                      <w:sz w:val="21"/>
                      <w:szCs w:val="21"/>
                    </w:rPr>
                  </w:pPr>
                  <w:r>
                    <w:rPr>
                      <w:sz w:val="21"/>
                      <w:szCs w:val="21"/>
                    </w:rPr>
                    <w:t>1</w:t>
                  </w:r>
                </w:p>
              </w:tc>
              <w:tc>
                <w:tcPr>
                  <w:tcW w:w="488" w:type="pct"/>
                  <w:vAlign w:val="center"/>
                </w:tcPr>
                <w:p w14:paraId="6372033E">
                  <w:pPr>
                    <w:jc w:val="center"/>
                    <w:rPr>
                      <w:sz w:val="21"/>
                      <w:szCs w:val="21"/>
                    </w:rPr>
                  </w:pPr>
                  <w:r>
                    <w:rPr>
                      <w:rFonts w:hint="eastAsia"/>
                      <w:sz w:val="21"/>
                      <w:szCs w:val="21"/>
                    </w:rPr>
                    <w:t>0</w:t>
                  </w:r>
                </w:p>
              </w:tc>
              <w:tc>
                <w:tcPr>
                  <w:tcW w:w="463" w:type="pct"/>
                  <w:vAlign w:val="center"/>
                </w:tcPr>
                <w:p w14:paraId="27F34D46">
                  <w:pPr>
                    <w:jc w:val="center"/>
                    <w:rPr>
                      <w:sz w:val="21"/>
                      <w:szCs w:val="21"/>
                    </w:rPr>
                  </w:pPr>
                  <w:r>
                    <w:rPr>
                      <w:rFonts w:hint="eastAsia"/>
                      <w:sz w:val="21"/>
                      <w:szCs w:val="21"/>
                    </w:rPr>
                    <w:t>不变</w:t>
                  </w:r>
                </w:p>
              </w:tc>
            </w:tr>
            <w:tr w14:paraId="797B6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3" w:type="pct"/>
                  <w:vMerge w:val="continue"/>
                  <w:vAlign w:val="center"/>
                </w:tcPr>
                <w:p w14:paraId="55C1ADC3">
                  <w:pPr>
                    <w:jc w:val="center"/>
                    <w:rPr>
                      <w:sz w:val="21"/>
                      <w:szCs w:val="21"/>
                    </w:rPr>
                  </w:pPr>
                </w:p>
              </w:tc>
              <w:tc>
                <w:tcPr>
                  <w:tcW w:w="743" w:type="pct"/>
                  <w:vMerge w:val="continue"/>
                  <w:vAlign w:val="center"/>
                </w:tcPr>
                <w:p w14:paraId="0233ECE2">
                  <w:pPr>
                    <w:jc w:val="center"/>
                    <w:rPr>
                      <w:sz w:val="21"/>
                      <w:szCs w:val="21"/>
                    </w:rPr>
                  </w:pPr>
                </w:p>
              </w:tc>
              <w:tc>
                <w:tcPr>
                  <w:tcW w:w="655" w:type="pct"/>
                  <w:vAlign w:val="center"/>
                </w:tcPr>
                <w:p w14:paraId="1D1341D1">
                  <w:pPr>
                    <w:jc w:val="center"/>
                    <w:rPr>
                      <w:sz w:val="21"/>
                      <w:szCs w:val="21"/>
                    </w:rPr>
                  </w:pPr>
                  <w:r>
                    <w:rPr>
                      <w:sz w:val="21"/>
                      <w:szCs w:val="21"/>
                    </w:rPr>
                    <w:t>自动点火装置</w:t>
                  </w:r>
                </w:p>
              </w:tc>
              <w:tc>
                <w:tcPr>
                  <w:tcW w:w="1043" w:type="pct"/>
                  <w:vAlign w:val="center"/>
                </w:tcPr>
                <w:p w14:paraId="06D0ACBF">
                  <w:pPr>
                    <w:jc w:val="center"/>
                    <w:rPr>
                      <w:sz w:val="21"/>
                      <w:szCs w:val="21"/>
                    </w:rPr>
                  </w:pPr>
                  <w:r>
                    <w:rPr>
                      <w:sz w:val="21"/>
                      <w:szCs w:val="21"/>
                    </w:rPr>
                    <w:t>/</w:t>
                  </w:r>
                </w:p>
              </w:tc>
              <w:tc>
                <w:tcPr>
                  <w:tcW w:w="504" w:type="pct"/>
                  <w:vAlign w:val="center"/>
                </w:tcPr>
                <w:p w14:paraId="0E7FE040">
                  <w:pPr>
                    <w:jc w:val="center"/>
                    <w:rPr>
                      <w:sz w:val="21"/>
                      <w:szCs w:val="21"/>
                    </w:rPr>
                  </w:pPr>
                  <w:r>
                    <w:rPr>
                      <w:sz w:val="21"/>
                      <w:szCs w:val="21"/>
                    </w:rPr>
                    <w:t>/</w:t>
                  </w:r>
                </w:p>
              </w:tc>
              <w:tc>
                <w:tcPr>
                  <w:tcW w:w="463" w:type="pct"/>
                  <w:vAlign w:val="center"/>
                </w:tcPr>
                <w:p w14:paraId="5ACAA7F4">
                  <w:pPr>
                    <w:jc w:val="center"/>
                    <w:rPr>
                      <w:sz w:val="21"/>
                      <w:szCs w:val="21"/>
                    </w:rPr>
                  </w:pPr>
                  <w:r>
                    <w:rPr>
                      <w:sz w:val="21"/>
                      <w:szCs w:val="21"/>
                    </w:rPr>
                    <w:t>1</w:t>
                  </w:r>
                </w:p>
              </w:tc>
              <w:tc>
                <w:tcPr>
                  <w:tcW w:w="423" w:type="pct"/>
                  <w:vAlign w:val="center"/>
                </w:tcPr>
                <w:p w14:paraId="2B9A1807">
                  <w:pPr>
                    <w:jc w:val="center"/>
                    <w:rPr>
                      <w:sz w:val="21"/>
                      <w:szCs w:val="21"/>
                    </w:rPr>
                  </w:pPr>
                  <w:r>
                    <w:rPr>
                      <w:sz w:val="21"/>
                      <w:szCs w:val="21"/>
                    </w:rPr>
                    <w:t>1</w:t>
                  </w:r>
                </w:p>
              </w:tc>
              <w:tc>
                <w:tcPr>
                  <w:tcW w:w="488" w:type="pct"/>
                  <w:vAlign w:val="center"/>
                </w:tcPr>
                <w:p w14:paraId="51989CF5">
                  <w:pPr>
                    <w:jc w:val="center"/>
                    <w:rPr>
                      <w:sz w:val="21"/>
                      <w:szCs w:val="21"/>
                    </w:rPr>
                  </w:pPr>
                  <w:r>
                    <w:rPr>
                      <w:rFonts w:hint="eastAsia"/>
                      <w:sz w:val="21"/>
                      <w:szCs w:val="21"/>
                    </w:rPr>
                    <w:t>0</w:t>
                  </w:r>
                </w:p>
              </w:tc>
              <w:tc>
                <w:tcPr>
                  <w:tcW w:w="463" w:type="pct"/>
                  <w:vAlign w:val="center"/>
                </w:tcPr>
                <w:p w14:paraId="66CA49BB">
                  <w:pPr>
                    <w:jc w:val="center"/>
                    <w:rPr>
                      <w:sz w:val="21"/>
                      <w:szCs w:val="21"/>
                    </w:rPr>
                  </w:pPr>
                  <w:r>
                    <w:rPr>
                      <w:rFonts w:hint="eastAsia"/>
                      <w:sz w:val="21"/>
                      <w:szCs w:val="21"/>
                    </w:rPr>
                    <w:t>不变</w:t>
                  </w:r>
                </w:p>
              </w:tc>
            </w:tr>
          </w:tbl>
          <w:p w14:paraId="0E00EF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表2-11 压裂施工设备</w:t>
            </w:r>
          </w:p>
          <w:tbl>
            <w:tblPr>
              <w:tblStyle w:val="19"/>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40"/>
              <w:gridCol w:w="2436"/>
              <w:gridCol w:w="4177"/>
            </w:tblGrid>
            <w:tr w14:paraId="7877E4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blHeader/>
                <w:jc w:val="center"/>
              </w:trPr>
              <w:tc>
                <w:tcPr>
                  <w:tcW w:w="1265"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54F70EC5">
                  <w:pPr>
                    <w:jc w:val="center"/>
                    <w:rPr>
                      <w:color w:val="auto"/>
                      <w:sz w:val="21"/>
                      <w:szCs w:val="21"/>
                    </w:rPr>
                  </w:pPr>
                  <w:r>
                    <w:rPr>
                      <w:color w:val="auto"/>
                      <w:sz w:val="21"/>
                      <w:szCs w:val="21"/>
                    </w:rPr>
                    <w:t>设备名称</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E7662">
                  <w:pPr>
                    <w:jc w:val="center"/>
                    <w:rPr>
                      <w:color w:val="auto"/>
                      <w:sz w:val="21"/>
                      <w:szCs w:val="21"/>
                    </w:rPr>
                  </w:pPr>
                  <w:r>
                    <w:rPr>
                      <w:color w:val="auto"/>
                      <w:sz w:val="21"/>
                      <w:szCs w:val="21"/>
                    </w:rPr>
                    <w:t>参数</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1046C5">
                  <w:pPr>
                    <w:jc w:val="center"/>
                    <w:rPr>
                      <w:color w:val="auto"/>
                      <w:sz w:val="21"/>
                      <w:szCs w:val="21"/>
                    </w:rPr>
                  </w:pPr>
                  <w:r>
                    <w:rPr>
                      <w:color w:val="auto"/>
                      <w:sz w:val="21"/>
                      <w:szCs w:val="21"/>
                    </w:rPr>
                    <w:t>数量</w:t>
                  </w:r>
                </w:p>
              </w:tc>
            </w:tr>
            <w:tr w14:paraId="156D2B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76D945">
                  <w:pPr>
                    <w:jc w:val="center"/>
                    <w:rPr>
                      <w:color w:val="auto"/>
                      <w:sz w:val="21"/>
                      <w:szCs w:val="21"/>
                    </w:rPr>
                  </w:pPr>
                  <w:r>
                    <w:rPr>
                      <w:color w:val="auto"/>
                      <w:sz w:val="21"/>
                      <w:szCs w:val="21"/>
                    </w:rPr>
                    <w:t>压裂泵</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9F07A">
                  <w:pPr>
                    <w:jc w:val="center"/>
                    <w:rPr>
                      <w:color w:val="auto"/>
                      <w:sz w:val="21"/>
                      <w:szCs w:val="21"/>
                    </w:rPr>
                  </w:pPr>
                  <w:r>
                    <w:rPr>
                      <w:color w:val="auto"/>
                      <w:sz w:val="21"/>
                      <w:szCs w:val="21"/>
                    </w:rPr>
                    <w:t>功率&gt;33538hp</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0B4BF0">
                  <w:pPr>
                    <w:jc w:val="center"/>
                    <w:rPr>
                      <w:color w:val="auto"/>
                      <w:sz w:val="21"/>
                      <w:szCs w:val="21"/>
                    </w:rPr>
                  </w:pPr>
                  <w:r>
                    <w:rPr>
                      <w:color w:val="auto"/>
                      <w:sz w:val="21"/>
                      <w:szCs w:val="21"/>
                    </w:rPr>
                    <w:t>压裂泵≤12台</w:t>
                  </w:r>
                </w:p>
              </w:tc>
            </w:tr>
            <w:tr w14:paraId="18E36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22FF25">
                  <w:pPr>
                    <w:jc w:val="center"/>
                    <w:rPr>
                      <w:color w:val="auto"/>
                      <w:sz w:val="21"/>
                      <w:szCs w:val="21"/>
                    </w:rPr>
                  </w:pPr>
                  <w:r>
                    <w:rPr>
                      <w:color w:val="auto"/>
                      <w:sz w:val="21"/>
                      <w:szCs w:val="21"/>
                    </w:rPr>
                    <w:t>仪表车</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A2DD93">
                  <w:pPr>
                    <w:jc w:val="center"/>
                    <w:rPr>
                      <w:color w:val="auto"/>
                      <w:sz w:val="21"/>
                      <w:szCs w:val="21"/>
                    </w:rPr>
                  </w:pPr>
                  <w:r>
                    <w:rPr>
                      <w:color w:val="auto"/>
                      <w:sz w:val="21"/>
                      <w:szCs w:val="21"/>
                    </w:rPr>
                    <w:t>计量误差≤1%</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1B0D8C">
                  <w:pPr>
                    <w:jc w:val="center"/>
                    <w:rPr>
                      <w:color w:val="auto"/>
                      <w:sz w:val="21"/>
                      <w:szCs w:val="21"/>
                    </w:rPr>
                  </w:pPr>
                  <w:r>
                    <w:rPr>
                      <w:color w:val="auto"/>
                      <w:sz w:val="21"/>
                      <w:szCs w:val="21"/>
                    </w:rPr>
                    <w:t>1台</w:t>
                  </w:r>
                </w:p>
              </w:tc>
            </w:tr>
            <w:tr w14:paraId="7CAD7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2116D">
                  <w:pPr>
                    <w:jc w:val="center"/>
                    <w:rPr>
                      <w:color w:val="auto"/>
                      <w:sz w:val="21"/>
                      <w:szCs w:val="21"/>
                    </w:rPr>
                  </w:pPr>
                  <w:r>
                    <w:rPr>
                      <w:color w:val="auto"/>
                      <w:sz w:val="21"/>
                      <w:szCs w:val="21"/>
                    </w:rPr>
                    <w:t>混砂车</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38127">
                  <w:pPr>
                    <w:jc w:val="center"/>
                    <w:rPr>
                      <w:color w:val="auto"/>
                      <w:sz w:val="21"/>
                      <w:szCs w:val="21"/>
                    </w:rPr>
                  </w:pPr>
                  <w:r>
                    <w:rPr>
                      <w:color w:val="auto"/>
                      <w:sz w:val="21"/>
                      <w:szCs w:val="21"/>
                    </w:rPr>
                    <w:t>供液速度≥14m</w:t>
                  </w:r>
                  <w:r>
                    <w:rPr>
                      <w:color w:val="auto"/>
                      <w:sz w:val="21"/>
                      <w:szCs w:val="21"/>
                      <w:vertAlign w:val="superscript"/>
                    </w:rPr>
                    <w:t>3</w:t>
                  </w:r>
                  <w:r>
                    <w:rPr>
                      <w:color w:val="auto"/>
                      <w:sz w:val="21"/>
                      <w:szCs w:val="21"/>
                    </w:rPr>
                    <w:t>/min</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9E86FE">
                  <w:pPr>
                    <w:jc w:val="center"/>
                    <w:rPr>
                      <w:color w:val="auto"/>
                      <w:sz w:val="21"/>
                      <w:szCs w:val="21"/>
                    </w:rPr>
                  </w:pPr>
                  <w:r>
                    <w:rPr>
                      <w:color w:val="auto"/>
                      <w:sz w:val="21"/>
                      <w:szCs w:val="21"/>
                    </w:rPr>
                    <w:t>≤2台</w:t>
                  </w:r>
                </w:p>
              </w:tc>
            </w:tr>
            <w:tr w14:paraId="5056AE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70D25">
                  <w:pPr>
                    <w:jc w:val="center"/>
                    <w:rPr>
                      <w:color w:val="auto"/>
                      <w:sz w:val="21"/>
                      <w:szCs w:val="21"/>
                    </w:rPr>
                  </w:pPr>
                  <w:r>
                    <w:rPr>
                      <w:color w:val="auto"/>
                      <w:sz w:val="21"/>
                      <w:szCs w:val="21"/>
                    </w:rPr>
                    <w:t>管汇车</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01117">
                  <w:pPr>
                    <w:jc w:val="center"/>
                    <w:rPr>
                      <w:color w:val="auto"/>
                      <w:sz w:val="21"/>
                      <w:szCs w:val="21"/>
                    </w:rPr>
                  </w:pPr>
                  <w:r>
                    <w:rPr>
                      <w:rFonts w:hint="eastAsia"/>
                      <w:color w:val="auto"/>
                      <w:sz w:val="21"/>
                      <w:szCs w:val="21"/>
                    </w:rPr>
                    <w:t>/</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C9897">
                  <w:pPr>
                    <w:jc w:val="center"/>
                    <w:rPr>
                      <w:color w:val="auto"/>
                      <w:sz w:val="21"/>
                      <w:szCs w:val="21"/>
                    </w:rPr>
                  </w:pPr>
                  <w:r>
                    <w:rPr>
                      <w:color w:val="auto"/>
                      <w:sz w:val="21"/>
                      <w:szCs w:val="21"/>
                    </w:rPr>
                    <w:t>1台</w:t>
                  </w:r>
                </w:p>
              </w:tc>
            </w:tr>
            <w:tr w14:paraId="1F961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CAF10">
                  <w:pPr>
                    <w:jc w:val="center"/>
                    <w:rPr>
                      <w:color w:val="auto"/>
                      <w:sz w:val="21"/>
                      <w:szCs w:val="21"/>
                    </w:rPr>
                  </w:pPr>
                  <w:r>
                    <w:rPr>
                      <w:color w:val="auto"/>
                      <w:sz w:val="21"/>
                      <w:szCs w:val="21"/>
                    </w:rPr>
                    <w:t>混配车</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54C251">
                  <w:pPr>
                    <w:jc w:val="center"/>
                    <w:rPr>
                      <w:color w:val="auto"/>
                      <w:sz w:val="21"/>
                      <w:szCs w:val="21"/>
                    </w:rPr>
                  </w:pPr>
                  <w:r>
                    <w:rPr>
                      <w:color w:val="auto"/>
                      <w:sz w:val="21"/>
                      <w:szCs w:val="21"/>
                    </w:rPr>
                    <w:t>配液速度≥14m</w:t>
                  </w:r>
                  <w:r>
                    <w:rPr>
                      <w:color w:val="auto"/>
                      <w:sz w:val="21"/>
                      <w:szCs w:val="21"/>
                      <w:vertAlign w:val="superscript"/>
                    </w:rPr>
                    <w:t>3</w:t>
                  </w:r>
                  <w:r>
                    <w:rPr>
                      <w:color w:val="auto"/>
                      <w:sz w:val="21"/>
                      <w:szCs w:val="21"/>
                    </w:rPr>
                    <w:t>/min</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AF7E89">
                  <w:pPr>
                    <w:jc w:val="center"/>
                    <w:rPr>
                      <w:color w:val="auto"/>
                      <w:sz w:val="21"/>
                      <w:szCs w:val="21"/>
                    </w:rPr>
                  </w:pPr>
                  <w:r>
                    <w:rPr>
                      <w:color w:val="auto"/>
                      <w:sz w:val="21"/>
                      <w:szCs w:val="21"/>
                    </w:rPr>
                    <w:t>≤2台</w:t>
                  </w:r>
                </w:p>
              </w:tc>
            </w:tr>
            <w:tr w14:paraId="565AA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1084A8">
                  <w:pPr>
                    <w:jc w:val="center"/>
                    <w:rPr>
                      <w:color w:val="auto"/>
                      <w:sz w:val="21"/>
                      <w:szCs w:val="21"/>
                    </w:rPr>
                  </w:pPr>
                  <w:r>
                    <w:rPr>
                      <w:color w:val="auto"/>
                      <w:sz w:val="21"/>
                      <w:szCs w:val="21"/>
                    </w:rPr>
                    <w:t>供液泵</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E1399">
                  <w:pPr>
                    <w:jc w:val="center"/>
                    <w:rPr>
                      <w:color w:val="auto"/>
                      <w:sz w:val="21"/>
                      <w:szCs w:val="21"/>
                    </w:rPr>
                  </w:pPr>
                  <w:r>
                    <w:rPr>
                      <w:color w:val="auto"/>
                      <w:sz w:val="21"/>
                      <w:szCs w:val="21"/>
                    </w:rPr>
                    <w:t>供液速度≥14m</w:t>
                  </w:r>
                  <w:r>
                    <w:rPr>
                      <w:color w:val="auto"/>
                      <w:sz w:val="21"/>
                      <w:szCs w:val="21"/>
                      <w:vertAlign w:val="superscript"/>
                    </w:rPr>
                    <w:t>3</w:t>
                  </w:r>
                  <w:r>
                    <w:rPr>
                      <w:color w:val="auto"/>
                      <w:sz w:val="21"/>
                      <w:szCs w:val="21"/>
                    </w:rPr>
                    <w:t>/min</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02A401">
                  <w:pPr>
                    <w:jc w:val="center"/>
                    <w:rPr>
                      <w:color w:val="auto"/>
                      <w:sz w:val="21"/>
                      <w:szCs w:val="21"/>
                    </w:rPr>
                  </w:pPr>
                  <w:r>
                    <w:rPr>
                      <w:color w:val="auto"/>
                      <w:sz w:val="21"/>
                      <w:szCs w:val="21"/>
                    </w:rPr>
                    <w:t>≤2台</w:t>
                  </w:r>
                </w:p>
              </w:tc>
            </w:tr>
            <w:tr w14:paraId="37D34A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0DBCDE">
                  <w:pPr>
                    <w:jc w:val="center"/>
                    <w:rPr>
                      <w:color w:val="auto"/>
                      <w:sz w:val="21"/>
                      <w:szCs w:val="21"/>
                    </w:rPr>
                  </w:pPr>
                  <w:r>
                    <w:rPr>
                      <w:color w:val="auto"/>
                      <w:sz w:val="21"/>
                      <w:szCs w:val="21"/>
                    </w:rPr>
                    <w:t>供酸橇</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137786">
                  <w:pPr>
                    <w:jc w:val="center"/>
                    <w:rPr>
                      <w:color w:val="auto"/>
                      <w:sz w:val="21"/>
                      <w:szCs w:val="21"/>
                    </w:rPr>
                  </w:pPr>
                  <w:r>
                    <w:rPr>
                      <w:color w:val="auto"/>
                      <w:sz w:val="21"/>
                      <w:szCs w:val="21"/>
                    </w:rPr>
                    <w:t>供酸速度≥10m</w:t>
                  </w:r>
                  <w:r>
                    <w:rPr>
                      <w:color w:val="auto"/>
                      <w:sz w:val="21"/>
                      <w:szCs w:val="21"/>
                      <w:vertAlign w:val="superscript"/>
                    </w:rPr>
                    <w:t>3</w:t>
                  </w:r>
                  <w:r>
                    <w:rPr>
                      <w:color w:val="auto"/>
                      <w:sz w:val="21"/>
                      <w:szCs w:val="21"/>
                    </w:rPr>
                    <w:t>/min</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D38A7">
                  <w:pPr>
                    <w:jc w:val="center"/>
                    <w:rPr>
                      <w:color w:val="auto"/>
                      <w:sz w:val="21"/>
                      <w:szCs w:val="21"/>
                    </w:rPr>
                  </w:pPr>
                  <w:r>
                    <w:rPr>
                      <w:color w:val="auto"/>
                      <w:sz w:val="21"/>
                      <w:szCs w:val="21"/>
                    </w:rPr>
                    <w:t>≤2台</w:t>
                  </w:r>
                </w:p>
              </w:tc>
            </w:tr>
            <w:tr w14:paraId="129D0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EC529">
                  <w:pPr>
                    <w:jc w:val="center"/>
                    <w:rPr>
                      <w:color w:val="auto"/>
                      <w:sz w:val="21"/>
                      <w:szCs w:val="21"/>
                    </w:rPr>
                  </w:pPr>
                  <w:r>
                    <w:rPr>
                      <w:color w:val="auto"/>
                      <w:sz w:val="21"/>
                      <w:szCs w:val="21"/>
                    </w:rPr>
                    <w:t>高压管汇</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0E85EB">
                  <w:pPr>
                    <w:jc w:val="center"/>
                    <w:rPr>
                      <w:color w:val="auto"/>
                      <w:sz w:val="21"/>
                      <w:szCs w:val="21"/>
                    </w:rPr>
                  </w:pPr>
                  <w:r>
                    <w:rPr>
                      <w:color w:val="auto"/>
                      <w:sz w:val="21"/>
                      <w:szCs w:val="21"/>
                    </w:rPr>
                    <w:t>105MPa</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461E9">
                  <w:pPr>
                    <w:jc w:val="center"/>
                    <w:rPr>
                      <w:color w:val="auto"/>
                      <w:sz w:val="21"/>
                      <w:szCs w:val="21"/>
                    </w:rPr>
                  </w:pPr>
                  <w:r>
                    <w:rPr>
                      <w:color w:val="auto"/>
                      <w:sz w:val="21"/>
                      <w:szCs w:val="21"/>
                    </w:rPr>
                    <w:t>≥2套</w:t>
                  </w:r>
                </w:p>
              </w:tc>
            </w:tr>
            <w:tr w14:paraId="59157D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A7DFB6">
                  <w:pPr>
                    <w:jc w:val="center"/>
                    <w:rPr>
                      <w:color w:val="auto"/>
                      <w:sz w:val="21"/>
                      <w:szCs w:val="21"/>
                    </w:rPr>
                  </w:pPr>
                  <w:r>
                    <w:rPr>
                      <w:color w:val="auto"/>
                      <w:sz w:val="21"/>
                      <w:szCs w:val="21"/>
                    </w:rPr>
                    <w:t>清水罐（配液罐）</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3E15D8">
                  <w:pPr>
                    <w:jc w:val="center"/>
                    <w:rPr>
                      <w:color w:val="auto"/>
                      <w:sz w:val="21"/>
                      <w:szCs w:val="21"/>
                    </w:rPr>
                  </w:pPr>
                  <w:r>
                    <w:rPr>
                      <w:color w:val="auto"/>
                      <w:sz w:val="21"/>
                      <w:szCs w:val="21"/>
                    </w:rPr>
                    <w:t>总容积≥1600m</w:t>
                  </w:r>
                  <w:r>
                    <w:rPr>
                      <w:color w:val="auto"/>
                      <w:sz w:val="21"/>
                      <w:szCs w:val="21"/>
                      <w:vertAlign w:val="superscript"/>
                    </w:rPr>
                    <w:t>3</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D8D94F">
                  <w:pPr>
                    <w:jc w:val="center"/>
                    <w:rPr>
                      <w:color w:val="auto"/>
                      <w:sz w:val="21"/>
                      <w:szCs w:val="21"/>
                    </w:rPr>
                  </w:pPr>
                  <w:r>
                    <w:rPr>
                      <w:color w:val="auto"/>
                      <w:sz w:val="21"/>
                      <w:szCs w:val="21"/>
                    </w:rPr>
                    <w:t>≤40具</w:t>
                  </w:r>
                </w:p>
              </w:tc>
            </w:tr>
            <w:tr w14:paraId="17652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777EE7">
                  <w:pPr>
                    <w:jc w:val="center"/>
                    <w:rPr>
                      <w:color w:val="auto"/>
                      <w:sz w:val="21"/>
                      <w:szCs w:val="21"/>
                    </w:rPr>
                  </w:pPr>
                  <w:r>
                    <w:rPr>
                      <w:color w:val="auto"/>
                      <w:sz w:val="21"/>
                      <w:szCs w:val="21"/>
                    </w:rPr>
                    <w:t>立式酸罐</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C3226">
                  <w:pPr>
                    <w:jc w:val="center"/>
                    <w:rPr>
                      <w:color w:val="auto"/>
                      <w:sz w:val="21"/>
                      <w:szCs w:val="21"/>
                    </w:rPr>
                  </w:pPr>
                  <w:r>
                    <w:rPr>
                      <w:color w:val="auto"/>
                      <w:sz w:val="21"/>
                      <w:szCs w:val="21"/>
                    </w:rPr>
                    <w:t>总容积125m</w:t>
                  </w:r>
                  <w:r>
                    <w:rPr>
                      <w:color w:val="auto"/>
                      <w:sz w:val="21"/>
                      <w:szCs w:val="21"/>
                      <w:vertAlign w:val="superscript"/>
                    </w:rPr>
                    <w:t>3</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2C8133">
                  <w:pPr>
                    <w:jc w:val="center"/>
                    <w:rPr>
                      <w:color w:val="auto"/>
                      <w:sz w:val="21"/>
                      <w:szCs w:val="21"/>
                    </w:rPr>
                  </w:pPr>
                  <w:r>
                    <w:rPr>
                      <w:color w:val="auto"/>
                      <w:sz w:val="21"/>
                      <w:szCs w:val="21"/>
                    </w:rPr>
                    <w:t>6具（5用1备）</w:t>
                  </w:r>
                </w:p>
              </w:tc>
            </w:tr>
            <w:tr w14:paraId="60AC58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jc w:val="center"/>
              </w:trPr>
              <w:tc>
                <w:tcPr>
                  <w:tcW w:w="126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B70F6">
                  <w:pPr>
                    <w:jc w:val="center"/>
                    <w:rPr>
                      <w:color w:val="auto"/>
                      <w:sz w:val="21"/>
                      <w:szCs w:val="21"/>
                    </w:rPr>
                  </w:pPr>
                  <w:r>
                    <w:rPr>
                      <w:color w:val="auto"/>
                      <w:sz w:val="21"/>
                      <w:szCs w:val="21"/>
                    </w:rPr>
                    <w:t>立式砂罐</w:t>
                  </w:r>
                </w:p>
              </w:tc>
              <w:tc>
                <w:tcPr>
                  <w:tcW w:w="137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961E3">
                  <w:pPr>
                    <w:jc w:val="center"/>
                    <w:rPr>
                      <w:color w:val="auto"/>
                      <w:sz w:val="21"/>
                      <w:szCs w:val="21"/>
                    </w:rPr>
                  </w:pPr>
                  <w:r>
                    <w:rPr>
                      <w:color w:val="auto"/>
                      <w:sz w:val="21"/>
                      <w:szCs w:val="21"/>
                    </w:rPr>
                    <w:t>100m</w:t>
                  </w:r>
                  <w:r>
                    <w:rPr>
                      <w:color w:val="auto"/>
                      <w:sz w:val="21"/>
                      <w:szCs w:val="21"/>
                      <w:vertAlign w:val="superscript"/>
                    </w:rPr>
                    <w:t>3</w:t>
                  </w:r>
                  <w:r>
                    <w:rPr>
                      <w:color w:val="auto"/>
                      <w:sz w:val="21"/>
                      <w:szCs w:val="21"/>
                    </w:rPr>
                    <w:t>、20m</w:t>
                  </w:r>
                  <w:r>
                    <w:rPr>
                      <w:color w:val="auto"/>
                      <w:sz w:val="21"/>
                      <w:szCs w:val="21"/>
                      <w:vertAlign w:val="superscript"/>
                    </w:rPr>
                    <w:t>3</w:t>
                  </w:r>
                </w:p>
              </w:tc>
              <w:tc>
                <w:tcPr>
                  <w:tcW w:w="23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D171C">
                  <w:pPr>
                    <w:jc w:val="center"/>
                    <w:rPr>
                      <w:color w:val="auto"/>
                      <w:sz w:val="21"/>
                      <w:szCs w:val="21"/>
                    </w:rPr>
                  </w:pPr>
                  <w:r>
                    <w:rPr>
                      <w:color w:val="auto"/>
                      <w:sz w:val="21"/>
                      <w:szCs w:val="21"/>
                    </w:rPr>
                    <w:t>100m</w:t>
                  </w:r>
                  <w:r>
                    <w:rPr>
                      <w:color w:val="auto"/>
                      <w:sz w:val="21"/>
                      <w:szCs w:val="21"/>
                      <w:vertAlign w:val="superscript"/>
                    </w:rPr>
                    <w:t>3</w:t>
                  </w:r>
                  <w:r>
                    <w:rPr>
                      <w:color w:val="auto"/>
                      <w:sz w:val="21"/>
                      <w:szCs w:val="21"/>
                    </w:rPr>
                    <w:t>2具、20m</w:t>
                  </w:r>
                  <w:r>
                    <w:rPr>
                      <w:color w:val="auto"/>
                      <w:sz w:val="21"/>
                      <w:szCs w:val="21"/>
                      <w:vertAlign w:val="superscript"/>
                    </w:rPr>
                    <w:t>3</w:t>
                  </w:r>
                  <w:r>
                    <w:rPr>
                      <w:color w:val="auto"/>
                      <w:sz w:val="21"/>
                      <w:szCs w:val="21"/>
                    </w:rPr>
                    <w:t>1具</w:t>
                  </w:r>
                </w:p>
              </w:tc>
            </w:tr>
          </w:tbl>
          <w:p w14:paraId="4EC269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表2-12 试采主要设备</w:t>
            </w:r>
          </w:p>
          <w:tbl>
            <w:tblPr>
              <w:tblStyle w:val="19"/>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5120"/>
              <w:gridCol w:w="818"/>
              <w:gridCol w:w="935"/>
              <w:gridCol w:w="1165"/>
            </w:tblGrid>
            <w:tr w14:paraId="11DE2F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459"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34C28C6">
                  <w:pPr>
                    <w:jc w:val="center"/>
                    <w:rPr>
                      <w:b/>
                      <w:bCs/>
                      <w:color w:val="auto"/>
                      <w:sz w:val="21"/>
                      <w:szCs w:val="21"/>
                    </w:rPr>
                  </w:pPr>
                  <w:r>
                    <w:rPr>
                      <w:b/>
                      <w:bCs/>
                      <w:color w:val="auto"/>
                      <w:sz w:val="21"/>
                      <w:szCs w:val="21"/>
                    </w:rPr>
                    <w:t>序号</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4DEB6">
                  <w:pPr>
                    <w:jc w:val="center"/>
                    <w:rPr>
                      <w:b/>
                      <w:bCs/>
                      <w:color w:val="auto"/>
                      <w:sz w:val="21"/>
                      <w:szCs w:val="21"/>
                    </w:rPr>
                  </w:pPr>
                  <w:r>
                    <w:rPr>
                      <w:b/>
                      <w:bCs/>
                      <w:color w:val="auto"/>
                      <w:sz w:val="21"/>
                      <w:szCs w:val="21"/>
                    </w:rPr>
                    <w:t>名称及规格</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0E174">
                  <w:pPr>
                    <w:jc w:val="center"/>
                    <w:rPr>
                      <w:b/>
                      <w:bCs/>
                      <w:color w:val="auto"/>
                      <w:sz w:val="21"/>
                      <w:szCs w:val="21"/>
                    </w:rPr>
                  </w:pPr>
                  <w:r>
                    <w:rPr>
                      <w:b/>
                      <w:bCs/>
                      <w:color w:val="auto"/>
                      <w:sz w:val="21"/>
                      <w:szCs w:val="21"/>
                    </w:rPr>
                    <w:t>单位</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60A5E">
                  <w:pPr>
                    <w:jc w:val="center"/>
                    <w:rPr>
                      <w:b/>
                      <w:bCs/>
                      <w:color w:val="auto"/>
                      <w:sz w:val="21"/>
                      <w:szCs w:val="21"/>
                    </w:rPr>
                  </w:pPr>
                  <w:r>
                    <w:rPr>
                      <w:b/>
                      <w:bCs/>
                      <w:color w:val="auto"/>
                      <w:sz w:val="21"/>
                      <w:szCs w:val="21"/>
                    </w:rPr>
                    <w:t>数量</w:t>
                  </w:r>
                </w:p>
              </w:tc>
              <w:tc>
                <w:tcPr>
                  <w:tcW w:w="6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868ED">
                  <w:pPr>
                    <w:jc w:val="center"/>
                    <w:rPr>
                      <w:b/>
                      <w:bCs/>
                      <w:color w:val="auto"/>
                      <w:sz w:val="21"/>
                      <w:szCs w:val="21"/>
                    </w:rPr>
                  </w:pPr>
                  <w:r>
                    <w:rPr>
                      <w:b/>
                      <w:bCs/>
                      <w:color w:val="auto"/>
                      <w:sz w:val="21"/>
                      <w:szCs w:val="21"/>
                    </w:rPr>
                    <w:t>备注</w:t>
                  </w:r>
                </w:p>
              </w:tc>
            </w:tr>
            <w:tr w14:paraId="6E5310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F4970">
                  <w:pPr>
                    <w:jc w:val="center"/>
                    <w:rPr>
                      <w:color w:val="auto"/>
                      <w:sz w:val="21"/>
                      <w:szCs w:val="21"/>
                    </w:rPr>
                  </w:pPr>
                  <w:r>
                    <w:rPr>
                      <w:color w:val="auto"/>
                      <w:sz w:val="21"/>
                      <w:szCs w:val="21"/>
                    </w:rPr>
                    <w:t>2</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410E6E">
                  <w:pPr>
                    <w:jc w:val="center"/>
                    <w:rPr>
                      <w:color w:val="auto"/>
                      <w:sz w:val="21"/>
                      <w:szCs w:val="21"/>
                    </w:rPr>
                  </w:pPr>
                  <w:r>
                    <w:rPr>
                      <w:color w:val="auto"/>
                      <w:sz w:val="21"/>
                      <w:szCs w:val="21"/>
                    </w:rPr>
                    <w:t>双螺杆混输泵撬座∆P=2.5MPa Q=25m</w:t>
                  </w:r>
                  <w:r>
                    <w:rPr>
                      <w:color w:val="auto"/>
                      <w:sz w:val="21"/>
                      <w:szCs w:val="21"/>
                      <w:vertAlign w:val="superscript"/>
                    </w:rPr>
                    <w:t>3</w:t>
                  </w:r>
                  <w:r>
                    <w:rPr>
                      <w:color w:val="auto"/>
                      <w:sz w:val="21"/>
                      <w:szCs w:val="21"/>
                    </w:rPr>
                    <w:t>/h</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D34309">
                  <w:pPr>
                    <w:jc w:val="center"/>
                    <w:rPr>
                      <w:color w:val="auto"/>
                      <w:sz w:val="21"/>
                      <w:szCs w:val="21"/>
                    </w:rPr>
                  </w:pPr>
                  <w:r>
                    <w:rPr>
                      <w:color w:val="auto"/>
                      <w:sz w:val="21"/>
                      <w:szCs w:val="21"/>
                    </w:rPr>
                    <w:t>具</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BFAF80">
                  <w:pPr>
                    <w:jc w:val="center"/>
                    <w:rPr>
                      <w:color w:val="auto"/>
                      <w:sz w:val="21"/>
                      <w:szCs w:val="21"/>
                    </w:rPr>
                  </w:pPr>
                  <w:r>
                    <w:rPr>
                      <w:color w:val="auto"/>
                      <w:sz w:val="21"/>
                      <w:szCs w:val="21"/>
                    </w:rPr>
                    <w:t>1</w:t>
                  </w:r>
                </w:p>
              </w:tc>
              <w:tc>
                <w:tcPr>
                  <w:tcW w:w="6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BC8550">
                  <w:pPr>
                    <w:jc w:val="center"/>
                    <w:rPr>
                      <w:color w:val="auto"/>
                      <w:sz w:val="21"/>
                      <w:szCs w:val="21"/>
                    </w:rPr>
                  </w:pPr>
                  <w:r>
                    <w:rPr>
                      <w:color w:val="auto"/>
                      <w:sz w:val="21"/>
                      <w:szCs w:val="21"/>
                    </w:rPr>
                    <w:t>外输设备</w:t>
                  </w:r>
                </w:p>
              </w:tc>
            </w:tr>
            <w:tr w14:paraId="4205D8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52355">
                  <w:pPr>
                    <w:jc w:val="center"/>
                    <w:rPr>
                      <w:color w:val="auto"/>
                      <w:sz w:val="21"/>
                      <w:szCs w:val="21"/>
                    </w:rPr>
                  </w:pPr>
                  <w:r>
                    <w:rPr>
                      <w:color w:val="auto"/>
                      <w:sz w:val="21"/>
                      <w:szCs w:val="21"/>
                    </w:rPr>
                    <w:t>3</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920C2">
                  <w:pPr>
                    <w:jc w:val="center"/>
                    <w:rPr>
                      <w:color w:val="auto"/>
                      <w:sz w:val="21"/>
                      <w:szCs w:val="21"/>
                    </w:rPr>
                  </w:pPr>
                  <w:r>
                    <w:rPr>
                      <w:color w:val="auto"/>
                      <w:sz w:val="21"/>
                      <w:szCs w:val="21"/>
                    </w:rPr>
                    <w:t>智能发球阀组撬</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7AAB1D">
                  <w:pPr>
                    <w:jc w:val="center"/>
                    <w:rPr>
                      <w:color w:val="auto"/>
                      <w:sz w:val="21"/>
                      <w:szCs w:val="21"/>
                    </w:rPr>
                  </w:pPr>
                  <w:r>
                    <w:rPr>
                      <w:color w:val="auto"/>
                      <w:sz w:val="21"/>
                      <w:szCs w:val="21"/>
                    </w:rPr>
                    <w:t>座</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033C19">
                  <w:pPr>
                    <w:jc w:val="center"/>
                    <w:rPr>
                      <w:color w:val="auto"/>
                      <w:sz w:val="21"/>
                      <w:szCs w:val="21"/>
                    </w:rPr>
                  </w:pPr>
                  <w:r>
                    <w:rPr>
                      <w:color w:val="auto"/>
                      <w:sz w:val="21"/>
                      <w:szCs w:val="21"/>
                    </w:rPr>
                    <w:t>1</w:t>
                  </w:r>
                </w:p>
              </w:tc>
              <w:tc>
                <w:tcPr>
                  <w:tcW w:w="658" w:type="pct"/>
                  <w:vMerge w:val="restart"/>
                  <w:tcBorders>
                    <w:top w:val="single" w:color="000000" w:sz="4" w:space="0"/>
                    <w:left w:val="single" w:color="000000" w:sz="4" w:space="0"/>
                    <w:right w:val="single" w:color="000000" w:sz="4" w:space="0"/>
                  </w:tcBorders>
                  <w:shd w:val="clear" w:color="auto" w:fill="FFFFFF"/>
                  <w:vAlign w:val="center"/>
                </w:tcPr>
                <w:p w14:paraId="45254647">
                  <w:pPr>
                    <w:jc w:val="center"/>
                    <w:rPr>
                      <w:color w:val="auto"/>
                      <w:sz w:val="21"/>
                      <w:szCs w:val="21"/>
                    </w:rPr>
                  </w:pPr>
                  <w:r>
                    <w:rPr>
                      <w:color w:val="auto"/>
                      <w:sz w:val="21"/>
                      <w:szCs w:val="21"/>
                    </w:rPr>
                    <w:t>/</w:t>
                  </w:r>
                </w:p>
              </w:tc>
            </w:tr>
            <w:tr w14:paraId="696753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47D8E3">
                  <w:pPr>
                    <w:jc w:val="center"/>
                    <w:rPr>
                      <w:color w:val="auto"/>
                      <w:sz w:val="21"/>
                      <w:szCs w:val="21"/>
                    </w:rPr>
                  </w:pPr>
                  <w:r>
                    <w:rPr>
                      <w:color w:val="auto"/>
                      <w:sz w:val="21"/>
                      <w:szCs w:val="21"/>
                    </w:rPr>
                    <w:t>4</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87147">
                  <w:pPr>
                    <w:jc w:val="center"/>
                    <w:rPr>
                      <w:color w:val="auto"/>
                      <w:sz w:val="21"/>
                      <w:szCs w:val="21"/>
                    </w:rPr>
                  </w:pPr>
                  <w:r>
                    <w:rPr>
                      <w:color w:val="auto"/>
                      <w:sz w:val="21"/>
                      <w:szCs w:val="21"/>
                    </w:rPr>
                    <w:t>计量橇DN1400mm PN0.6MPa</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E9187">
                  <w:pPr>
                    <w:jc w:val="center"/>
                    <w:rPr>
                      <w:color w:val="auto"/>
                      <w:sz w:val="21"/>
                      <w:szCs w:val="21"/>
                    </w:rPr>
                  </w:pPr>
                  <w:r>
                    <w:rPr>
                      <w:color w:val="auto"/>
                      <w:sz w:val="21"/>
                      <w:szCs w:val="21"/>
                    </w:rPr>
                    <w:t>套</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21AEA0">
                  <w:pPr>
                    <w:jc w:val="center"/>
                    <w:rPr>
                      <w:color w:val="auto"/>
                      <w:sz w:val="21"/>
                      <w:szCs w:val="21"/>
                    </w:rPr>
                  </w:pPr>
                  <w:r>
                    <w:rPr>
                      <w:color w:val="auto"/>
                      <w:sz w:val="21"/>
                      <w:szCs w:val="21"/>
                    </w:rPr>
                    <w:t>1</w:t>
                  </w:r>
                </w:p>
              </w:tc>
              <w:tc>
                <w:tcPr>
                  <w:tcW w:w="658" w:type="pct"/>
                  <w:vMerge w:val="continue"/>
                  <w:tcBorders>
                    <w:left w:val="single" w:color="000000" w:sz="4" w:space="0"/>
                    <w:right w:val="single" w:color="000000" w:sz="4" w:space="0"/>
                  </w:tcBorders>
                  <w:shd w:val="clear" w:color="auto" w:fill="FFFFFF"/>
                  <w:vAlign w:val="center"/>
                </w:tcPr>
                <w:p w14:paraId="17350E03">
                  <w:pPr>
                    <w:jc w:val="center"/>
                    <w:rPr>
                      <w:color w:val="auto"/>
                      <w:sz w:val="21"/>
                      <w:szCs w:val="21"/>
                    </w:rPr>
                  </w:pPr>
                </w:p>
              </w:tc>
            </w:tr>
            <w:tr w14:paraId="7F2BB1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F810E7">
                  <w:pPr>
                    <w:jc w:val="center"/>
                    <w:rPr>
                      <w:color w:val="auto"/>
                      <w:sz w:val="21"/>
                      <w:szCs w:val="21"/>
                    </w:rPr>
                  </w:pPr>
                  <w:r>
                    <w:rPr>
                      <w:color w:val="auto"/>
                      <w:sz w:val="21"/>
                      <w:szCs w:val="21"/>
                    </w:rPr>
                    <w:t>5</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AD5060">
                  <w:pPr>
                    <w:jc w:val="center"/>
                    <w:rPr>
                      <w:color w:val="auto"/>
                      <w:sz w:val="21"/>
                      <w:szCs w:val="21"/>
                    </w:rPr>
                  </w:pPr>
                  <w:r>
                    <w:rPr>
                      <w:color w:val="auto"/>
                      <w:sz w:val="21"/>
                      <w:szCs w:val="21"/>
                    </w:rPr>
                    <w:t>六井式选井计量阀组撬</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F14047">
                  <w:pPr>
                    <w:jc w:val="center"/>
                    <w:rPr>
                      <w:color w:val="auto"/>
                      <w:sz w:val="21"/>
                      <w:szCs w:val="21"/>
                    </w:rPr>
                  </w:pPr>
                  <w:r>
                    <w:rPr>
                      <w:color w:val="auto"/>
                      <w:sz w:val="21"/>
                      <w:szCs w:val="21"/>
                    </w:rPr>
                    <w:t>座</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3BAFA0">
                  <w:pPr>
                    <w:jc w:val="center"/>
                    <w:rPr>
                      <w:color w:val="auto"/>
                      <w:sz w:val="21"/>
                      <w:szCs w:val="21"/>
                    </w:rPr>
                  </w:pPr>
                  <w:r>
                    <w:rPr>
                      <w:color w:val="auto"/>
                      <w:sz w:val="21"/>
                      <w:szCs w:val="21"/>
                    </w:rPr>
                    <w:t>1</w:t>
                  </w:r>
                </w:p>
              </w:tc>
              <w:tc>
                <w:tcPr>
                  <w:tcW w:w="658" w:type="pct"/>
                  <w:vMerge w:val="continue"/>
                  <w:tcBorders>
                    <w:left w:val="single" w:color="000000" w:sz="4" w:space="0"/>
                    <w:right w:val="single" w:color="000000" w:sz="4" w:space="0"/>
                  </w:tcBorders>
                  <w:shd w:val="clear" w:color="auto" w:fill="FFFFFF"/>
                  <w:vAlign w:val="center"/>
                </w:tcPr>
                <w:p w14:paraId="7FCD39B4">
                  <w:pPr>
                    <w:jc w:val="center"/>
                    <w:rPr>
                      <w:color w:val="auto"/>
                      <w:sz w:val="21"/>
                      <w:szCs w:val="21"/>
                    </w:rPr>
                  </w:pPr>
                </w:p>
              </w:tc>
            </w:tr>
            <w:tr w14:paraId="1E0E0C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45E9FF">
                  <w:pPr>
                    <w:jc w:val="center"/>
                    <w:rPr>
                      <w:color w:val="auto"/>
                      <w:sz w:val="21"/>
                      <w:szCs w:val="21"/>
                    </w:rPr>
                  </w:pPr>
                  <w:r>
                    <w:rPr>
                      <w:color w:val="auto"/>
                      <w:sz w:val="21"/>
                      <w:szCs w:val="21"/>
                    </w:rPr>
                    <w:t>6</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2EBBC4">
                  <w:pPr>
                    <w:jc w:val="center"/>
                    <w:rPr>
                      <w:color w:val="auto"/>
                      <w:sz w:val="21"/>
                      <w:szCs w:val="21"/>
                    </w:rPr>
                  </w:pPr>
                  <w:r>
                    <w:rPr>
                      <w:color w:val="auto"/>
                      <w:sz w:val="21"/>
                      <w:szCs w:val="21"/>
                    </w:rPr>
                    <w:t>清蜡剂加注撬</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E65021">
                  <w:pPr>
                    <w:jc w:val="center"/>
                    <w:rPr>
                      <w:color w:val="auto"/>
                      <w:sz w:val="21"/>
                      <w:szCs w:val="21"/>
                    </w:rPr>
                  </w:pPr>
                  <w:r>
                    <w:rPr>
                      <w:color w:val="auto"/>
                      <w:sz w:val="21"/>
                      <w:szCs w:val="21"/>
                    </w:rPr>
                    <w:t>座</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CDAA1">
                  <w:pPr>
                    <w:jc w:val="center"/>
                    <w:rPr>
                      <w:color w:val="auto"/>
                      <w:sz w:val="21"/>
                      <w:szCs w:val="21"/>
                    </w:rPr>
                  </w:pPr>
                  <w:r>
                    <w:rPr>
                      <w:color w:val="auto"/>
                      <w:sz w:val="21"/>
                      <w:szCs w:val="21"/>
                    </w:rPr>
                    <w:t>1</w:t>
                  </w:r>
                </w:p>
              </w:tc>
              <w:tc>
                <w:tcPr>
                  <w:tcW w:w="658" w:type="pct"/>
                  <w:vMerge w:val="continue"/>
                  <w:tcBorders>
                    <w:left w:val="single" w:color="000000" w:sz="4" w:space="0"/>
                    <w:right w:val="single" w:color="000000" w:sz="4" w:space="0"/>
                  </w:tcBorders>
                  <w:shd w:val="clear" w:color="auto" w:fill="FFFFFF"/>
                  <w:vAlign w:val="center"/>
                </w:tcPr>
                <w:p w14:paraId="087C27C3">
                  <w:pPr>
                    <w:jc w:val="center"/>
                    <w:rPr>
                      <w:color w:val="auto"/>
                      <w:sz w:val="21"/>
                      <w:szCs w:val="21"/>
                    </w:rPr>
                  </w:pPr>
                </w:p>
              </w:tc>
            </w:tr>
            <w:tr w14:paraId="191187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22380">
                  <w:pPr>
                    <w:jc w:val="center"/>
                    <w:rPr>
                      <w:color w:val="auto"/>
                      <w:sz w:val="21"/>
                      <w:szCs w:val="21"/>
                    </w:rPr>
                  </w:pPr>
                  <w:r>
                    <w:rPr>
                      <w:color w:val="auto"/>
                      <w:sz w:val="21"/>
                      <w:szCs w:val="21"/>
                    </w:rPr>
                    <w:t>7</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489CE0">
                  <w:pPr>
                    <w:jc w:val="center"/>
                    <w:rPr>
                      <w:color w:val="auto"/>
                      <w:sz w:val="21"/>
                      <w:szCs w:val="21"/>
                    </w:rPr>
                  </w:pPr>
                  <w:r>
                    <w:rPr>
                      <w:color w:val="auto"/>
                      <w:sz w:val="21"/>
                      <w:szCs w:val="21"/>
                    </w:rPr>
                    <w:t>400KVA箱式变电站</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B6F9C5">
                  <w:pPr>
                    <w:jc w:val="center"/>
                    <w:rPr>
                      <w:color w:val="auto"/>
                      <w:sz w:val="21"/>
                      <w:szCs w:val="21"/>
                    </w:rPr>
                  </w:pPr>
                  <w:r>
                    <w:rPr>
                      <w:color w:val="auto"/>
                      <w:sz w:val="21"/>
                      <w:szCs w:val="21"/>
                    </w:rPr>
                    <w:t>座</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98BD7B">
                  <w:pPr>
                    <w:jc w:val="center"/>
                    <w:rPr>
                      <w:color w:val="auto"/>
                      <w:sz w:val="21"/>
                      <w:szCs w:val="21"/>
                    </w:rPr>
                  </w:pPr>
                  <w:r>
                    <w:rPr>
                      <w:color w:val="auto"/>
                      <w:sz w:val="21"/>
                      <w:szCs w:val="21"/>
                    </w:rPr>
                    <w:t>1</w:t>
                  </w:r>
                </w:p>
              </w:tc>
              <w:tc>
                <w:tcPr>
                  <w:tcW w:w="658" w:type="pct"/>
                  <w:vMerge w:val="continue"/>
                  <w:tcBorders>
                    <w:left w:val="single" w:color="000000" w:sz="4" w:space="0"/>
                    <w:right w:val="single" w:color="000000" w:sz="4" w:space="0"/>
                  </w:tcBorders>
                  <w:shd w:val="clear" w:color="auto" w:fill="FFFFFF"/>
                  <w:vAlign w:val="center"/>
                </w:tcPr>
                <w:p w14:paraId="07A9D308">
                  <w:pPr>
                    <w:jc w:val="center"/>
                    <w:rPr>
                      <w:color w:val="auto"/>
                      <w:sz w:val="21"/>
                      <w:szCs w:val="21"/>
                    </w:rPr>
                  </w:pPr>
                </w:p>
              </w:tc>
            </w:tr>
            <w:tr w14:paraId="4F7D6B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AC396">
                  <w:pPr>
                    <w:jc w:val="center"/>
                    <w:rPr>
                      <w:color w:val="auto"/>
                      <w:sz w:val="21"/>
                      <w:szCs w:val="21"/>
                    </w:rPr>
                  </w:pPr>
                  <w:r>
                    <w:rPr>
                      <w:color w:val="auto"/>
                      <w:sz w:val="21"/>
                      <w:szCs w:val="21"/>
                    </w:rPr>
                    <w:t>8</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4E20B1">
                  <w:pPr>
                    <w:jc w:val="center"/>
                    <w:rPr>
                      <w:color w:val="auto"/>
                      <w:sz w:val="21"/>
                      <w:szCs w:val="21"/>
                    </w:rPr>
                  </w:pPr>
                  <w:r>
                    <w:rPr>
                      <w:color w:val="auto"/>
                      <w:sz w:val="21"/>
                      <w:szCs w:val="21"/>
                    </w:rPr>
                    <w:t>撬装配电仪控室</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8FFEA">
                  <w:pPr>
                    <w:jc w:val="center"/>
                    <w:rPr>
                      <w:color w:val="auto"/>
                      <w:sz w:val="21"/>
                      <w:szCs w:val="21"/>
                    </w:rPr>
                  </w:pPr>
                  <w:r>
                    <w:rPr>
                      <w:color w:val="auto"/>
                      <w:sz w:val="21"/>
                      <w:szCs w:val="21"/>
                    </w:rPr>
                    <w:t>座</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8E9723">
                  <w:pPr>
                    <w:jc w:val="center"/>
                    <w:rPr>
                      <w:color w:val="auto"/>
                      <w:sz w:val="21"/>
                      <w:szCs w:val="21"/>
                    </w:rPr>
                  </w:pPr>
                  <w:r>
                    <w:rPr>
                      <w:color w:val="auto"/>
                      <w:sz w:val="21"/>
                      <w:szCs w:val="21"/>
                    </w:rPr>
                    <w:t>1</w:t>
                  </w:r>
                </w:p>
              </w:tc>
              <w:tc>
                <w:tcPr>
                  <w:tcW w:w="658" w:type="pct"/>
                  <w:vMerge w:val="continue"/>
                  <w:tcBorders>
                    <w:left w:val="single" w:color="000000" w:sz="4" w:space="0"/>
                    <w:right w:val="single" w:color="000000" w:sz="4" w:space="0"/>
                  </w:tcBorders>
                  <w:shd w:val="clear" w:color="auto" w:fill="FFFFFF"/>
                  <w:vAlign w:val="center"/>
                </w:tcPr>
                <w:p w14:paraId="1448FF78">
                  <w:pPr>
                    <w:jc w:val="center"/>
                    <w:rPr>
                      <w:color w:val="auto"/>
                      <w:sz w:val="21"/>
                      <w:szCs w:val="21"/>
                    </w:rPr>
                  </w:pPr>
                </w:p>
              </w:tc>
            </w:tr>
            <w:tr w14:paraId="2AD160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45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961FC">
                  <w:pPr>
                    <w:jc w:val="center"/>
                    <w:rPr>
                      <w:color w:val="auto"/>
                      <w:sz w:val="21"/>
                      <w:szCs w:val="21"/>
                    </w:rPr>
                  </w:pPr>
                  <w:r>
                    <w:rPr>
                      <w:color w:val="auto"/>
                      <w:sz w:val="21"/>
                      <w:szCs w:val="21"/>
                    </w:rPr>
                    <w:t>9</w:t>
                  </w:r>
                </w:p>
              </w:tc>
              <w:tc>
                <w:tcPr>
                  <w:tcW w:w="289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50BD9D">
                  <w:pPr>
                    <w:jc w:val="center"/>
                    <w:rPr>
                      <w:color w:val="auto"/>
                      <w:sz w:val="21"/>
                      <w:szCs w:val="21"/>
                    </w:rPr>
                  </w:pPr>
                  <w:r>
                    <w:rPr>
                      <w:color w:val="auto"/>
                      <w:sz w:val="21"/>
                      <w:szCs w:val="21"/>
                    </w:rPr>
                    <w:t>紧急切断阀+角阀+井安柜</w:t>
                  </w:r>
                </w:p>
              </w:tc>
              <w:tc>
                <w:tcPr>
                  <w:tcW w:w="4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70B4D">
                  <w:pPr>
                    <w:jc w:val="center"/>
                    <w:rPr>
                      <w:color w:val="auto"/>
                      <w:sz w:val="21"/>
                      <w:szCs w:val="21"/>
                    </w:rPr>
                  </w:pPr>
                  <w:r>
                    <w:rPr>
                      <w:color w:val="auto"/>
                      <w:sz w:val="21"/>
                      <w:szCs w:val="21"/>
                    </w:rPr>
                    <w:t>套</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C94597">
                  <w:pPr>
                    <w:jc w:val="center"/>
                    <w:rPr>
                      <w:color w:val="auto"/>
                      <w:sz w:val="21"/>
                      <w:szCs w:val="21"/>
                    </w:rPr>
                  </w:pPr>
                  <w:r>
                    <w:rPr>
                      <w:color w:val="auto"/>
                      <w:sz w:val="21"/>
                      <w:szCs w:val="21"/>
                    </w:rPr>
                    <w:t>2</w:t>
                  </w:r>
                </w:p>
              </w:tc>
              <w:tc>
                <w:tcPr>
                  <w:tcW w:w="658" w:type="pct"/>
                  <w:vMerge w:val="continue"/>
                  <w:tcBorders>
                    <w:left w:val="single" w:color="000000" w:sz="4" w:space="0"/>
                    <w:bottom w:val="single" w:color="000000" w:sz="4" w:space="0"/>
                    <w:right w:val="single" w:color="000000" w:sz="4" w:space="0"/>
                  </w:tcBorders>
                  <w:shd w:val="clear" w:color="auto" w:fill="FFFFFF"/>
                  <w:vAlign w:val="center"/>
                </w:tcPr>
                <w:p w14:paraId="0F7F89AD">
                  <w:pPr>
                    <w:jc w:val="center"/>
                    <w:rPr>
                      <w:color w:val="auto"/>
                      <w:sz w:val="21"/>
                      <w:szCs w:val="21"/>
                    </w:rPr>
                  </w:pPr>
                </w:p>
              </w:tc>
            </w:tr>
          </w:tbl>
          <w:p w14:paraId="3D7C7A96">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5、项目占地</w:t>
            </w:r>
          </w:p>
          <w:p w14:paraId="79F5D2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eastAsia="zh-CN"/>
              </w:rPr>
            </w:pPr>
            <w:r>
              <w:rPr>
                <w:rFonts w:hint="eastAsia"/>
              </w:rPr>
              <w:t>广西页岩气勘探开发有限公司租赁融水苗族自治县和睦镇伏虎农场二队土地，租赁面积为8776m</w:t>
            </w:r>
            <w:r>
              <w:rPr>
                <w:rFonts w:hint="eastAsia"/>
                <w:vertAlign w:val="superscript"/>
              </w:rPr>
              <w:t>2</w:t>
            </w:r>
            <w:r>
              <w:rPr>
                <w:rFonts w:hint="eastAsia"/>
              </w:rPr>
              <w:t>，租赁土地类型主要为</w:t>
            </w:r>
            <w:r>
              <w:rPr>
                <w:rFonts w:hint="eastAsia"/>
                <w:lang w:val="en-US" w:eastAsia="zh-CN"/>
              </w:rPr>
              <w:t>旱地、园地和草地</w:t>
            </w:r>
            <w:r>
              <w:rPr>
                <w:rFonts w:hint="eastAsia"/>
              </w:rPr>
              <w:t>，租赁合同见</w:t>
            </w:r>
            <w:r>
              <w:rPr>
                <w:rFonts w:hint="eastAsia"/>
                <w:b/>
                <w:bCs/>
              </w:rPr>
              <w:t>附件5</w:t>
            </w:r>
            <w:r>
              <w:rPr>
                <w:rFonts w:hint="eastAsia"/>
                <w:lang w:eastAsia="zh-CN"/>
              </w:rPr>
              <w:t>。</w:t>
            </w:r>
          </w:p>
          <w:p w14:paraId="6B77909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项目位于</w:t>
            </w:r>
            <w:r>
              <w:rPr>
                <w:rFonts w:hint="eastAsia"/>
                <w:lang w:val="en-US" w:eastAsia="zh-CN"/>
              </w:rPr>
              <w:t>租赁用地范围内，</w:t>
            </w:r>
            <w:r>
              <w:rPr>
                <w:rFonts w:hint="eastAsia"/>
              </w:rPr>
              <w:t>原有</w:t>
            </w:r>
            <w:r>
              <w:rPr>
                <w:rFonts w:hint="eastAsia"/>
                <w:lang w:val="en-US" w:eastAsia="zh-CN"/>
              </w:rPr>
              <w:t>的</w:t>
            </w:r>
            <w:r>
              <w:rPr>
                <w:rFonts w:hint="eastAsia"/>
              </w:rPr>
              <w:t>用地</w:t>
            </w:r>
            <w:r>
              <w:rPr>
                <w:rFonts w:hint="eastAsia"/>
                <w:lang w:val="en-US" w:eastAsia="zh-CN"/>
              </w:rPr>
              <w:t>面积不变</w:t>
            </w:r>
            <w:r>
              <w:rPr>
                <w:rFonts w:hint="eastAsia"/>
              </w:rPr>
              <w:t>，无新增用地</w:t>
            </w:r>
            <w:r>
              <w:rPr>
                <w:rFonts w:hint="eastAsia"/>
                <w:lang w:eastAsia="zh-CN"/>
              </w:rPr>
              <w:t>，</w:t>
            </w:r>
            <w:r>
              <w:rPr>
                <w:rFonts w:hint="eastAsia"/>
                <w:lang w:val="en-US" w:eastAsia="zh-CN"/>
              </w:rPr>
              <w:t>临时用地为旱地、果园，</w:t>
            </w:r>
            <w:r>
              <w:rPr>
                <w:rFonts w:hint="eastAsia"/>
              </w:rPr>
              <w:t>不涉及永久基本农田、不占用生态保护红线、不占用城镇开发边界，</w:t>
            </w:r>
            <w:r>
              <w:rPr>
                <w:rFonts w:hint="eastAsia"/>
                <w:lang w:val="en-US" w:eastAsia="zh-CN"/>
              </w:rPr>
              <w:t>见</w:t>
            </w:r>
            <w:r>
              <w:rPr>
                <w:rFonts w:hint="eastAsia"/>
                <w:b/>
                <w:bCs/>
                <w:lang w:val="en-US" w:eastAsia="zh-CN"/>
              </w:rPr>
              <w:t>附件8</w:t>
            </w:r>
            <w:r>
              <w:rPr>
                <w:rFonts w:hint="eastAsia"/>
                <w:b w:val="0"/>
                <w:bCs w:val="0"/>
                <w:lang w:val="en-US" w:eastAsia="zh-CN"/>
              </w:rPr>
              <w:t>。</w:t>
            </w:r>
            <w:r>
              <w:rPr>
                <w:rFonts w:hint="eastAsia"/>
              </w:rPr>
              <w:t>场地主要由钻井井场、生活营区、发电房、材料房、放喷池、表土场等构成，项目</w:t>
            </w:r>
            <w:r>
              <w:rPr>
                <w:rFonts w:hint="eastAsia"/>
                <w:lang w:val="en-US" w:eastAsia="zh-CN"/>
              </w:rPr>
              <w:t>主要</w:t>
            </w:r>
            <w:r>
              <w:rPr>
                <w:rFonts w:hint="eastAsia"/>
              </w:rPr>
              <w:t>占地面积及地类情况详见下表。</w:t>
            </w:r>
          </w:p>
          <w:p w14:paraId="64F342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表2-13 本</w:t>
            </w:r>
            <w:r>
              <w:rPr>
                <w:b/>
                <w:bCs/>
              </w:rPr>
              <w:t>项目</w:t>
            </w:r>
            <w:r>
              <w:rPr>
                <w:rFonts w:hint="eastAsia"/>
                <w:b/>
                <w:bCs/>
              </w:rPr>
              <w:t>临时占用</w:t>
            </w:r>
            <w:r>
              <w:rPr>
                <w:b/>
                <w:bCs/>
              </w:rPr>
              <w:t>土地</w:t>
            </w:r>
            <w:r>
              <w:rPr>
                <w:rFonts w:hint="eastAsia"/>
                <w:b/>
                <w:bCs/>
              </w:rPr>
              <w:t>情况一览表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7"/>
              <w:gridCol w:w="1202"/>
              <w:gridCol w:w="1380"/>
              <w:gridCol w:w="1206"/>
              <w:gridCol w:w="1666"/>
              <w:gridCol w:w="1834"/>
            </w:tblGrid>
            <w:tr w14:paraId="1A4EA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71" w:type="pct"/>
                  <w:gridSpan w:val="2"/>
                  <w:vAlign w:val="center"/>
                </w:tcPr>
                <w:p w14:paraId="6339F251">
                  <w:pPr>
                    <w:jc w:val="center"/>
                    <w:rPr>
                      <w:color w:val="auto"/>
                      <w:sz w:val="21"/>
                      <w:szCs w:val="21"/>
                    </w:rPr>
                  </w:pPr>
                  <w:r>
                    <w:rPr>
                      <w:rFonts w:hint="eastAsia"/>
                      <w:color w:val="auto"/>
                      <w:sz w:val="21"/>
                      <w:szCs w:val="21"/>
                    </w:rPr>
                    <w:t>一级类地</w:t>
                  </w:r>
                </w:p>
              </w:tc>
              <w:tc>
                <w:tcPr>
                  <w:tcW w:w="1455" w:type="pct"/>
                  <w:gridSpan w:val="2"/>
                  <w:vAlign w:val="center"/>
                </w:tcPr>
                <w:p w14:paraId="41120875">
                  <w:pPr>
                    <w:jc w:val="center"/>
                    <w:rPr>
                      <w:color w:val="auto"/>
                      <w:sz w:val="21"/>
                      <w:szCs w:val="21"/>
                    </w:rPr>
                  </w:pPr>
                  <w:r>
                    <w:rPr>
                      <w:rFonts w:hint="eastAsia"/>
                      <w:color w:val="auto"/>
                      <w:sz w:val="21"/>
                      <w:szCs w:val="21"/>
                    </w:rPr>
                    <w:t>二级类地</w:t>
                  </w:r>
                </w:p>
              </w:tc>
              <w:tc>
                <w:tcPr>
                  <w:tcW w:w="938" w:type="pct"/>
                  <w:vAlign w:val="center"/>
                </w:tcPr>
                <w:p w14:paraId="6BDB5415">
                  <w:pPr>
                    <w:jc w:val="center"/>
                    <w:rPr>
                      <w:color w:val="auto"/>
                      <w:sz w:val="21"/>
                      <w:szCs w:val="21"/>
                    </w:rPr>
                  </w:pPr>
                  <w:r>
                    <w:rPr>
                      <w:rFonts w:hint="eastAsia"/>
                      <w:color w:val="auto"/>
                      <w:sz w:val="21"/>
                      <w:szCs w:val="21"/>
                    </w:rPr>
                    <w:t>面积</w:t>
                  </w:r>
                </w:p>
              </w:tc>
              <w:tc>
                <w:tcPr>
                  <w:tcW w:w="1033" w:type="pct"/>
                  <w:vAlign w:val="center"/>
                </w:tcPr>
                <w:p w14:paraId="583592D4">
                  <w:pPr>
                    <w:jc w:val="center"/>
                    <w:rPr>
                      <w:color w:val="auto"/>
                      <w:sz w:val="21"/>
                      <w:szCs w:val="21"/>
                    </w:rPr>
                  </w:pPr>
                  <w:r>
                    <w:rPr>
                      <w:rFonts w:hint="eastAsia"/>
                      <w:color w:val="auto"/>
                      <w:sz w:val="21"/>
                      <w:szCs w:val="21"/>
                    </w:rPr>
                    <w:t>比例</w:t>
                  </w:r>
                </w:p>
              </w:tc>
            </w:tr>
            <w:tr w14:paraId="4DBB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56D329AD">
                  <w:pPr>
                    <w:jc w:val="center"/>
                    <w:rPr>
                      <w:color w:val="auto"/>
                      <w:sz w:val="21"/>
                      <w:szCs w:val="21"/>
                    </w:rPr>
                  </w:pPr>
                  <w:r>
                    <w:rPr>
                      <w:color w:val="auto"/>
                      <w:sz w:val="21"/>
                      <w:szCs w:val="21"/>
                    </w:rPr>
                    <w:t>地类代码</w:t>
                  </w:r>
                </w:p>
              </w:tc>
              <w:tc>
                <w:tcPr>
                  <w:tcW w:w="677" w:type="pct"/>
                  <w:vAlign w:val="center"/>
                </w:tcPr>
                <w:p w14:paraId="7DF2C682">
                  <w:pPr>
                    <w:jc w:val="center"/>
                    <w:rPr>
                      <w:color w:val="auto"/>
                      <w:sz w:val="21"/>
                      <w:szCs w:val="21"/>
                    </w:rPr>
                  </w:pPr>
                  <w:r>
                    <w:rPr>
                      <w:color w:val="auto"/>
                      <w:sz w:val="21"/>
                      <w:szCs w:val="21"/>
                    </w:rPr>
                    <w:t>名称</w:t>
                  </w:r>
                </w:p>
              </w:tc>
              <w:tc>
                <w:tcPr>
                  <w:tcW w:w="777" w:type="pct"/>
                  <w:vAlign w:val="center"/>
                </w:tcPr>
                <w:p w14:paraId="65B6624F">
                  <w:pPr>
                    <w:jc w:val="center"/>
                    <w:rPr>
                      <w:color w:val="auto"/>
                      <w:sz w:val="21"/>
                      <w:szCs w:val="21"/>
                    </w:rPr>
                  </w:pPr>
                  <w:r>
                    <w:rPr>
                      <w:color w:val="auto"/>
                      <w:sz w:val="21"/>
                      <w:szCs w:val="21"/>
                    </w:rPr>
                    <w:t>地类代码</w:t>
                  </w:r>
                </w:p>
              </w:tc>
              <w:tc>
                <w:tcPr>
                  <w:tcW w:w="677" w:type="pct"/>
                  <w:vAlign w:val="center"/>
                </w:tcPr>
                <w:p w14:paraId="20E65EEC">
                  <w:pPr>
                    <w:jc w:val="center"/>
                    <w:rPr>
                      <w:color w:val="auto"/>
                      <w:sz w:val="21"/>
                      <w:szCs w:val="21"/>
                    </w:rPr>
                  </w:pPr>
                  <w:r>
                    <w:rPr>
                      <w:color w:val="auto"/>
                      <w:sz w:val="21"/>
                      <w:szCs w:val="21"/>
                    </w:rPr>
                    <w:t>名称</w:t>
                  </w:r>
                </w:p>
              </w:tc>
              <w:tc>
                <w:tcPr>
                  <w:tcW w:w="938" w:type="pct"/>
                  <w:vAlign w:val="center"/>
                </w:tcPr>
                <w:p w14:paraId="40D43EA1">
                  <w:pPr>
                    <w:jc w:val="center"/>
                    <w:rPr>
                      <w:color w:val="auto"/>
                      <w:sz w:val="21"/>
                      <w:szCs w:val="21"/>
                    </w:rPr>
                  </w:pPr>
                  <w:r>
                    <w:rPr>
                      <w:color w:val="auto"/>
                      <w:sz w:val="21"/>
                      <w:szCs w:val="21"/>
                    </w:rPr>
                    <w:t>hm</w:t>
                  </w:r>
                  <w:r>
                    <w:rPr>
                      <w:color w:val="auto"/>
                      <w:sz w:val="21"/>
                      <w:szCs w:val="21"/>
                      <w:vertAlign w:val="superscript"/>
                    </w:rPr>
                    <w:t>2</w:t>
                  </w:r>
                </w:p>
              </w:tc>
              <w:tc>
                <w:tcPr>
                  <w:tcW w:w="1033" w:type="pct"/>
                  <w:vAlign w:val="center"/>
                </w:tcPr>
                <w:p w14:paraId="2973777D">
                  <w:pPr>
                    <w:jc w:val="center"/>
                    <w:rPr>
                      <w:color w:val="auto"/>
                      <w:sz w:val="21"/>
                      <w:szCs w:val="21"/>
                    </w:rPr>
                  </w:pPr>
                  <w:r>
                    <w:rPr>
                      <w:rFonts w:hint="eastAsia"/>
                      <w:color w:val="auto"/>
                      <w:sz w:val="21"/>
                      <w:szCs w:val="21"/>
                    </w:rPr>
                    <w:t>%</w:t>
                  </w:r>
                </w:p>
              </w:tc>
            </w:tr>
            <w:tr w14:paraId="02576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4" w:type="pct"/>
                  <w:vAlign w:val="center"/>
                </w:tcPr>
                <w:p w14:paraId="357983BB">
                  <w:pPr>
                    <w:jc w:val="center"/>
                    <w:rPr>
                      <w:color w:val="auto"/>
                      <w:sz w:val="21"/>
                      <w:szCs w:val="21"/>
                    </w:rPr>
                  </w:pPr>
                  <w:r>
                    <w:rPr>
                      <w:color w:val="auto"/>
                      <w:sz w:val="21"/>
                      <w:szCs w:val="21"/>
                    </w:rPr>
                    <w:t>01</w:t>
                  </w:r>
                </w:p>
              </w:tc>
              <w:tc>
                <w:tcPr>
                  <w:tcW w:w="677" w:type="pct"/>
                  <w:vAlign w:val="center"/>
                </w:tcPr>
                <w:p w14:paraId="11BF6551">
                  <w:pPr>
                    <w:jc w:val="center"/>
                    <w:rPr>
                      <w:color w:val="auto"/>
                      <w:sz w:val="21"/>
                      <w:szCs w:val="21"/>
                    </w:rPr>
                  </w:pPr>
                  <w:r>
                    <w:rPr>
                      <w:color w:val="auto"/>
                      <w:sz w:val="21"/>
                      <w:szCs w:val="21"/>
                    </w:rPr>
                    <w:t>耕地</w:t>
                  </w:r>
                </w:p>
              </w:tc>
              <w:tc>
                <w:tcPr>
                  <w:tcW w:w="777" w:type="pct"/>
                  <w:vAlign w:val="center"/>
                </w:tcPr>
                <w:p w14:paraId="769E99BB">
                  <w:pPr>
                    <w:jc w:val="center"/>
                    <w:rPr>
                      <w:color w:val="auto"/>
                      <w:sz w:val="21"/>
                      <w:szCs w:val="21"/>
                    </w:rPr>
                  </w:pPr>
                  <w:r>
                    <w:rPr>
                      <w:color w:val="auto"/>
                      <w:sz w:val="21"/>
                      <w:szCs w:val="21"/>
                    </w:rPr>
                    <w:t>0103</w:t>
                  </w:r>
                </w:p>
              </w:tc>
              <w:tc>
                <w:tcPr>
                  <w:tcW w:w="677" w:type="pct"/>
                  <w:vAlign w:val="center"/>
                </w:tcPr>
                <w:p w14:paraId="3D7C9BD0">
                  <w:pPr>
                    <w:jc w:val="center"/>
                    <w:rPr>
                      <w:color w:val="auto"/>
                      <w:sz w:val="21"/>
                      <w:szCs w:val="21"/>
                    </w:rPr>
                  </w:pPr>
                  <w:r>
                    <w:rPr>
                      <w:color w:val="auto"/>
                      <w:sz w:val="21"/>
                      <w:szCs w:val="21"/>
                    </w:rPr>
                    <w:t>旱地</w:t>
                  </w:r>
                </w:p>
              </w:tc>
              <w:tc>
                <w:tcPr>
                  <w:tcW w:w="938" w:type="pct"/>
                  <w:vAlign w:val="center"/>
                </w:tcPr>
                <w:p w14:paraId="70723E38">
                  <w:pPr>
                    <w:jc w:val="center"/>
                    <w:rPr>
                      <w:color w:val="auto"/>
                      <w:sz w:val="21"/>
                      <w:szCs w:val="21"/>
                    </w:rPr>
                  </w:pPr>
                  <w:r>
                    <w:rPr>
                      <w:color w:val="auto"/>
                      <w:sz w:val="21"/>
                      <w:szCs w:val="21"/>
                    </w:rPr>
                    <w:t>0.3670</w:t>
                  </w:r>
                </w:p>
              </w:tc>
              <w:tc>
                <w:tcPr>
                  <w:tcW w:w="1033" w:type="pct"/>
                  <w:vAlign w:val="center"/>
                </w:tcPr>
                <w:p w14:paraId="69C9EB5E">
                  <w:pPr>
                    <w:jc w:val="center"/>
                    <w:rPr>
                      <w:color w:val="auto"/>
                      <w:sz w:val="21"/>
                      <w:szCs w:val="21"/>
                    </w:rPr>
                  </w:pPr>
                  <w:r>
                    <w:rPr>
                      <w:color w:val="auto"/>
                      <w:sz w:val="21"/>
                      <w:szCs w:val="21"/>
                    </w:rPr>
                    <w:t>41.82</w:t>
                  </w:r>
                </w:p>
              </w:tc>
            </w:tr>
            <w:tr w14:paraId="6798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 w:type="pct"/>
                  <w:vAlign w:val="center"/>
                </w:tcPr>
                <w:p w14:paraId="6F075D55">
                  <w:pPr>
                    <w:jc w:val="center"/>
                    <w:rPr>
                      <w:color w:val="auto"/>
                      <w:sz w:val="21"/>
                      <w:szCs w:val="21"/>
                    </w:rPr>
                  </w:pPr>
                  <w:r>
                    <w:rPr>
                      <w:color w:val="auto"/>
                      <w:sz w:val="21"/>
                      <w:szCs w:val="21"/>
                    </w:rPr>
                    <w:t>02</w:t>
                  </w:r>
                </w:p>
              </w:tc>
              <w:tc>
                <w:tcPr>
                  <w:tcW w:w="677" w:type="pct"/>
                  <w:vAlign w:val="center"/>
                </w:tcPr>
                <w:p w14:paraId="0894765A">
                  <w:pPr>
                    <w:jc w:val="center"/>
                    <w:rPr>
                      <w:color w:val="auto"/>
                      <w:sz w:val="21"/>
                      <w:szCs w:val="21"/>
                    </w:rPr>
                  </w:pPr>
                  <w:r>
                    <w:rPr>
                      <w:color w:val="auto"/>
                      <w:sz w:val="21"/>
                      <w:szCs w:val="21"/>
                    </w:rPr>
                    <w:t>园地</w:t>
                  </w:r>
                </w:p>
              </w:tc>
              <w:tc>
                <w:tcPr>
                  <w:tcW w:w="777" w:type="pct"/>
                  <w:vAlign w:val="center"/>
                </w:tcPr>
                <w:p w14:paraId="428D1776">
                  <w:pPr>
                    <w:jc w:val="center"/>
                    <w:rPr>
                      <w:color w:val="auto"/>
                      <w:sz w:val="21"/>
                      <w:szCs w:val="21"/>
                    </w:rPr>
                  </w:pPr>
                  <w:r>
                    <w:rPr>
                      <w:color w:val="auto"/>
                      <w:sz w:val="21"/>
                      <w:szCs w:val="21"/>
                    </w:rPr>
                    <w:t>0201</w:t>
                  </w:r>
                </w:p>
              </w:tc>
              <w:tc>
                <w:tcPr>
                  <w:tcW w:w="677" w:type="pct"/>
                  <w:vAlign w:val="center"/>
                </w:tcPr>
                <w:p w14:paraId="39C9EF9F">
                  <w:pPr>
                    <w:jc w:val="center"/>
                    <w:rPr>
                      <w:color w:val="auto"/>
                      <w:sz w:val="21"/>
                      <w:szCs w:val="21"/>
                    </w:rPr>
                  </w:pPr>
                  <w:r>
                    <w:rPr>
                      <w:color w:val="auto"/>
                      <w:sz w:val="21"/>
                      <w:szCs w:val="21"/>
                    </w:rPr>
                    <w:t>果园</w:t>
                  </w:r>
                </w:p>
              </w:tc>
              <w:tc>
                <w:tcPr>
                  <w:tcW w:w="938" w:type="pct"/>
                  <w:vAlign w:val="center"/>
                </w:tcPr>
                <w:p w14:paraId="12FA73DE">
                  <w:pPr>
                    <w:jc w:val="center"/>
                    <w:rPr>
                      <w:color w:val="auto"/>
                      <w:sz w:val="21"/>
                      <w:szCs w:val="21"/>
                    </w:rPr>
                  </w:pPr>
                  <w:r>
                    <w:rPr>
                      <w:color w:val="auto"/>
                      <w:sz w:val="21"/>
                      <w:szCs w:val="21"/>
                    </w:rPr>
                    <w:t>0.5106</w:t>
                  </w:r>
                </w:p>
              </w:tc>
              <w:tc>
                <w:tcPr>
                  <w:tcW w:w="1033" w:type="pct"/>
                  <w:vAlign w:val="center"/>
                </w:tcPr>
                <w:p w14:paraId="2D3BBB9B">
                  <w:pPr>
                    <w:jc w:val="center"/>
                    <w:rPr>
                      <w:color w:val="auto"/>
                      <w:sz w:val="21"/>
                      <w:szCs w:val="21"/>
                    </w:rPr>
                  </w:pPr>
                  <w:r>
                    <w:rPr>
                      <w:color w:val="auto"/>
                      <w:sz w:val="21"/>
                      <w:szCs w:val="21"/>
                    </w:rPr>
                    <w:t>58.18</w:t>
                  </w:r>
                </w:p>
              </w:tc>
            </w:tr>
            <w:tr w14:paraId="5B03F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27" w:type="pct"/>
                  <w:gridSpan w:val="4"/>
                  <w:vAlign w:val="center"/>
                </w:tcPr>
                <w:p w14:paraId="6FCACC23">
                  <w:pPr>
                    <w:jc w:val="center"/>
                    <w:rPr>
                      <w:color w:val="auto"/>
                      <w:sz w:val="21"/>
                      <w:szCs w:val="21"/>
                    </w:rPr>
                  </w:pPr>
                  <w:r>
                    <w:rPr>
                      <w:rFonts w:hint="eastAsia"/>
                      <w:color w:val="auto"/>
                      <w:sz w:val="21"/>
                      <w:szCs w:val="21"/>
                    </w:rPr>
                    <w:t>合计</w:t>
                  </w:r>
                </w:p>
              </w:tc>
              <w:tc>
                <w:tcPr>
                  <w:tcW w:w="938" w:type="pct"/>
                  <w:vAlign w:val="center"/>
                </w:tcPr>
                <w:p w14:paraId="52063DB2">
                  <w:pPr>
                    <w:jc w:val="center"/>
                    <w:rPr>
                      <w:color w:val="auto"/>
                      <w:sz w:val="21"/>
                      <w:szCs w:val="21"/>
                    </w:rPr>
                  </w:pPr>
                  <w:r>
                    <w:rPr>
                      <w:color w:val="auto"/>
                      <w:sz w:val="21"/>
                      <w:szCs w:val="21"/>
                    </w:rPr>
                    <w:t>0.8776</w:t>
                  </w:r>
                </w:p>
              </w:tc>
              <w:tc>
                <w:tcPr>
                  <w:tcW w:w="1033" w:type="pct"/>
                  <w:vAlign w:val="center"/>
                </w:tcPr>
                <w:p w14:paraId="5479AD8E">
                  <w:pPr>
                    <w:jc w:val="center"/>
                    <w:rPr>
                      <w:color w:val="auto"/>
                      <w:sz w:val="21"/>
                      <w:szCs w:val="21"/>
                    </w:rPr>
                  </w:pPr>
                  <w:r>
                    <w:rPr>
                      <w:color w:val="auto"/>
                      <w:sz w:val="21"/>
                      <w:szCs w:val="21"/>
                    </w:rPr>
                    <w:t>100.00</w:t>
                  </w:r>
                </w:p>
              </w:tc>
            </w:tr>
          </w:tbl>
          <w:p w14:paraId="4309D5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6、公用工程</w:t>
            </w:r>
          </w:p>
          <w:p w14:paraId="6B3D4BD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6.1供水</w:t>
            </w:r>
          </w:p>
          <w:p w14:paraId="29939E6C">
            <w:pPr>
              <w:adjustRightInd w:val="0"/>
              <w:snapToGrid w:val="0"/>
              <w:spacing w:line="360" w:lineRule="auto"/>
              <w:ind w:firstLine="480" w:firstLineChars="200"/>
              <w:rPr>
                <w:color w:val="auto"/>
              </w:rPr>
            </w:pPr>
            <w:r>
              <w:rPr>
                <w:rFonts w:hint="eastAsia"/>
                <w:color w:val="auto"/>
              </w:rPr>
              <w:t>项目饮用水为桶装水纯净水，生活用水（除饮用水外）及生产水源通过水管从伏虎华侨农场接至场地。</w:t>
            </w:r>
            <w:r>
              <w:rPr>
                <w:rFonts w:hint="eastAsia" w:eastAsia="宋体"/>
                <w:b w:val="0"/>
                <w:bCs w:val="0"/>
                <w:color w:val="auto"/>
                <w:lang w:val="en-US" w:eastAsia="zh-CN"/>
              </w:rPr>
              <w:t>生产用水取水来源为项目西侧5.5km处的柳江，</w:t>
            </w:r>
            <w:r>
              <w:rPr>
                <w:rFonts w:hint="eastAsia" w:eastAsia="宋体"/>
                <w:b w:val="0"/>
                <w:bCs w:val="0"/>
                <w:color w:val="auto"/>
              </w:rPr>
              <w:t>多年平均流量</w:t>
            </w:r>
            <w:r>
              <w:rPr>
                <w:rFonts w:hint="eastAsia" w:eastAsia="宋体"/>
                <w:b w:val="0"/>
                <w:bCs w:val="0"/>
                <w:color w:val="auto"/>
                <w:lang w:val="en-US" w:eastAsia="zh-CN"/>
              </w:rPr>
              <w:t>为</w:t>
            </w:r>
            <w:r>
              <w:rPr>
                <w:rFonts w:hint="eastAsia" w:eastAsia="宋体"/>
                <w:b w:val="0"/>
                <w:bCs w:val="0"/>
                <w:color w:val="auto"/>
              </w:rPr>
              <w:t>605</w:t>
            </w:r>
            <w:r>
              <w:rPr>
                <w:rFonts w:hint="eastAsia" w:eastAsia="宋体"/>
                <w:b w:val="0"/>
                <w:bCs w:val="0"/>
                <w:color w:val="auto"/>
                <w:lang w:val="en-US" w:eastAsia="zh-CN"/>
              </w:rPr>
              <w:t>m</w:t>
            </w:r>
            <w:r>
              <w:rPr>
                <w:rFonts w:hint="eastAsia" w:eastAsia="宋体"/>
                <w:b w:val="0"/>
                <w:bCs w:val="0"/>
                <w:color w:val="auto"/>
                <w:vertAlign w:val="superscript"/>
                <w:lang w:val="en-US" w:eastAsia="zh-CN"/>
              </w:rPr>
              <w:t>3</w:t>
            </w:r>
            <w:r>
              <w:rPr>
                <w:rFonts w:hint="eastAsia" w:eastAsia="宋体"/>
                <w:b w:val="0"/>
                <w:bCs w:val="0"/>
                <w:color w:val="auto"/>
                <w:lang w:val="en-US" w:eastAsia="zh-CN"/>
              </w:rPr>
              <w:t>/s。生产用水情况为计划从柳江年取水20万m³，日均取水量为547.95m³，柳江能够满足取水要求，主要用于钻井配浆、压裂配液，新水采用罐车运输至井场。退水情况：项目开工前与有资质的处理单位签订协议，本项目产生不能回用的废污水委托有资质的污水处理单位进行拉运处理，不外排。</w:t>
            </w:r>
          </w:p>
          <w:p w14:paraId="0D433BE2">
            <w:pPr>
              <w:adjustRightInd w:val="0"/>
              <w:snapToGrid w:val="0"/>
              <w:spacing w:line="360" w:lineRule="auto"/>
              <w:ind w:firstLine="480" w:firstLineChars="200"/>
              <w:rPr>
                <w:color w:val="auto"/>
              </w:rPr>
            </w:pPr>
            <w:r>
              <w:rPr>
                <w:rFonts w:hint="eastAsia"/>
                <w:color w:val="auto"/>
              </w:rPr>
              <w:t>（1）员工生活用水</w:t>
            </w:r>
          </w:p>
          <w:p w14:paraId="675CF603">
            <w:pPr>
              <w:adjustRightInd w:val="0"/>
              <w:snapToGrid w:val="0"/>
              <w:spacing w:line="360" w:lineRule="auto"/>
              <w:ind w:firstLine="480" w:firstLineChars="200"/>
              <w:rPr>
                <w:color w:val="auto"/>
              </w:rPr>
            </w:pPr>
            <w:r>
              <w:rPr>
                <w:rFonts w:hint="eastAsia"/>
                <w:color w:val="auto"/>
              </w:rPr>
              <w:t>员工生活用水分为钻井工程、储层改造以及试采作业工程的生活用水。</w:t>
            </w:r>
          </w:p>
          <w:p w14:paraId="3CEAF27E">
            <w:pPr>
              <w:adjustRightInd w:val="0"/>
              <w:snapToGrid w:val="0"/>
              <w:spacing w:line="360" w:lineRule="auto"/>
              <w:ind w:firstLine="480" w:firstLineChars="200"/>
              <w:rPr>
                <w:color w:val="auto"/>
                <w:lang w:bidi="ar"/>
              </w:rPr>
            </w:pPr>
            <w:r>
              <w:rPr>
                <w:rFonts w:hint="eastAsia"/>
                <w:color w:val="auto"/>
                <w:lang w:bidi="ar"/>
              </w:rPr>
              <w:t>钻井期间，现场设置1队钻井队，每天施工人员为50人，均在生活区住宿，钻井工程周期天数为330天。</w:t>
            </w:r>
            <w:r>
              <w:rPr>
                <w:rFonts w:hint="eastAsia"/>
                <w:color w:val="auto"/>
              </w:rPr>
              <w:t>根据建设单位资料，</w:t>
            </w:r>
            <w:r>
              <w:rPr>
                <w:rFonts w:hint="eastAsia"/>
                <w:color w:val="auto"/>
                <w:lang w:bidi="ar"/>
              </w:rPr>
              <w:t>住厂职工用水量按100L/人·d算，则施工人员每天生活用水量为5m</w:t>
            </w:r>
            <w:r>
              <w:rPr>
                <w:rFonts w:hint="eastAsia"/>
                <w:color w:val="auto"/>
                <w:vertAlign w:val="superscript"/>
                <w:lang w:bidi="ar"/>
              </w:rPr>
              <w:t>3</w:t>
            </w:r>
            <w:r>
              <w:rPr>
                <w:rFonts w:hint="eastAsia"/>
                <w:color w:val="auto"/>
                <w:lang w:bidi="ar"/>
              </w:rPr>
              <w:t>，总生活用水量为</w:t>
            </w:r>
            <w:r>
              <w:rPr>
                <w:color w:val="auto"/>
                <w:lang w:bidi="ar"/>
              </w:rPr>
              <w:t>1650</w:t>
            </w:r>
            <w:r>
              <w:rPr>
                <w:rFonts w:hint="eastAsia"/>
                <w:color w:val="auto"/>
                <w:lang w:bidi="ar"/>
              </w:rPr>
              <w:t>m</w:t>
            </w:r>
            <w:r>
              <w:rPr>
                <w:rFonts w:hint="eastAsia"/>
                <w:color w:val="auto"/>
                <w:vertAlign w:val="superscript"/>
                <w:lang w:bidi="ar"/>
              </w:rPr>
              <w:t>3</w:t>
            </w:r>
            <w:r>
              <w:rPr>
                <w:rFonts w:hint="eastAsia"/>
                <w:color w:val="auto"/>
                <w:lang w:bidi="ar"/>
              </w:rPr>
              <w:t>。污水排放系数取0.8，每天生活污水产生量为4m</w:t>
            </w:r>
            <w:r>
              <w:rPr>
                <w:rFonts w:hint="eastAsia"/>
                <w:color w:val="auto"/>
                <w:vertAlign w:val="superscript"/>
                <w:lang w:bidi="ar"/>
              </w:rPr>
              <w:t>3</w:t>
            </w:r>
            <w:r>
              <w:rPr>
                <w:rFonts w:hint="eastAsia"/>
                <w:color w:val="auto"/>
                <w:lang w:bidi="ar"/>
              </w:rPr>
              <w:t>，钻井工程周期总生活污水产生量为</w:t>
            </w:r>
            <w:r>
              <w:rPr>
                <w:color w:val="auto"/>
                <w:lang w:bidi="ar"/>
              </w:rPr>
              <w:t>1320</w:t>
            </w:r>
            <w:r>
              <w:rPr>
                <w:rFonts w:hint="eastAsia"/>
                <w:color w:val="auto"/>
                <w:lang w:bidi="ar"/>
              </w:rPr>
              <w:t>m</w:t>
            </w:r>
            <w:r>
              <w:rPr>
                <w:rFonts w:hint="eastAsia"/>
                <w:color w:val="auto"/>
                <w:vertAlign w:val="superscript"/>
                <w:lang w:bidi="ar"/>
              </w:rPr>
              <w:t>3</w:t>
            </w:r>
            <w:r>
              <w:rPr>
                <w:rFonts w:hint="eastAsia"/>
                <w:color w:val="auto"/>
                <w:lang w:bidi="ar"/>
              </w:rPr>
              <w:t>。</w:t>
            </w:r>
          </w:p>
          <w:p w14:paraId="1C65B1E7">
            <w:pPr>
              <w:adjustRightInd w:val="0"/>
              <w:snapToGrid w:val="0"/>
              <w:spacing w:line="360" w:lineRule="auto"/>
              <w:ind w:firstLine="480" w:firstLineChars="200"/>
              <w:rPr>
                <w:color w:val="auto"/>
              </w:rPr>
            </w:pPr>
            <w:r>
              <w:rPr>
                <w:rFonts w:hint="eastAsia"/>
                <w:color w:val="auto"/>
              </w:rPr>
              <w:t>储层改造施工人员为30人，</w:t>
            </w:r>
            <w:r>
              <w:rPr>
                <w:rFonts w:hint="eastAsia"/>
                <w:color w:val="auto"/>
                <w:lang w:bidi="ar"/>
              </w:rPr>
              <w:t>均在生活区住宿，</w:t>
            </w:r>
            <w:r>
              <w:rPr>
                <w:rFonts w:hint="eastAsia"/>
                <w:color w:val="auto"/>
              </w:rPr>
              <w:t>根据建设单位资料，</w:t>
            </w:r>
            <w:r>
              <w:rPr>
                <w:rFonts w:hint="eastAsia"/>
                <w:color w:val="auto"/>
                <w:lang w:bidi="ar"/>
              </w:rPr>
              <w:t>住厂职工用水量按100L/人·d算，</w:t>
            </w:r>
            <w:r>
              <w:rPr>
                <w:rFonts w:hint="eastAsia"/>
                <w:color w:val="auto"/>
              </w:rPr>
              <w:t>储层改造施工天数为240天，</w:t>
            </w:r>
            <w:r>
              <w:rPr>
                <w:rFonts w:hint="eastAsia"/>
                <w:color w:val="auto"/>
                <w:lang w:bidi="ar"/>
              </w:rPr>
              <w:t>则施工人员每天生活用水量为</w:t>
            </w:r>
            <w:r>
              <w:rPr>
                <w:color w:val="auto"/>
                <w:lang w:bidi="ar"/>
              </w:rPr>
              <w:t>3</w:t>
            </w:r>
            <w:r>
              <w:rPr>
                <w:rFonts w:hint="eastAsia"/>
                <w:color w:val="auto"/>
                <w:lang w:bidi="ar"/>
              </w:rPr>
              <w:t>m</w:t>
            </w:r>
            <w:r>
              <w:rPr>
                <w:rFonts w:hint="eastAsia"/>
                <w:color w:val="auto"/>
                <w:vertAlign w:val="superscript"/>
                <w:lang w:bidi="ar"/>
              </w:rPr>
              <w:t>3</w:t>
            </w:r>
            <w:r>
              <w:rPr>
                <w:rFonts w:hint="eastAsia"/>
                <w:color w:val="auto"/>
                <w:lang w:bidi="ar"/>
              </w:rPr>
              <w:t>，</w:t>
            </w:r>
            <w:r>
              <w:rPr>
                <w:rFonts w:hint="eastAsia"/>
                <w:color w:val="auto"/>
              </w:rPr>
              <w:t>储层改造</w:t>
            </w:r>
            <w:r>
              <w:rPr>
                <w:rFonts w:hint="eastAsia"/>
                <w:color w:val="auto"/>
                <w:lang w:bidi="ar"/>
              </w:rPr>
              <w:t>周期总生活用水量为</w:t>
            </w:r>
            <w:r>
              <w:rPr>
                <w:color w:val="auto"/>
                <w:lang w:bidi="ar"/>
              </w:rPr>
              <w:t>720</w:t>
            </w:r>
            <w:r>
              <w:rPr>
                <w:rFonts w:hint="eastAsia"/>
                <w:color w:val="auto"/>
                <w:lang w:bidi="ar"/>
              </w:rPr>
              <w:t>m</w:t>
            </w:r>
            <w:r>
              <w:rPr>
                <w:rFonts w:hint="eastAsia"/>
                <w:color w:val="auto"/>
                <w:vertAlign w:val="superscript"/>
                <w:lang w:bidi="ar"/>
              </w:rPr>
              <w:t>3</w:t>
            </w:r>
            <w:r>
              <w:rPr>
                <w:rFonts w:hint="eastAsia"/>
                <w:color w:val="auto"/>
                <w:lang w:bidi="ar"/>
              </w:rPr>
              <w:t>。污水排放系数取0.8，每天生活污水产生量为</w:t>
            </w:r>
            <w:r>
              <w:rPr>
                <w:color w:val="auto"/>
                <w:lang w:bidi="ar"/>
              </w:rPr>
              <w:t>2.4</w:t>
            </w:r>
            <w:r>
              <w:rPr>
                <w:rFonts w:hint="eastAsia"/>
                <w:color w:val="auto"/>
                <w:lang w:bidi="ar"/>
              </w:rPr>
              <w:t>m</w:t>
            </w:r>
            <w:r>
              <w:rPr>
                <w:rFonts w:hint="eastAsia"/>
                <w:color w:val="auto"/>
                <w:vertAlign w:val="superscript"/>
                <w:lang w:bidi="ar"/>
              </w:rPr>
              <w:t>3</w:t>
            </w:r>
            <w:r>
              <w:rPr>
                <w:rFonts w:hint="eastAsia"/>
                <w:color w:val="auto"/>
                <w:lang w:bidi="ar"/>
              </w:rPr>
              <w:t>，</w:t>
            </w:r>
            <w:r>
              <w:rPr>
                <w:rFonts w:hint="eastAsia"/>
                <w:color w:val="auto"/>
              </w:rPr>
              <w:t>储层改造</w:t>
            </w:r>
            <w:r>
              <w:rPr>
                <w:rFonts w:hint="eastAsia"/>
                <w:color w:val="auto"/>
                <w:lang w:bidi="ar"/>
              </w:rPr>
              <w:t>周期总生活污水产生量为</w:t>
            </w:r>
            <w:r>
              <w:rPr>
                <w:color w:val="auto"/>
                <w:lang w:bidi="ar"/>
              </w:rPr>
              <w:t>576</w:t>
            </w:r>
            <w:r>
              <w:rPr>
                <w:rFonts w:hint="eastAsia"/>
                <w:color w:val="auto"/>
                <w:lang w:bidi="ar"/>
              </w:rPr>
              <w:t>m</w:t>
            </w:r>
            <w:r>
              <w:rPr>
                <w:rFonts w:hint="eastAsia"/>
                <w:color w:val="auto"/>
                <w:vertAlign w:val="superscript"/>
                <w:lang w:bidi="ar"/>
              </w:rPr>
              <w:t>3</w:t>
            </w:r>
            <w:r>
              <w:rPr>
                <w:rFonts w:hint="eastAsia"/>
                <w:color w:val="auto"/>
                <w:lang w:bidi="ar"/>
              </w:rPr>
              <w:t>。</w:t>
            </w:r>
          </w:p>
          <w:p w14:paraId="0466B480">
            <w:pPr>
              <w:adjustRightInd w:val="0"/>
              <w:snapToGrid w:val="0"/>
              <w:spacing w:line="360" w:lineRule="auto"/>
              <w:ind w:firstLine="480" w:firstLineChars="200"/>
              <w:rPr>
                <w:color w:val="auto"/>
                <w:lang w:bidi="ar"/>
              </w:rPr>
            </w:pPr>
            <w:r>
              <w:rPr>
                <w:rFonts w:hint="eastAsia"/>
                <w:color w:val="auto"/>
              </w:rPr>
              <w:t>试采周期施工人数为20人，</w:t>
            </w:r>
            <w:r>
              <w:rPr>
                <w:rFonts w:hint="eastAsia"/>
                <w:color w:val="auto"/>
                <w:lang w:bidi="ar"/>
              </w:rPr>
              <w:t>均在生活区住宿，</w:t>
            </w:r>
            <w:r>
              <w:rPr>
                <w:rFonts w:hint="eastAsia"/>
                <w:color w:val="auto"/>
              </w:rPr>
              <w:t>根据建设单位资料，</w:t>
            </w:r>
            <w:r>
              <w:rPr>
                <w:rFonts w:hint="eastAsia"/>
                <w:color w:val="auto"/>
                <w:lang w:bidi="ar"/>
              </w:rPr>
              <w:t>住厂职工用水量按100L/人·d算，</w:t>
            </w:r>
            <w:r>
              <w:rPr>
                <w:rFonts w:hint="eastAsia"/>
                <w:color w:val="auto"/>
              </w:rPr>
              <w:t>试采周期施工天数为7</w:t>
            </w:r>
            <w:r>
              <w:rPr>
                <w:color w:val="auto"/>
              </w:rPr>
              <w:t>2</w:t>
            </w:r>
            <w:r>
              <w:rPr>
                <w:rFonts w:hint="eastAsia"/>
                <w:color w:val="auto"/>
              </w:rPr>
              <w:t>0天，</w:t>
            </w:r>
            <w:r>
              <w:rPr>
                <w:rFonts w:hint="eastAsia"/>
                <w:color w:val="auto"/>
                <w:lang w:bidi="ar"/>
              </w:rPr>
              <w:t>则施工人员每天生活用水量为</w:t>
            </w:r>
            <w:r>
              <w:rPr>
                <w:color w:val="auto"/>
                <w:lang w:bidi="ar"/>
              </w:rPr>
              <w:t>2</w:t>
            </w:r>
            <w:r>
              <w:rPr>
                <w:rFonts w:hint="eastAsia"/>
                <w:color w:val="auto"/>
                <w:lang w:bidi="ar"/>
              </w:rPr>
              <w:t>m</w:t>
            </w:r>
            <w:r>
              <w:rPr>
                <w:rFonts w:hint="eastAsia"/>
                <w:color w:val="auto"/>
                <w:vertAlign w:val="superscript"/>
                <w:lang w:bidi="ar"/>
              </w:rPr>
              <w:t>3</w:t>
            </w:r>
            <w:r>
              <w:rPr>
                <w:rFonts w:hint="eastAsia"/>
                <w:color w:val="auto"/>
                <w:lang w:bidi="ar"/>
              </w:rPr>
              <w:t>，</w:t>
            </w:r>
            <w:r>
              <w:rPr>
                <w:rFonts w:hint="eastAsia"/>
                <w:color w:val="auto"/>
              </w:rPr>
              <w:t>试采周期</w:t>
            </w:r>
            <w:r>
              <w:rPr>
                <w:rFonts w:hint="eastAsia"/>
                <w:color w:val="auto"/>
                <w:lang w:bidi="ar"/>
              </w:rPr>
              <w:t>总生活用水量为</w:t>
            </w:r>
            <w:r>
              <w:rPr>
                <w:color w:val="auto"/>
                <w:lang w:bidi="ar"/>
              </w:rPr>
              <w:t>1440</w:t>
            </w:r>
            <w:r>
              <w:rPr>
                <w:rFonts w:hint="eastAsia"/>
                <w:color w:val="auto"/>
                <w:lang w:bidi="ar"/>
              </w:rPr>
              <w:t>m</w:t>
            </w:r>
            <w:r>
              <w:rPr>
                <w:rFonts w:hint="eastAsia"/>
                <w:color w:val="auto"/>
                <w:vertAlign w:val="superscript"/>
                <w:lang w:bidi="ar"/>
              </w:rPr>
              <w:t>3</w:t>
            </w:r>
            <w:r>
              <w:rPr>
                <w:rFonts w:hint="eastAsia"/>
                <w:color w:val="auto"/>
                <w:lang w:bidi="ar"/>
              </w:rPr>
              <w:t>。污水排放系数取0.8，则每天生活污水产生量为</w:t>
            </w:r>
            <w:r>
              <w:rPr>
                <w:color w:val="auto"/>
                <w:lang w:bidi="ar"/>
              </w:rPr>
              <w:t>1.6</w:t>
            </w:r>
            <w:r>
              <w:rPr>
                <w:rFonts w:hint="eastAsia"/>
                <w:color w:val="auto"/>
                <w:lang w:bidi="ar"/>
              </w:rPr>
              <w:t>m</w:t>
            </w:r>
            <w:r>
              <w:rPr>
                <w:rFonts w:hint="eastAsia"/>
                <w:color w:val="auto"/>
                <w:vertAlign w:val="superscript"/>
                <w:lang w:bidi="ar"/>
              </w:rPr>
              <w:t>3</w:t>
            </w:r>
            <w:r>
              <w:rPr>
                <w:rFonts w:hint="eastAsia"/>
                <w:color w:val="auto"/>
                <w:lang w:bidi="ar"/>
              </w:rPr>
              <w:t>，</w:t>
            </w:r>
            <w:r>
              <w:rPr>
                <w:rFonts w:hint="eastAsia"/>
                <w:color w:val="auto"/>
              </w:rPr>
              <w:t>储层改造</w:t>
            </w:r>
            <w:r>
              <w:rPr>
                <w:rFonts w:hint="eastAsia"/>
                <w:color w:val="auto"/>
                <w:lang w:bidi="ar"/>
              </w:rPr>
              <w:t>周期总生活污水产生量为</w:t>
            </w:r>
            <w:r>
              <w:rPr>
                <w:color w:val="auto"/>
                <w:lang w:bidi="ar"/>
              </w:rPr>
              <w:t>1152</w:t>
            </w:r>
            <w:r>
              <w:rPr>
                <w:rFonts w:hint="eastAsia"/>
                <w:color w:val="auto"/>
                <w:lang w:bidi="ar"/>
              </w:rPr>
              <w:t>m</w:t>
            </w:r>
            <w:r>
              <w:rPr>
                <w:rFonts w:hint="eastAsia"/>
                <w:color w:val="auto"/>
                <w:vertAlign w:val="superscript"/>
                <w:lang w:bidi="ar"/>
              </w:rPr>
              <w:t>3</w:t>
            </w:r>
            <w:r>
              <w:rPr>
                <w:rFonts w:hint="eastAsia"/>
                <w:color w:val="auto"/>
                <w:lang w:bidi="ar"/>
              </w:rPr>
              <w:t>。</w:t>
            </w:r>
          </w:p>
          <w:p w14:paraId="3CCFCD94">
            <w:pPr>
              <w:adjustRightInd w:val="0"/>
              <w:snapToGrid w:val="0"/>
              <w:spacing w:line="360" w:lineRule="auto"/>
              <w:ind w:firstLine="480" w:firstLineChars="200"/>
              <w:rPr>
                <w:color w:val="auto"/>
                <w:lang w:bidi="ar"/>
              </w:rPr>
            </w:pPr>
            <w:r>
              <w:rPr>
                <w:rFonts w:hint="eastAsia"/>
                <w:color w:val="auto"/>
                <w:lang w:bidi="ar"/>
              </w:rPr>
              <w:t>综上，员工生活用水总用量为3810m</w:t>
            </w:r>
            <w:r>
              <w:rPr>
                <w:rFonts w:hint="eastAsia"/>
                <w:color w:val="auto"/>
                <w:vertAlign w:val="superscript"/>
                <w:lang w:bidi="ar"/>
              </w:rPr>
              <w:t>3</w:t>
            </w:r>
            <w:r>
              <w:rPr>
                <w:rFonts w:hint="eastAsia"/>
                <w:color w:val="auto"/>
                <w:lang w:bidi="ar"/>
              </w:rPr>
              <w:t>，生活污水产生量为3048m</w:t>
            </w:r>
            <w:r>
              <w:rPr>
                <w:rFonts w:hint="eastAsia"/>
                <w:color w:val="auto"/>
                <w:vertAlign w:val="superscript"/>
                <w:lang w:bidi="ar"/>
              </w:rPr>
              <w:t>3</w:t>
            </w:r>
            <w:r>
              <w:rPr>
                <w:rFonts w:hint="eastAsia"/>
                <w:color w:val="auto"/>
                <w:lang w:bidi="ar"/>
              </w:rPr>
              <w:t>。</w:t>
            </w:r>
          </w:p>
          <w:p w14:paraId="73275436">
            <w:pPr>
              <w:adjustRightInd w:val="0"/>
              <w:snapToGrid w:val="0"/>
              <w:spacing w:line="360" w:lineRule="auto"/>
              <w:ind w:firstLine="480" w:firstLineChars="200"/>
              <w:rPr>
                <w:rFonts w:hint="eastAsia"/>
                <w:color w:val="auto"/>
              </w:rPr>
            </w:pPr>
            <w:r>
              <w:rPr>
                <w:rFonts w:hint="eastAsia"/>
                <w:color w:val="auto"/>
              </w:rPr>
              <w:t>（2）钻井用水</w:t>
            </w:r>
          </w:p>
          <w:p w14:paraId="30BD6250">
            <w:pPr>
              <w:adjustRightInd w:val="0"/>
              <w:snapToGrid w:val="0"/>
              <w:spacing w:line="360" w:lineRule="auto"/>
              <w:ind w:firstLine="480" w:firstLineChars="200"/>
              <w:rPr>
                <w:color w:val="auto"/>
                <w:kern w:val="0"/>
                <w:szCs w:val="21"/>
              </w:rPr>
            </w:pPr>
            <w:r>
              <w:rPr>
                <w:rFonts w:hint="eastAsia"/>
                <w:color w:val="auto"/>
                <w:kern w:val="0"/>
                <w:szCs w:val="21"/>
              </w:rPr>
              <w:t>根据《1120石油和天然气开采专业及辅助性活动行业系数手册》，≤2千米进尺的普通气井钻井废水产生量54.94t/百米。</w:t>
            </w:r>
            <w:r>
              <w:rPr>
                <w:rFonts w:hint="eastAsia"/>
                <w:color w:val="auto"/>
              </w:rPr>
              <w:t>项目</w:t>
            </w:r>
            <w:r>
              <w:rPr>
                <w:rFonts w:hint="eastAsia"/>
                <w:color w:val="auto"/>
                <w:lang w:val="en-US" w:eastAsia="zh-CN"/>
              </w:rPr>
              <w:t>水基液</w:t>
            </w:r>
            <w:r>
              <w:rPr>
                <w:rFonts w:hint="eastAsia"/>
                <w:color w:val="auto"/>
              </w:rPr>
              <w:t>钻进深度（导管~二开开次）为1631m，</w:t>
            </w:r>
            <w:r>
              <w:rPr>
                <w:rFonts w:hint="eastAsia"/>
                <w:color w:val="auto"/>
                <w:kern w:val="0"/>
                <w:szCs w:val="21"/>
              </w:rPr>
              <w:t>现项目已完成一口井的导管、一开、二开开次，后续仍需钻井井深共计8155m，项目钻井废水产生量为4480.36m</w:t>
            </w:r>
            <w:r>
              <w:rPr>
                <w:rFonts w:hint="eastAsia"/>
                <w:color w:val="auto"/>
                <w:kern w:val="0"/>
                <w:szCs w:val="21"/>
                <w:vertAlign w:val="superscript"/>
              </w:rPr>
              <w:t>3</w:t>
            </w:r>
            <w:r>
              <w:rPr>
                <w:rFonts w:hint="eastAsia"/>
                <w:color w:val="auto"/>
                <w:kern w:val="0"/>
                <w:szCs w:val="21"/>
              </w:rPr>
              <w:t>。项目钻井阶段的水量损耗约为5%，则钻井用水量为4716.17m</w:t>
            </w:r>
            <w:r>
              <w:rPr>
                <w:rFonts w:hint="eastAsia"/>
                <w:color w:val="auto"/>
                <w:kern w:val="0"/>
                <w:szCs w:val="21"/>
                <w:vertAlign w:val="superscript"/>
              </w:rPr>
              <w:t>3</w:t>
            </w:r>
            <w:r>
              <w:rPr>
                <w:rFonts w:hint="eastAsia"/>
                <w:color w:val="auto"/>
                <w:kern w:val="0"/>
                <w:szCs w:val="21"/>
              </w:rPr>
              <w:t>，损耗量为235.81m</w:t>
            </w:r>
            <w:r>
              <w:rPr>
                <w:rFonts w:hint="eastAsia"/>
                <w:color w:val="auto"/>
                <w:kern w:val="0"/>
                <w:szCs w:val="21"/>
                <w:vertAlign w:val="superscript"/>
              </w:rPr>
              <w:t>3</w:t>
            </w:r>
            <w:r>
              <w:rPr>
                <w:rFonts w:hint="eastAsia"/>
                <w:color w:val="auto"/>
                <w:kern w:val="0"/>
                <w:szCs w:val="21"/>
              </w:rPr>
              <w:t>。钻井废水排至泥浆循环系统经固液分离后产生含水率为70%的水基泥浆和滤液，滤液回用于钻井，水基泥浆由钻井队回收回用。</w:t>
            </w:r>
            <w:r>
              <w:rPr>
                <w:rFonts w:hint="eastAsia"/>
                <w:color w:val="auto"/>
              </w:rPr>
              <w:t>根据钻井经验及类比同类项目，本项目产生水基泥浆的量为800</w:t>
            </w:r>
            <w:r>
              <w:rPr>
                <w:rFonts w:hint="eastAsia"/>
                <w:color w:val="auto"/>
                <w:kern w:val="0"/>
                <w:szCs w:val="21"/>
              </w:rPr>
              <w:t>m</w:t>
            </w:r>
            <w:r>
              <w:rPr>
                <w:rFonts w:hint="eastAsia"/>
                <w:color w:val="auto"/>
                <w:kern w:val="0"/>
                <w:szCs w:val="21"/>
                <w:vertAlign w:val="superscript"/>
              </w:rPr>
              <w:t>3</w:t>
            </w:r>
            <w:r>
              <w:rPr>
                <w:rFonts w:hint="eastAsia"/>
                <w:color w:val="auto"/>
                <w:kern w:val="0"/>
                <w:szCs w:val="21"/>
              </w:rPr>
              <w:t>，</w:t>
            </w:r>
            <w:r>
              <w:rPr>
                <w:rFonts w:hint="eastAsia"/>
                <w:color w:val="auto"/>
              </w:rPr>
              <w:t>则产生滤液为3680.36</w:t>
            </w:r>
            <w:r>
              <w:rPr>
                <w:rFonts w:hint="eastAsia"/>
                <w:color w:val="auto"/>
                <w:kern w:val="0"/>
                <w:szCs w:val="21"/>
              </w:rPr>
              <w:t>m</w:t>
            </w:r>
            <w:r>
              <w:rPr>
                <w:rFonts w:hint="eastAsia"/>
                <w:color w:val="auto"/>
                <w:kern w:val="0"/>
                <w:szCs w:val="21"/>
                <w:vertAlign w:val="superscript"/>
              </w:rPr>
              <w:t>3</w:t>
            </w:r>
            <w:r>
              <w:rPr>
                <w:rFonts w:hint="eastAsia"/>
                <w:color w:val="auto"/>
                <w:kern w:val="0"/>
                <w:szCs w:val="21"/>
              </w:rPr>
              <w:t>，</w:t>
            </w:r>
            <w:r>
              <w:rPr>
                <w:rFonts w:hint="eastAsia"/>
                <w:color w:val="auto"/>
              </w:rPr>
              <w:t>得到的滤液全部回用于钻井用水，需要补充的新水量为1035.81</w:t>
            </w:r>
            <w:r>
              <w:rPr>
                <w:rFonts w:hint="eastAsia"/>
                <w:color w:val="auto"/>
                <w:kern w:val="0"/>
                <w:szCs w:val="21"/>
              </w:rPr>
              <w:t>m</w:t>
            </w:r>
            <w:r>
              <w:rPr>
                <w:rFonts w:hint="eastAsia"/>
                <w:color w:val="auto"/>
                <w:kern w:val="0"/>
                <w:szCs w:val="21"/>
                <w:vertAlign w:val="superscript"/>
              </w:rPr>
              <w:t>3</w:t>
            </w:r>
            <w:r>
              <w:rPr>
                <w:rFonts w:hint="eastAsia"/>
                <w:color w:val="auto"/>
              </w:rPr>
              <w:t>。</w:t>
            </w:r>
          </w:p>
          <w:p w14:paraId="2E1CA764">
            <w:pPr>
              <w:adjustRightInd w:val="0"/>
              <w:snapToGrid w:val="0"/>
              <w:spacing w:line="360" w:lineRule="auto"/>
              <w:ind w:firstLine="480" w:firstLineChars="200"/>
              <w:rPr>
                <w:color w:val="auto"/>
              </w:rPr>
            </w:pPr>
            <w:r>
              <w:rPr>
                <w:rFonts w:hint="eastAsia"/>
                <w:color w:val="auto"/>
              </w:rPr>
              <w:t>（3）洗井用水</w:t>
            </w:r>
          </w:p>
          <w:p w14:paraId="1C4E7003">
            <w:pPr>
              <w:adjustRightInd w:val="0"/>
              <w:snapToGrid w:val="0"/>
              <w:spacing w:line="360" w:lineRule="auto"/>
              <w:ind w:firstLine="480" w:firstLineChars="200"/>
              <w:rPr>
                <w:color w:val="auto"/>
              </w:rPr>
            </w:pPr>
            <w:r>
              <w:rPr>
                <w:rFonts w:hint="eastAsia"/>
                <w:color w:val="auto"/>
                <w:kern w:val="0"/>
                <w:szCs w:val="21"/>
              </w:rPr>
              <w:t>根据建设单位资料，洗井废水产生量约180m</w:t>
            </w:r>
            <w:r>
              <w:rPr>
                <w:rFonts w:hint="eastAsia"/>
                <w:color w:val="auto"/>
                <w:kern w:val="0"/>
                <w:szCs w:val="21"/>
                <w:vertAlign w:val="superscript"/>
              </w:rPr>
              <w:t>3</w:t>
            </w:r>
            <w:r>
              <w:rPr>
                <w:rFonts w:hint="eastAsia"/>
                <w:color w:val="auto"/>
                <w:kern w:val="0"/>
                <w:szCs w:val="21"/>
              </w:rPr>
              <w:t>/口井，则本项目6口井洗井废水产生量为1080m</w:t>
            </w:r>
            <w:r>
              <w:rPr>
                <w:rFonts w:hint="eastAsia"/>
                <w:color w:val="auto"/>
                <w:kern w:val="0"/>
                <w:szCs w:val="21"/>
                <w:vertAlign w:val="superscript"/>
              </w:rPr>
              <w:t>3</w:t>
            </w:r>
            <w:r>
              <w:rPr>
                <w:rFonts w:hint="eastAsia"/>
                <w:color w:val="auto"/>
                <w:kern w:val="0"/>
                <w:szCs w:val="21"/>
              </w:rPr>
              <w:t>。</w:t>
            </w:r>
            <w:r>
              <w:rPr>
                <w:rFonts w:hint="eastAsia"/>
                <w:color w:val="auto"/>
              </w:rPr>
              <w:t>项目洗井阶段水量损耗约为5%，则项目洗井用水量1136.84m</w:t>
            </w:r>
            <w:r>
              <w:rPr>
                <w:rFonts w:hint="eastAsia"/>
                <w:color w:val="auto"/>
                <w:vertAlign w:val="superscript"/>
              </w:rPr>
              <w:t>3</w:t>
            </w:r>
            <w:r>
              <w:rPr>
                <w:rFonts w:hint="eastAsia"/>
                <w:color w:val="auto"/>
              </w:rPr>
              <w:t>，损耗量为56.84m</w:t>
            </w:r>
            <w:r>
              <w:rPr>
                <w:rFonts w:hint="eastAsia"/>
                <w:color w:val="auto"/>
                <w:vertAlign w:val="superscript"/>
              </w:rPr>
              <w:t>3</w:t>
            </w:r>
            <w:r>
              <w:rPr>
                <w:rFonts w:hint="eastAsia"/>
                <w:color w:val="auto"/>
              </w:rPr>
              <w:t>。循环利用率为90%，则循环水水量约为</w:t>
            </w:r>
            <w:r>
              <w:rPr>
                <w:color w:val="auto"/>
              </w:rPr>
              <w:t>1023.16</w:t>
            </w:r>
            <w:r>
              <w:rPr>
                <w:rFonts w:hint="eastAsia"/>
                <w:color w:val="auto"/>
              </w:rPr>
              <w:t>m</w:t>
            </w:r>
            <w:r>
              <w:rPr>
                <w:rFonts w:hint="eastAsia"/>
                <w:color w:val="auto"/>
                <w:vertAlign w:val="superscript"/>
              </w:rPr>
              <w:t>3</w:t>
            </w:r>
            <w:r>
              <w:rPr>
                <w:rFonts w:hint="eastAsia"/>
                <w:color w:val="auto"/>
              </w:rPr>
              <w:t>，洗井废水排放量</w:t>
            </w:r>
            <w:r>
              <w:rPr>
                <w:color w:val="auto"/>
              </w:rPr>
              <w:t>56.84</w:t>
            </w:r>
            <w:r>
              <w:rPr>
                <w:rFonts w:hint="eastAsia"/>
                <w:color w:val="auto"/>
              </w:rPr>
              <w:t>m</w:t>
            </w:r>
            <w:r>
              <w:rPr>
                <w:rFonts w:hint="eastAsia"/>
                <w:color w:val="auto"/>
                <w:vertAlign w:val="superscript"/>
              </w:rPr>
              <w:t>3</w:t>
            </w:r>
            <w:r>
              <w:rPr>
                <w:rFonts w:hint="eastAsia"/>
                <w:color w:val="auto"/>
                <w:kern w:val="0"/>
                <w:szCs w:val="21"/>
              </w:rPr>
              <w:t>。洗井废水大部分回用，少部分暂存污水池，用于压裂液配置使用。</w:t>
            </w:r>
          </w:p>
          <w:p w14:paraId="082BDDEA">
            <w:pPr>
              <w:adjustRightInd w:val="0"/>
              <w:snapToGrid w:val="0"/>
              <w:spacing w:line="360" w:lineRule="auto"/>
              <w:ind w:firstLine="480" w:firstLineChars="200"/>
              <w:rPr>
                <w:rFonts w:hint="eastAsia"/>
                <w:color w:val="auto"/>
              </w:rPr>
            </w:pPr>
            <w:r>
              <w:rPr>
                <w:rFonts w:hint="eastAsia"/>
                <w:color w:val="auto"/>
              </w:rPr>
              <w:t>（4）管道试压用水</w:t>
            </w:r>
          </w:p>
          <w:p w14:paraId="15ECFDAD">
            <w:pPr>
              <w:adjustRightInd w:val="0"/>
              <w:snapToGrid w:val="0"/>
              <w:spacing w:line="360" w:lineRule="auto"/>
              <w:ind w:firstLine="480" w:firstLineChars="200"/>
              <w:rPr>
                <w:color w:val="auto"/>
              </w:rPr>
            </w:pPr>
            <w:r>
              <w:rPr>
                <w:rFonts w:hint="eastAsia"/>
                <w:color w:val="auto"/>
              </w:rPr>
              <w:t>项目注水管线试压介质为清水，试压过程会产生试压废水，预计试压用水量为120m</w:t>
            </w:r>
            <w:r>
              <w:rPr>
                <w:rFonts w:hint="eastAsia"/>
                <w:color w:val="auto"/>
                <w:vertAlign w:val="superscript"/>
              </w:rPr>
              <w:t>3</w:t>
            </w:r>
            <w:r>
              <w:rPr>
                <w:rFonts w:hint="eastAsia"/>
                <w:color w:val="auto"/>
              </w:rPr>
              <w:t>，主要污染物为SS，试压废水经收集后存于循环罐区储备罐中用于井场洒水，不外排。</w:t>
            </w:r>
          </w:p>
          <w:p w14:paraId="3FCC9B02">
            <w:pPr>
              <w:adjustRightInd w:val="0"/>
              <w:snapToGrid w:val="0"/>
              <w:spacing w:line="360" w:lineRule="auto"/>
              <w:ind w:firstLine="480" w:firstLineChars="200"/>
              <w:rPr>
                <w:rFonts w:hint="eastAsia"/>
                <w:color w:val="auto"/>
              </w:rPr>
            </w:pPr>
            <w:r>
              <w:rPr>
                <w:rFonts w:hint="eastAsia"/>
                <w:color w:val="auto"/>
              </w:rPr>
              <w:t>（5）压裂液用水</w:t>
            </w:r>
          </w:p>
          <w:p w14:paraId="2763684E">
            <w:pPr>
              <w:adjustRightInd w:val="0"/>
              <w:snapToGrid w:val="0"/>
              <w:spacing w:line="360" w:lineRule="auto"/>
              <w:ind w:firstLine="480" w:firstLineChars="200"/>
              <w:rPr>
                <w:color w:val="auto"/>
              </w:rPr>
            </w:pPr>
            <w:r>
              <w:rPr>
                <w:rFonts w:hint="eastAsia"/>
                <w:bCs/>
                <w:color w:val="auto"/>
              </w:rPr>
              <w:t>压裂完毕后进行试采作业，试采过程中会产生压裂返排液。</w:t>
            </w:r>
            <w:r>
              <w:rPr>
                <w:rFonts w:hint="eastAsia"/>
                <w:color w:val="auto"/>
              </w:rPr>
              <w:t>本项目压裂液由返排液、废水和平台内新取的水组成。本项目压裂施工预计压裂液总用量为262500</w:t>
            </w:r>
            <w:r>
              <w:rPr>
                <w:color w:val="auto"/>
              </w:rPr>
              <w:t>m</w:t>
            </w:r>
            <w:r>
              <w:rPr>
                <w:color w:val="auto"/>
                <w:vertAlign w:val="superscript"/>
              </w:rPr>
              <w:t>3</w:t>
            </w:r>
            <w:r>
              <w:rPr>
                <w:rFonts w:hint="eastAsia"/>
                <w:color w:val="auto"/>
              </w:rPr>
              <w:t>，当压裂施工时，压裂返排率为3</w:t>
            </w:r>
            <w:r>
              <w:rPr>
                <w:color w:val="auto"/>
              </w:rPr>
              <w:t>0%</w:t>
            </w:r>
            <w:r>
              <w:rPr>
                <w:rFonts w:hint="eastAsia"/>
                <w:color w:val="auto"/>
              </w:rPr>
              <w:t>，则压裂返排液产生量为78750</w:t>
            </w:r>
            <w:r>
              <w:rPr>
                <w:color w:val="auto"/>
              </w:rPr>
              <w:t>m</w:t>
            </w:r>
            <w:r>
              <w:rPr>
                <w:color w:val="auto"/>
                <w:vertAlign w:val="superscript"/>
              </w:rPr>
              <w:t>3</w:t>
            </w:r>
            <w:r>
              <w:rPr>
                <w:rFonts w:hint="eastAsia"/>
                <w:color w:val="auto"/>
              </w:rPr>
              <w:t>。利用洗井废水的量为</w:t>
            </w:r>
            <w:r>
              <w:rPr>
                <w:color w:val="auto"/>
              </w:rPr>
              <w:t>56.84m</w:t>
            </w:r>
            <w:r>
              <w:rPr>
                <w:color w:val="auto"/>
                <w:vertAlign w:val="superscript"/>
              </w:rPr>
              <w:t>3</w:t>
            </w:r>
            <w:r>
              <w:rPr>
                <w:rFonts w:hint="eastAsia"/>
                <w:color w:val="auto"/>
              </w:rPr>
              <w:t>，则需要补充新水的量为183693.16</w:t>
            </w:r>
            <w:r>
              <w:rPr>
                <w:color w:val="auto"/>
              </w:rPr>
              <w:t>m</w:t>
            </w:r>
            <w:r>
              <w:rPr>
                <w:color w:val="auto"/>
                <w:vertAlign w:val="superscript"/>
              </w:rPr>
              <w:t>3</w:t>
            </w:r>
            <w:r>
              <w:rPr>
                <w:rFonts w:hint="eastAsia"/>
                <w:color w:val="auto"/>
              </w:rPr>
              <w:t>。</w:t>
            </w:r>
          </w:p>
          <w:p w14:paraId="2BA544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6.2排水</w:t>
            </w:r>
          </w:p>
          <w:p w14:paraId="7E37B212">
            <w:pPr>
              <w:spacing w:line="360" w:lineRule="auto"/>
              <w:ind w:firstLine="480" w:firstLineChars="200"/>
              <w:rPr>
                <w:color w:val="auto"/>
              </w:rPr>
            </w:pPr>
            <w:r>
              <w:rPr>
                <w:rFonts w:hint="eastAsia"/>
                <w:color w:val="auto"/>
              </w:rPr>
              <w:t>施工期间钻井废水进入泥浆循环系统，滤液回用；洗井废水大部分回用，少部分进入污水池，用于配置压裂液，不外排；项目在开工前与污水处理单位签订协议，采用移动式水冲厕所，粪水和食堂、洗浴废水定期拉运至当地有接收能力且环保手续齐备的生活污水处理厂（站）统一处理及排放。</w:t>
            </w:r>
          </w:p>
          <w:p w14:paraId="39B75B8B">
            <w:pPr>
              <w:spacing w:line="360" w:lineRule="auto"/>
              <w:ind w:firstLine="480" w:firstLineChars="200"/>
              <w:rPr>
                <w:color w:val="auto"/>
              </w:rPr>
            </w:pPr>
            <w:r>
              <w:rPr>
                <w:rFonts w:hint="eastAsia"/>
                <w:color w:val="auto"/>
              </w:rPr>
              <w:t>施工期现场雨污分流，场外雨水通过截排水沟排入自然水系。</w:t>
            </w:r>
          </w:p>
          <w:p w14:paraId="4A3FB8D7">
            <w:pPr>
              <w:spacing w:line="360" w:lineRule="auto"/>
              <w:ind w:firstLine="480" w:firstLineChars="200"/>
              <w:rPr>
                <w:color w:val="auto"/>
              </w:rPr>
            </w:pPr>
            <w:r>
              <w:rPr>
                <w:rFonts w:hint="eastAsia"/>
                <w:color w:val="auto"/>
              </w:rPr>
              <w:t>场内雨水系统采用清污分流系统，其中场内清水系统是在井场四周边界设场内清水沟，设立1个集液池，初期雨水通过清水沟汇入集液池，隔油、沉淀后回用，后期雨水处理后排入场外自然水系。场内污水系统是在场内设备安装就位后，在基础外设置挡水墙，在井架基础、发电房、循环系统、泥浆储备罐区、不落地系统装置区等基础外边缘以内范围线设挡污墙，与井场清洁区分隔，防止污染区污水溢流。</w:t>
            </w:r>
          </w:p>
          <w:p w14:paraId="549FB84E">
            <w:pPr>
              <w:spacing w:line="360" w:lineRule="auto"/>
              <w:ind w:firstLine="480" w:firstLineChars="200"/>
              <w:rPr>
                <w:i/>
                <w:iCs/>
                <w:color w:val="auto"/>
              </w:rPr>
            </w:pPr>
            <w:r>
              <w:rPr>
                <w:rFonts w:hint="eastAsia"/>
                <w:color w:val="auto"/>
                <w:szCs w:val="21"/>
              </w:rPr>
              <w:t>拟在循环罐区、主要设备区、材料房、岩屑堆放场等区域设置雨棚，雨棚边缘应超出下方围堰不小于0.5m，通过雨棚的导流槽将初期雨水导入集水池，后期雨水直接排入场外自然水系。</w:t>
            </w:r>
          </w:p>
          <w:p w14:paraId="4951E1F5">
            <w:pPr>
              <w:spacing w:line="360" w:lineRule="auto"/>
              <w:ind w:firstLine="480" w:firstLineChars="200"/>
              <w:rPr>
                <w:color w:val="auto"/>
              </w:rPr>
            </w:pPr>
            <w:r>
              <w:rPr>
                <w:color w:val="auto"/>
              </w:rPr>
              <w:t>本</w:t>
            </w:r>
            <w:r>
              <w:rPr>
                <w:rFonts w:hint="eastAsia"/>
                <w:color w:val="auto"/>
              </w:rPr>
              <w:t>项目</w:t>
            </w:r>
            <w:r>
              <w:rPr>
                <w:color w:val="auto"/>
              </w:rPr>
              <w:t>需水量和排水量见</w:t>
            </w:r>
            <w:r>
              <w:rPr>
                <w:rFonts w:hint="eastAsia"/>
                <w:color w:val="auto"/>
              </w:rPr>
              <w:t>下</w:t>
            </w:r>
            <w:r>
              <w:rPr>
                <w:color w:val="auto"/>
              </w:rPr>
              <w:t>表，水量平衡见</w:t>
            </w:r>
            <w:r>
              <w:rPr>
                <w:rFonts w:hint="eastAsia"/>
                <w:color w:val="auto"/>
              </w:rPr>
              <w:t>下</w:t>
            </w:r>
            <w:r>
              <w:rPr>
                <w:color w:val="auto"/>
              </w:rPr>
              <w:t>图。</w:t>
            </w:r>
          </w:p>
          <w:p w14:paraId="039BC3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表2-14 本项目需水量和排水量一览表</w:t>
            </w:r>
          </w:p>
          <w:tbl>
            <w:tblPr>
              <w:tblStyle w:val="19"/>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7"/>
              <w:gridCol w:w="1109"/>
              <w:gridCol w:w="1004"/>
              <w:gridCol w:w="899"/>
              <w:gridCol w:w="899"/>
              <w:gridCol w:w="1109"/>
              <w:gridCol w:w="899"/>
              <w:gridCol w:w="1004"/>
              <w:gridCol w:w="636"/>
              <w:gridCol w:w="899"/>
            </w:tblGrid>
            <w:tr w14:paraId="649F8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4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09F784">
                  <w:pPr>
                    <w:jc w:val="center"/>
                    <w:rPr>
                      <w:rFonts w:hint="eastAsia"/>
                      <w:b/>
                      <w:bCs/>
                      <w:sz w:val="21"/>
                      <w:szCs w:val="21"/>
                    </w:rPr>
                  </w:pPr>
                  <w:r>
                    <w:rPr>
                      <w:rFonts w:hint="eastAsia"/>
                      <w:b/>
                      <w:bCs/>
                      <w:sz w:val="21"/>
                      <w:szCs w:val="21"/>
                      <w:lang w:val="en-US" w:eastAsia="zh-CN"/>
                    </w:rPr>
                    <w:t>用水类别</w:t>
                  </w:r>
                </w:p>
              </w:tc>
              <w:tc>
                <w:tcPr>
                  <w:tcW w:w="219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9617D9">
                  <w:pPr>
                    <w:jc w:val="center"/>
                    <w:rPr>
                      <w:rFonts w:hint="eastAsia"/>
                      <w:b/>
                      <w:bCs/>
                      <w:sz w:val="21"/>
                      <w:szCs w:val="21"/>
                    </w:rPr>
                  </w:pPr>
                  <w:r>
                    <w:rPr>
                      <w:rFonts w:hint="eastAsia"/>
                      <w:b/>
                      <w:bCs/>
                      <w:sz w:val="21"/>
                      <w:szCs w:val="21"/>
                      <w:lang w:val="en-US" w:eastAsia="zh-CN"/>
                    </w:rPr>
                    <w:t>供水（m</w:t>
                  </w:r>
                  <w:r>
                    <w:rPr>
                      <w:rFonts w:hint="eastAsia"/>
                      <w:b/>
                      <w:bCs/>
                      <w:sz w:val="21"/>
                      <w:szCs w:val="21"/>
                      <w:vertAlign w:val="superscript"/>
                      <w:lang w:val="en-US" w:eastAsia="zh-CN"/>
                    </w:rPr>
                    <w:t>3</w:t>
                  </w:r>
                  <w:r>
                    <w:rPr>
                      <w:rFonts w:hint="eastAsia"/>
                      <w:b/>
                      <w:bCs/>
                      <w:sz w:val="21"/>
                      <w:szCs w:val="21"/>
                      <w:lang w:val="en-US" w:eastAsia="zh-CN"/>
                    </w:rPr>
                    <w:t>）</w:t>
                  </w:r>
                </w:p>
              </w:tc>
              <w:tc>
                <w:tcPr>
                  <w:tcW w:w="255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943804">
                  <w:pPr>
                    <w:jc w:val="center"/>
                    <w:rPr>
                      <w:rFonts w:hint="eastAsia"/>
                      <w:b/>
                      <w:bCs/>
                      <w:sz w:val="21"/>
                      <w:szCs w:val="21"/>
                    </w:rPr>
                  </w:pPr>
                  <w:r>
                    <w:rPr>
                      <w:rFonts w:hint="eastAsia"/>
                      <w:b/>
                      <w:bCs/>
                      <w:sz w:val="21"/>
                      <w:szCs w:val="21"/>
                      <w:lang w:val="en-US" w:eastAsia="zh-CN"/>
                    </w:rPr>
                    <w:t>排水（m</w:t>
                  </w:r>
                  <w:r>
                    <w:rPr>
                      <w:rFonts w:hint="eastAsia"/>
                      <w:b/>
                      <w:bCs/>
                      <w:sz w:val="21"/>
                      <w:szCs w:val="21"/>
                      <w:vertAlign w:val="superscript"/>
                      <w:lang w:val="en-US" w:eastAsia="zh-CN"/>
                    </w:rPr>
                    <w:t>3</w:t>
                  </w:r>
                  <w:r>
                    <w:rPr>
                      <w:rFonts w:hint="eastAsia"/>
                      <w:b/>
                      <w:bCs/>
                      <w:sz w:val="21"/>
                      <w:szCs w:val="21"/>
                      <w:lang w:val="en-US" w:eastAsia="zh-CN"/>
                    </w:rPr>
                    <w:t>）</w:t>
                  </w:r>
                </w:p>
              </w:tc>
            </w:tr>
            <w:tr w14:paraId="60049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05F4D">
                  <w:pPr>
                    <w:jc w:val="center"/>
                    <w:rPr>
                      <w:rFonts w:hint="eastAsia"/>
                      <w:b/>
                      <w:bCs/>
                      <w:sz w:val="21"/>
                      <w:szCs w:val="21"/>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2745B">
                  <w:pPr>
                    <w:jc w:val="center"/>
                    <w:rPr>
                      <w:rFonts w:hint="eastAsia"/>
                      <w:b/>
                      <w:bCs/>
                      <w:sz w:val="21"/>
                      <w:szCs w:val="21"/>
                    </w:rPr>
                  </w:pPr>
                  <w:r>
                    <w:rPr>
                      <w:rFonts w:hint="eastAsia"/>
                      <w:b/>
                      <w:bCs/>
                      <w:sz w:val="21"/>
                      <w:szCs w:val="21"/>
                      <w:lang w:val="en-US" w:eastAsia="zh-CN"/>
                    </w:rPr>
                    <w:t>新水</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4863A">
                  <w:pPr>
                    <w:jc w:val="center"/>
                    <w:rPr>
                      <w:rFonts w:hint="eastAsia"/>
                      <w:b/>
                      <w:bCs/>
                      <w:sz w:val="21"/>
                      <w:szCs w:val="21"/>
                    </w:rPr>
                  </w:pPr>
                  <w:r>
                    <w:rPr>
                      <w:rFonts w:hint="eastAsia"/>
                      <w:b/>
                      <w:bCs/>
                      <w:sz w:val="21"/>
                      <w:szCs w:val="21"/>
                      <w:lang w:val="en-US" w:eastAsia="zh-CN"/>
                    </w:rPr>
                    <w:t>循环水</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10998">
                  <w:pPr>
                    <w:jc w:val="center"/>
                    <w:rPr>
                      <w:rFonts w:hint="eastAsia"/>
                      <w:b/>
                      <w:bCs/>
                      <w:sz w:val="21"/>
                      <w:szCs w:val="21"/>
                    </w:rPr>
                  </w:pPr>
                  <w:r>
                    <w:rPr>
                      <w:rFonts w:hint="eastAsia"/>
                      <w:b/>
                      <w:bCs/>
                      <w:sz w:val="21"/>
                      <w:szCs w:val="21"/>
                      <w:lang w:val="en-US" w:eastAsia="zh-CN"/>
                    </w:rPr>
                    <w:t>回用水</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3EDFE">
                  <w:pPr>
                    <w:jc w:val="center"/>
                    <w:rPr>
                      <w:rFonts w:hint="eastAsia"/>
                      <w:b/>
                      <w:bCs/>
                      <w:sz w:val="21"/>
                      <w:szCs w:val="21"/>
                    </w:rPr>
                  </w:pPr>
                  <w:r>
                    <w:rPr>
                      <w:rFonts w:hint="eastAsia"/>
                      <w:b/>
                      <w:bCs/>
                      <w:sz w:val="21"/>
                      <w:szCs w:val="21"/>
                      <w:lang w:val="en-US" w:eastAsia="zh-CN"/>
                    </w:rPr>
                    <w:t>合计</w:t>
                  </w:r>
                </w:p>
              </w:tc>
              <w:tc>
                <w:tcPr>
                  <w:tcW w:w="622" w:type="pct"/>
                  <w:tcBorders>
                    <w:top w:val="nil"/>
                    <w:left w:val="single" w:color="000000" w:sz="4" w:space="0"/>
                    <w:bottom w:val="single" w:color="000000" w:sz="4" w:space="0"/>
                    <w:right w:val="single" w:color="000000" w:sz="4" w:space="0"/>
                  </w:tcBorders>
                  <w:shd w:val="clear" w:color="auto" w:fill="auto"/>
                  <w:vAlign w:val="center"/>
                </w:tcPr>
                <w:p w14:paraId="0C355065">
                  <w:pPr>
                    <w:jc w:val="center"/>
                    <w:rPr>
                      <w:rFonts w:hint="eastAsia"/>
                      <w:b/>
                      <w:bCs/>
                      <w:sz w:val="21"/>
                      <w:szCs w:val="21"/>
                    </w:rPr>
                  </w:pPr>
                  <w:r>
                    <w:rPr>
                      <w:rFonts w:hint="eastAsia"/>
                      <w:b/>
                      <w:bCs/>
                      <w:sz w:val="21"/>
                      <w:szCs w:val="21"/>
                      <w:lang w:val="en-US" w:eastAsia="zh-CN"/>
                    </w:rPr>
                    <w:t>损耗量</w:t>
                  </w:r>
                </w:p>
              </w:tc>
              <w:tc>
                <w:tcPr>
                  <w:tcW w:w="505" w:type="pct"/>
                  <w:tcBorders>
                    <w:top w:val="nil"/>
                    <w:left w:val="single" w:color="000000" w:sz="4" w:space="0"/>
                    <w:bottom w:val="single" w:color="000000" w:sz="4" w:space="0"/>
                    <w:right w:val="single" w:color="000000" w:sz="4" w:space="0"/>
                  </w:tcBorders>
                  <w:shd w:val="clear" w:color="auto" w:fill="auto"/>
                  <w:vAlign w:val="center"/>
                </w:tcPr>
                <w:p w14:paraId="2556B884">
                  <w:pPr>
                    <w:jc w:val="center"/>
                    <w:rPr>
                      <w:rFonts w:hint="eastAsia"/>
                      <w:b/>
                      <w:bCs/>
                      <w:sz w:val="21"/>
                      <w:szCs w:val="21"/>
                    </w:rPr>
                  </w:pPr>
                  <w:r>
                    <w:rPr>
                      <w:rFonts w:hint="eastAsia"/>
                      <w:b/>
                      <w:bCs/>
                      <w:sz w:val="21"/>
                      <w:szCs w:val="21"/>
                      <w:lang w:val="en-US" w:eastAsia="zh-CN"/>
                    </w:rPr>
                    <w:t>循环水</w:t>
                  </w:r>
                </w:p>
              </w:tc>
              <w:tc>
                <w:tcPr>
                  <w:tcW w:w="563" w:type="pct"/>
                  <w:tcBorders>
                    <w:top w:val="nil"/>
                    <w:left w:val="single" w:color="000000" w:sz="4" w:space="0"/>
                    <w:bottom w:val="single" w:color="000000" w:sz="4" w:space="0"/>
                    <w:right w:val="single" w:color="000000" w:sz="4" w:space="0"/>
                  </w:tcBorders>
                  <w:shd w:val="clear" w:color="auto" w:fill="auto"/>
                  <w:vAlign w:val="center"/>
                </w:tcPr>
                <w:p w14:paraId="2584863D">
                  <w:pPr>
                    <w:jc w:val="center"/>
                    <w:rPr>
                      <w:rFonts w:hint="eastAsia"/>
                      <w:b/>
                      <w:bCs/>
                      <w:sz w:val="21"/>
                      <w:szCs w:val="21"/>
                    </w:rPr>
                  </w:pPr>
                  <w:r>
                    <w:rPr>
                      <w:rFonts w:hint="eastAsia"/>
                      <w:b/>
                      <w:bCs/>
                      <w:sz w:val="21"/>
                      <w:szCs w:val="21"/>
                      <w:lang w:val="en-US" w:eastAsia="zh-CN"/>
                    </w:rPr>
                    <w:t>回用水</w:t>
                  </w:r>
                </w:p>
              </w:tc>
              <w:tc>
                <w:tcPr>
                  <w:tcW w:w="359" w:type="pct"/>
                  <w:tcBorders>
                    <w:top w:val="nil"/>
                    <w:left w:val="single" w:color="000000" w:sz="4" w:space="0"/>
                    <w:bottom w:val="single" w:color="000000" w:sz="4" w:space="0"/>
                    <w:right w:val="single" w:color="000000" w:sz="4" w:space="0"/>
                  </w:tcBorders>
                  <w:shd w:val="clear" w:color="auto" w:fill="auto"/>
                  <w:vAlign w:val="center"/>
                </w:tcPr>
                <w:p w14:paraId="5262CC5A">
                  <w:pPr>
                    <w:jc w:val="center"/>
                    <w:rPr>
                      <w:rFonts w:hint="eastAsia"/>
                      <w:b/>
                      <w:bCs/>
                      <w:sz w:val="21"/>
                      <w:szCs w:val="21"/>
                    </w:rPr>
                  </w:pPr>
                  <w:r>
                    <w:rPr>
                      <w:rFonts w:hint="eastAsia"/>
                      <w:b/>
                      <w:bCs/>
                      <w:sz w:val="21"/>
                      <w:szCs w:val="21"/>
                      <w:lang w:val="en-US" w:eastAsia="zh-CN"/>
                    </w:rPr>
                    <w:t>外运水</w:t>
                  </w:r>
                </w:p>
              </w:tc>
              <w:tc>
                <w:tcPr>
                  <w:tcW w:w="507" w:type="pct"/>
                  <w:tcBorders>
                    <w:top w:val="nil"/>
                    <w:left w:val="single" w:color="000000" w:sz="4" w:space="0"/>
                    <w:bottom w:val="single" w:color="000000" w:sz="4" w:space="0"/>
                    <w:right w:val="single" w:color="000000" w:sz="4" w:space="0"/>
                  </w:tcBorders>
                  <w:shd w:val="clear" w:color="auto" w:fill="auto"/>
                  <w:vAlign w:val="center"/>
                </w:tcPr>
                <w:p w14:paraId="045B38A2">
                  <w:pPr>
                    <w:jc w:val="center"/>
                    <w:rPr>
                      <w:rFonts w:hint="eastAsia"/>
                      <w:b/>
                      <w:bCs/>
                      <w:sz w:val="21"/>
                      <w:szCs w:val="21"/>
                    </w:rPr>
                  </w:pPr>
                  <w:r>
                    <w:rPr>
                      <w:rFonts w:hint="eastAsia"/>
                      <w:b/>
                      <w:bCs/>
                      <w:sz w:val="21"/>
                      <w:szCs w:val="21"/>
                      <w:lang w:val="en-US" w:eastAsia="zh-CN"/>
                    </w:rPr>
                    <w:t>合计</w:t>
                  </w:r>
                </w:p>
              </w:tc>
            </w:tr>
            <w:tr w14:paraId="1664D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BF02B">
                  <w:pPr>
                    <w:jc w:val="center"/>
                    <w:rPr>
                      <w:rFonts w:hint="eastAsia"/>
                      <w:sz w:val="21"/>
                      <w:szCs w:val="21"/>
                    </w:rPr>
                  </w:pPr>
                  <w:r>
                    <w:rPr>
                      <w:rFonts w:hint="eastAsia"/>
                      <w:sz w:val="21"/>
                      <w:szCs w:val="21"/>
                      <w:lang w:val="en-US" w:eastAsia="zh-CN"/>
                    </w:rPr>
                    <w:t>员工生活用水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A3E3E">
                  <w:pPr>
                    <w:jc w:val="center"/>
                    <w:rPr>
                      <w:rFonts w:hint="default"/>
                      <w:sz w:val="21"/>
                      <w:szCs w:val="21"/>
                    </w:rPr>
                  </w:pPr>
                  <w:r>
                    <w:rPr>
                      <w:rFonts w:hint="default"/>
                      <w:sz w:val="21"/>
                      <w:szCs w:val="21"/>
                      <w:lang w:val="en-US" w:eastAsia="zh-CN"/>
                    </w:rPr>
                    <w:t>3810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F3F1B">
                  <w:pPr>
                    <w:jc w:val="center"/>
                    <w:rPr>
                      <w:rFonts w:hint="default"/>
                      <w:sz w:val="21"/>
                      <w:szCs w:val="21"/>
                    </w:rPr>
                  </w:pPr>
                  <w:r>
                    <w:rPr>
                      <w:rFonts w:hint="default"/>
                      <w:sz w:val="21"/>
                      <w:szCs w:val="21"/>
                      <w:lang w:val="en-US" w:eastAsia="zh-CN"/>
                    </w:rPr>
                    <w:t>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97FD0">
                  <w:pPr>
                    <w:jc w:val="center"/>
                    <w:rPr>
                      <w:rFonts w:hint="eastAsia"/>
                      <w:sz w:val="21"/>
                      <w:szCs w:val="21"/>
                    </w:rPr>
                  </w:pPr>
                  <w:r>
                    <w:rPr>
                      <w:rFonts w:hint="eastAsia"/>
                      <w:sz w:val="21"/>
                      <w:szCs w:val="21"/>
                      <w:lang w:val="en-US" w:eastAsia="zh-CN"/>
                    </w:rPr>
                    <w:t>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9179">
                  <w:pPr>
                    <w:jc w:val="center"/>
                    <w:rPr>
                      <w:rFonts w:hint="eastAsia"/>
                      <w:sz w:val="21"/>
                      <w:szCs w:val="21"/>
                    </w:rPr>
                  </w:pPr>
                  <w:r>
                    <w:rPr>
                      <w:rFonts w:hint="eastAsia"/>
                      <w:sz w:val="21"/>
                      <w:szCs w:val="21"/>
                      <w:lang w:val="en-US" w:eastAsia="zh-CN"/>
                    </w:rPr>
                    <w:t>3810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B1A7">
                  <w:pPr>
                    <w:jc w:val="center"/>
                    <w:rPr>
                      <w:rFonts w:hint="default"/>
                      <w:sz w:val="21"/>
                      <w:szCs w:val="21"/>
                    </w:rPr>
                  </w:pPr>
                  <w:r>
                    <w:rPr>
                      <w:rFonts w:hint="default"/>
                      <w:sz w:val="21"/>
                      <w:szCs w:val="21"/>
                      <w:lang w:val="en-US" w:eastAsia="zh-CN"/>
                    </w:rPr>
                    <w:t>762</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16872">
                  <w:pPr>
                    <w:jc w:val="center"/>
                    <w:rPr>
                      <w:rFonts w:hint="default"/>
                      <w:sz w:val="21"/>
                      <w:szCs w:val="21"/>
                    </w:rPr>
                  </w:pPr>
                  <w:r>
                    <w:rPr>
                      <w:rFonts w:hint="default"/>
                      <w:sz w:val="21"/>
                      <w:szCs w:val="21"/>
                      <w:lang w:val="en-US" w:eastAsia="zh-CN"/>
                    </w:rPr>
                    <w:t>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14675">
                  <w:pPr>
                    <w:jc w:val="center"/>
                    <w:rPr>
                      <w:rFonts w:hint="default"/>
                      <w:sz w:val="21"/>
                      <w:szCs w:val="21"/>
                    </w:rPr>
                  </w:pPr>
                  <w:r>
                    <w:rPr>
                      <w:rFonts w:hint="default"/>
                      <w:sz w:val="21"/>
                      <w:szCs w:val="21"/>
                      <w:lang w:val="en-US" w:eastAsia="zh-CN"/>
                    </w:rPr>
                    <w:t>0</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00AD6">
                  <w:pPr>
                    <w:jc w:val="center"/>
                    <w:rPr>
                      <w:rFonts w:hint="default"/>
                      <w:sz w:val="21"/>
                      <w:szCs w:val="21"/>
                    </w:rPr>
                  </w:pPr>
                  <w:r>
                    <w:rPr>
                      <w:rFonts w:hint="default"/>
                      <w:sz w:val="21"/>
                      <w:szCs w:val="21"/>
                      <w:lang w:val="en-US" w:eastAsia="zh-CN"/>
                    </w:rPr>
                    <w:t>3048</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0009">
                  <w:pPr>
                    <w:jc w:val="center"/>
                    <w:rPr>
                      <w:rFonts w:hint="eastAsia"/>
                      <w:sz w:val="21"/>
                      <w:szCs w:val="21"/>
                    </w:rPr>
                  </w:pPr>
                  <w:r>
                    <w:rPr>
                      <w:rFonts w:hint="eastAsia"/>
                      <w:sz w:val="21"/>
                      <w:szCs w:val="21"/>
                      <w:lang w:val="en-US" w:eastAsia="zh-CN"/>
                    </w:rPr>
                    <w:t>3810</w:t>
                  </w:r>
                </w:p>
              </w:tc>
            </w:tr>
            <w:tr w14:paraId="61E71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BFA0">
                  <w:pPr>
                    <w:jc w:val="center"/>
                    <w:rPr>
                      <w:rFonts w:hint="eastAsia"/>
                      <w:sz w:val="21"/>
                      <w:szCs w:val="21"/>
                    </w:rPr>
                  </w:pPr>
                  <w:r>
                    <w:rPr>
                      <w:rFonts w:hint="eastAsia"/>
                      <w:sz w:val="21"/>
                      <w:szCs w:val="21"/>
                      <w:lang w:val="en-US" w:eastAsia="zh-CN"/>
                    </w:rPr>
                    <w:t>钻井用水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FA90F">
                  <w:pPr>
                    <w:jc w:val="center"/>
                    <w:rPr>
                      <w:rFonts w:hint="default"/>
                      <w:sz w:val="21"/>
                      <w:szCs w:val="21"/>
                    </w:rPr>
                  </w:pPr>
                  <w:r>
                    <w:rPr>
                      <w:rFonts w:hint="default"/>
                      <w:sz w:val="21"/>
                      <w:szCs w:val="21"/>
                      <w:lang w:val="en-US" w:eastAsia="zh-CN"/>
                    </w:rPr>
                    <w:t>1035.81</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81205">
                  <w:pPr>
                    <w:jc w:val="center"/>
                    <w:rPr>
                      <w:rFonts w:hint="default"/>
                      <w:sz w:val="21"/>
                      <w:szCs w:val="21"/>
                    </w:rPr>
                  </w:pPr>
                  <w:r>
                    <w:rPr>
                      <w:rFonts w:hint="default"/>
                      <w:sz w:val="21"/>
                      <w:szCs w:val="21"/>
                      <w:lang w:val="en-US" w:eastAsia="zh-CN"/>
                    </w:rPr>
                    <w:t>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237D6">
                  <w:pPr>
                    <w:jc w:val="center"/>
                    <w:rPr>
                      <w:rFonts w:hint="eastAsia"/>
                      <w:sz w:val="21"/>
                      <w:szCs w:val="21"/>
                    </w:rPr>
                  </w:pPr>
                  <w:r>
                    <w:rPr>
                      <w:rFonts w:hint="eastAsia"/>
                      <w:sz w:val="21"/>
                      <w:szCs w:val="21"/>
                      <w:lang w:val="en-US" w:eastAsia="zh-CN"/>
                    </w:rPr>
                    <w:t>3680.36</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D477">
                  <w:pPr>
                    <w:jc w:val="center"/>
                    <w:rPr>
                      <w:rFonts w:hint="eastAsia"/>
                      <w:sz w:val="21"/>
                      <w:szCs w:val="21"/>
                    </w:rPr>
                  </w:pPr>
                  <w:r>
                    <w:rPr>
                      <w:rFonts w:hint="eastAsia"/>
                      <w:sz w:val="21"/>
                      <w:szCs w:val="21"/>
                      <w:lang w:val="en-US" w:eastAsia="zh-CN"/>
                    </w:rPr>
                    <w:t>4716.17</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EF233">
                  <w:pPr>
                    <w:jc w:val="center"/>
                    <w:rPr>
                      <w:rFonts w:hint="default"/>
                      <w:sz w:val="21"/>
                      <w:szCs w:val="21"/>
                    </w:rPr>
                  </w:pPr>
                  <w:r>
                    <w:rPr>
                      <w:rFonts w:hint="default"/>
                      <w:sz w:val="21"/>
                      <w:szCs w:val="21"/>
                      <w:lang w:val="en-US" w:eastAsia="zh-CN"/>
                    </w:rPr>
                    <w:t>235.81</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C72BC">
                  <w:pPr>
                    <w:jc w:val="center"/>
                    <w:rPr>
                      <w:rFonts w:hint="default"/>
                      <w:sz w:val="21"/>
                      <w:szCs w:val="21"/>
                    </w:rPr>
                  </w:pPr>
                  <w:r>
                    <w:rPr>
                      <w:rFonts w:hint="default"/>
                      <w:sz w:val="21"/>
                      <w:szCs w:val="21"/>
                      <w:lang w:val="en-US" w:eastAsia="zh-CN"/>
                    </w:rPr>
                    <w:t>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2CB2">
                  <w:pPr>
                    <w:jc w:val="center"/>
                    <w:rPr>
                      <w:rFonts w:hint="default"/>
                      <w:sz w:val="21"/>
                      <w:szCs w:val="21"/>
                    </w:rPr>
                  </w:pPr>
                  <w:r>
                    <w:rPr>
                      <w:rFonts w:hint="default"/>
                      <w:sz w:val="21"/>
                      <w:szCs w:val="21"/>
                      <w:lang w:val="en-US" w:eastAsia="zh-CN"/>
                    </w:rPr>
                    <w:t>3680.36</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A10DA">
                  <w:pPr>
                    <w:jc w:val="center"/>
                    <w:rPr>
                      <w:rFonts w:hint="default"/>
                      <w:sz w:val="21"/>
                      <w:szCs w:val="21"/>
                    </w:rPr>
                  </w:pPr>
                  <w:r>
                    <w:rPr>
                      <w:rFonts w:hint="default"/>
                      <w:sz w:val="21"/>
                      <w:szCs w:val="21"/>
                      <w:lang w:val="en-US" w:eastAsia="zh-CN"/>
                    </w:rPr>
                    <w:t>800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D4D56">
                  <w:pPr>
                    <w:jc w:val="center"/>
                    <w:rPr>
                      <w:rFonts w:hint="eastAsia"/>
                      <w:sz w:val="21"/>
                      <w:szCs w:val="21"/>
                    </w:rPr>
                  </w:pPr>
                  <w:r>
                    <w:rPr>
                      <w:rFonts w:hint="eastAsia"/>
                      <w:sz w:val="21"/>
                      <w:szCs w:val="21"/>
                      <w:lang w:val="en-US" w:eastAsia="zh-CN"/>
                    </w:rPr>
                    <w:t>4716.17</w:t>
                  </w:r>
                </w:p>
              </w:tc>
            </w:tr>
            <w:tr w14:paraId="3498F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CB984">
                  <w:pPr>
                    <w:jc w:val="center"/>
                    <w:rPr>
                      <w:rFonts w:hint="eastAsia"/>
                      <w:sz w:val="21"/>
                      <w:szCs w:val="21"/>
                    </w:rPr>
                  </w:pPr>
                  <w:r>
                    <w:rPr>
                      <w:rFonts w:hint="eastAsia"/>
                      <w:sz w:val="21"/>
                      <w:szCs w:val="21"/>
                      <w:lang w:val="en-US" w:eastAsia="zh-CN"/>
                    </w:rPr>
                    <w:t>洗井用水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32A99">
                  <w:pPr>
                    <w:jc w:val="center"/>
                    <w:rPr>
                      <w:rFonts w:hint="default"/>
                      <w:sz w:val="21"/>
                      <w:szCs w:val="21"/>
                    </w:rPr>
                  </w:pPr>
                  <w:r>
                    <w:rPr>
                      <w:rFonts w:hint="default"/>
                      <w:sz w:val="21"/>
                      <w:szCs w:val="21"/>
                      <w:lang w:val="en-US" w:eastAsia="zh-CN"/>
                    </w:rPr>
                    <w:t>56.84</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ACFF1">
                  <w:pPr>
                    <w:jc w:val="center"/>
                    <w:rPr>
                      <w:rFonts w:hint="default"/>
                      <w:sz w:val="21"/>
                      <w:szCs w:val="21"/>
                    </w:rPr>
                  </w:pPr>
                  <w:r>
                    <w:rPr>
                      <w:rFonts w:hint="default"/>
                      <w:sz w:val="21"/>
                      <w:szCs w:val="21"/>
                      <w:lang w:val="en-US" w:eastAsia="zh-CN"/>
                    </w:rPr>
                    <w:t>1023.16</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382FF">
                  <w:pPr>
                    <w:jc w:val="center"/>
                    <w:rPr>
                      <w:rFonts w:hint="eastAsia"/>
                      <w:sz w:val="21"/>
                      <w:szCs w:val="21"/>
                    </w:rPr>
                  </w:pPr>
                  <w:r>
                    <w:rPr>
                      <w:rFonts w:hint="eastAsia"/>
                      <w:sz w:val="21"/>
                      <w:szCs w:val="21"/>
                      <w:lang w:val="en-US" w:eastAsia="zh-CN"/>
                    </w:rPr>
                    <w:t>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1E7C2">
                  <w:pPr>
                    <w:jc w:val="center"/>
                    <w:rPr>
                      <w:rFonts w:hint="eastAsia"/>
                      <w:sz w:val="21"/>
                      <w:szCs w:val="21"/>
                    </w:rPr>
                  </w:pPr>
                  <w:r>
                    <w:rPr>
                      <w:rFonts w:hint="eastAsia"/>
                      <w:sz w:val="21"/>
                      <w:szCs w:val="21"/>
                      <w:lang w:val="en-US" w:eastAsia="zh-CN"/>
                    </w:rPr>
                    <w:t>1080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FD696">
                  <w:pPr>
                    <w:jc w:val="center"/>
                    <w:rPr>
                      <w:rFonts w:hint="default"/>
                      <w:sz w:val="21"/>
                      <w:szCs w:val="21"/>
                    </w:rPr>
                  </w:pPr>
                  <w:r>
                    <w:rPr>
                      <w:rFonts w:hint="default"/>
                      <w:sz w:val="21"/>
                      <w:szCs w:val="21"/>
                      <w:lang w:val="en-US" w:eastAsia="zh-CN"/>
                    </w:rPr>
                    <w:t>56.84</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21A65">
                  <w:pPr>
                    <w:jc w:val="center"/>
                    <w:rPr>
                      <w:rFonts w:hint="default"/>
                      <w:sz w:val="21"/>
                      <w:szCs w:val="21"/>
                    </w:rPr>
                  </w:pPr>
                  <w:r>
                    <w:rPr>
                      <w:rFonts w:hint="default"/>
                      <w:sz w:val="21"/>
                      <w:szCs w:val="21"/>
                      <w:lang w:val="en-US" w:eastAsia="zh-CN"/>
                    </w:rPr>
                    <w:t>1023.16</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830A1">
                  <w:pPr>
                    <w:jc w:val="center"/>
                    <w:rPr>
                      <w:rFonts w:hint="default"/>
                      <w:sz w:val="21"/>
                      <w:szCs w:val="21"/>
                    </w:rPr>
                  </w:pPr>
                  <w:r>
                    <w:rPr>
                      <w:rFonts w:hint="default"/>
                      <w:sz w:val="21"/>
                      <w:szCs w:val="21"/>
                      <w:lang w:val="en-US" w:eastAsia="zh-CN"/>
                    </w:rPr>
                    <w:t>0</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2FFF">
                  <w:pPr>
                    <w:jc w:val="center"/>
                    <w:rPr>
                      <w:rFonts w:hint="default"/>
                      <w:sz w:val="21"/>
                      <w:szCs w:val="21"/>
                    </w:rPr>
                  </w:pPr>
                  <w:r>
                    <w:rPr>
                      <w:rFonts w:hint="default"/>
                      <w:sz w:val="21"/>
                      <w:szCs w:val="21"/>
                      <w:lang w:val="en-US" w:eastAsia="zh-CN"/>
                    </w:rPr>
                    <w:t>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8CA26">
                  <w:pPr>
                    <w:jc w:val="center"/>
                    <w:rPr>
                      <w:rFonts w:hint="eastAsia"/>
                      <w:sz w:val="21"/>
                      <w:szCs w:val="21"/>
                    </w:rPr>
                  </w:pPr>
                  <w:r>
                    <w:rPr>
                      <w:rFonts w:hint="eastAsia"/>
                      <w:sz w:val="21"/>
                      <w:szCs w:val="21"/>
                      <w:lang w:val="en-US" w:eastAsia="zh-CN"/>
                    </w:rPr>
                    <w:t>1080</w:t>
                  </w:r>
                </w:p>
              </w:tc>
            </w:tr>
            <w:tr w14:paraId="3478F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AB531">
                  <w:pPr>
                    <w:jc w:val="center"/>
                    <w:rPr>
                      <w:rFonts w:hint="eastAsia"/>
                      <w:sz w:val="21"/>
                      <w:szCs w:val="21"/>
                    </w:rPr>
                  </w:pPr>
                  <w:r>
                    <w:rPr>
                      <w:rFonts w:hint="eastAsia"/>
                      <w:sz w:val="21"/>
                      <w:szCs w:val="21"/>
                      <w:lang w:val="en-US" w:eastAsia="zh-CN"/>
                    </w:rPr>
                    <w:t>管道试压用水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C8F54">
                  <w:pPr>
                    <w:jc w:val="center"/>
                    <w:rPr>
                      <w:rFonts w:hint="default"/>
                      <w:sz w:val="21"/>
                      <w:szCs w:val="21"/>
                    </w:rPr>
                  </w:pPr>
                  <w:r>
                    <w:rPr>
                      <w:rFonts w:hint="default"/>
                      <w:sz w:val="21"/>
                      <w:szCs w:val="21"/>
                      <w:lang w:val="en-US" w:eastAsia="zh-CN"/>
                    </w:rPr>
                    <w:t>120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1AD91">
                  <w:pPr>
                    <w:jc w:val="center"/>
                    <w:rPr>
                      <w:rFonts w:hint="default"/>
                      <w:sz w:val="21"/>
                      <w:szCs w:val="21"/>
                    </w:rPr>
                  </w:pPr>
                  <w:r>
                    <w:rPr>
                      <w:rFonts w:hint="default"/>
                      <w:sz w:val="21"/>
                      <w:szCs w:val="21"/>
                      <w:lang w:val="en-US" w:eastAsia="zh-CN"/>
                    </w:rPr>
                    <w:t>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78045">
                  <w:pPr>
                    <w:jc w:val="center"/>
                    <w:rPr>
                      <w:rFonts w:hint="eastAsia"/>
                      <w:sz w:val="21"/>
                      <w:szCs w:val="21"/>
                    </w:rPr>
                  </w:pPr>
                  <w:r>
                    <w:rPr>
                      <w:rFonts w:hint="eastAsia"/>
                      <w:sz w:val="21"/>
                      <w:szCs w:val="21"/>
                      <w:lang w:val="en-US" w:eastAsia="zh-CN"/>
                    </w:rPr>
                    <w:t>0</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36689">
                  <w:pPr>
                    <w:jc w:val="center"/>
                    <w:rPr>
                      <w:rFonts w:hint="eastAsia"/>
                      <w:sz w:val="21"/>
                      <w:szCs w:val="21"/>
                    </w:rPr>
                  </w:pPr>
                  <w:r>
                    <w:rPr>
                      <w:rFonts w:hint="eastAsia"/>
                      <w:sz w:val="21"/>
                      <w:szCs w:val="21"/>
                      <w:lang w:val="en-US" w:eastAsia="zh-CN"/>
                    </w:rPr>
                    <w:t>120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F20E">
                  <w:pPr>
                    <w:jc w:val="center"/>
                    <w:rPr>
                      <w:rFonts w:hint="default"/>
                      <w:sz w:val="21"/>
                      <w:szCs w:val="21"/>
                    </w:rPr>
                  </w:pPr>
                  <w:r>
                    <w:rPr>
                      <w:rFonts w:hint="default"/>
                      <w:sz w:val="21"/>
                      <w:szCs w:val="21"/>
                      <w:lang w:val="en-US" w:eastAsia="zh-CN"/>
                    </w:rPr>
                    <w:t>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2301F">
                  <w:pPr>
                    <w:jc w:val="center"/>
                    <w:rPr>
                      <w:rFonts w:hint="default"/>
                      <w:sz w:val="21"/>
                      <w:szCs w:val="21"/>
                    </w:rPr>
                  </w:pPr>
                  <w:r>
                    <w:rPr>
                      <w:rFonts w:hint="default"/>
                      <w:sz w:val="21"/>
                      <w:szCs w:val="21"/>
                      <w:lang w:val="en-US" w:eastAsia="zh-CN"/>
                    </w:rPr>
                    <w:t>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89755">
                  <w:pPr>
                    <w:jc w:val="center"/>
                    <w:rPr>
                      <w:rFonts w:hint="default"/>
                      <w:sz w:val="21"/>
                      <w:szCs w:val="21"/>
                    </w:rPr>
                  </w:pPr>
                  <w:r>
                    <w:rPr>
                      <w:rFonts w:hint="default"/>
                      <w:sz w:val="21"/>
                      <w:szCs w:val="21"/>
                      <w:lang w:val="en-US" w:eastAsia="zh-CN"/>
                    </w:rPr>
                    <w:t>0</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90434">
                  <w:pPr>
                    <w:jc w:val="center"/>
                    <w:rPr>
                      <w:rFonts w:hint="default"/>
                      <w:sz w:val="21"/>
                      <w:szCs w:val="21"/>
                    </w:rPr>
                  </w:pPr>
                  <w:r>
                    <w:rPr>
                      <w:rFonts w:hint="default"/>
                      <w:sz w:val="21"/>
                      <w:szCs w:val="21"/>
                      <w:lang w:val="en-US" w:eastAsia="zh-CN"/>
                    </w:rPr>
                    <w:t>120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F6343">
                  <w:pPr>
                    <w:jc w:val="center"/>
                    <w:rPr>
                      <w:rFonts w:hint="eastAsia"/>
                      <w:sz w:val="21"/>
                      <w:szCs w:val="21"/>
                    </w:rPr>
                  </w:pPr>
                  <w:r>
                    <w:rPr>
                      <w:rFonts w:hint="eastAsia"/>
                      <w:sz w:val="21"/>
                      <w:szCs w:val="21"/>
                      <w:lang w:val="en-US" w:eastAsia="zh-CN"/>
                    </w:rPr>
                    <w:t>120</w:t>
                  </w:r>
                </w:p>
              </w:tc>
            </w:tr>
            <w:tr w14:paraId="3EF36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61A7B">
                  <w:pPr>
                    <w:jc w:val="center"/>
                    <w:rPr>
                      <w:rFonts w:hint="eastAsia"/>
                      <w:sz w:val="21"/>
                      <w:szCs w:val="21"/>
                    </w:rPr>
                  </w:pPr>
                  <w:r>
                    <w:rPr>
                      <w:rFonts w:hint="eastAsia"/>
                      <w:sz w:val="21"/>
                      <w:szCs w:val="21"/>
                      <w:lang w:val="en-US" w:eastAsia="zh-CN"/>
                    </w:rPr>
                    <w:t>压裂用水</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473FF">
                  <w:pPr>
                    <w:jc w:val="center"/>
                    <w:rPr>
                      <w:rFonts w:hint="default"/>
                      <w:sz w:val="21"/>
                      <w:szCs w:val="21"/>
                    </w:rPr>
                  </w:pPr>
                  <w:r>
                    <w:rPr>
                      <w:rFonts w:hint="default"/>
                      <w:sz w:val="21"/>
                      <w:szCs w:val="21"/>
                      <w:lang w:val="en-US" w:eastAsia="zh-CN"/>
                    </w:rPr>
                    <w:t>183693.16</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0B45A">
                  <w:pPr>
                    <w:jc w:val="center"/>
                    <w:rPr>
                      <w:rFonts w:hint="default"/>
                      <w:sz w:val="21"/>
                      <w:szCs w:val="21"/>
                    </w:rPr>
                  </w:pPr>
                  <w:r>
                    <w:rPr>
                      <w:rFonts w:hint="default"/>
                      <w:sz w:val="21"/>
                      <w:szCs w:val="21"/>
                      <w:lang w:val="en-US" w:eastAsia="zh-CN"/>
                    </w:rPr>
                    <w:t>78750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B584">
                  <w:pPr>
                    <w:jc w:val="center"/>
                    <w:rPr>
                      <w:rFonts w:hint="default"/>
                      <w:sz w:val="21"/>
                      <w:szCs w:val="21"/>
                    </w:rPr>
                  </w:pPr>
                  <w:r>
                    <w:rPr>
                      <w:rFonts w:hint="default"/>
                      <w:sz w:val="21"/>
                      <w:szCs w:val="21"/>
                      <w:lang w:val="en-US" w:eastAsia="zh-CN"/>
                    </w:rPr>
                    <w:t>56.84</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4CD5E">
                  <w:pPr>
                    <w:jc w:val="center"/>
                    <w:rPr>
                      <w:rFonts w:hint="eastAsia"/>
                      <w:sz w:val="21"/>
                      <w:szCs w:val="21"/>
                    </w:rPr>
                  </w:pPr>
                  <w:r>
                    <w:rPr>
                      <w:rFonts w:hint="eastAsia"/>
                      <w:sz w:val="21"/>
                      <w:szCs w:val="21"/>
                      <w:lang w:val="en-US" w:eastAsia="zh-CN"/>
                    </w:rPr>
                    <w:t>262500</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9DFC2">
                  <w:pPr>
                    <w:jc w:val="center"/>
                    <w:rPr>
                      <w:rFonts w:hint="default"/>
                      <w:sz w:val="21"/>
                      <w:szCs w:val="21"/>
                    </w:rPr>
                  </w:pPr>
                  <w:r>
                    <w:rPr>
                      <w:rFonts w:hint="default"/>
                      <w:sz w:val="21"/>
                      <w:szCs w:val="21"/>
                      <w:lang w:val="en-US" w:eastAsia="zh-CN"/>
                    </w:rPr>
                    <w:t>183750</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59529">
                  <w:pPr>
                    <w:jc w:val="center"/>
                    <w:rPr>
                      <w:rFonts w:hint="default"/>
                      <w:sz w:val="21"/>
                      <w:szCs w:val="21"/>
                    </w:rPr>
                  </w:pPr>
                  <w:r>
                    <w:rPr>
                      <w:rFonts w:hint="default"/>
                      <w:sz w:val="21"/>
                      <w:szCs w:val="21"/>
                      <w:lang w:val="en-US" w:eastAsia="zh-CN"/>
                    </w:rPr>
                    <w:t>0</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795A0">
                  <w:pPr>
                    <w:jc w:val="center"/>
                    <w:rPr>
                      <w:rFonts w:hint="default"/>
                      <w:sz w:val="21"/>
                      <w:szCs w:val="21"/>
                    </w:rPr>
                  </w:pPr>
                  <w:r>
                    <w:rPr>
                      <w:rFonts w:hint="default"/>
                      <w:sz w:val="21"/>
                      <w:szCs w:val="21"/>
                      <w:lang w:val="en-US" w:eastAsia="zh-CN"/>
                    </w:rPr>
                    <w:t>78750</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0E9D">
                  <w:pPr>
                    <w:jc w:val="center"/>
                    <w:rPr>
                      <w:rFonts w:hint="default"/>
                      <w:sz w:val="21"/>
                      <w:szCs w:val="21"/>
                    </w:rPr>
                  </w:pPr>
                  <w:r>
                    <w:rPr>
                      <w:rFonts w:hint="default"/>
                      <w:sz w:val="21"/>
                      <w:szCs w:val="21"/>
                      <w:lang w:val="en-US" w:eastAsia="zh-CN"/>
                    </w:rPr>
                    <w:t>0</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8CAB7">
                  <w:pPr>
                    <w:jc w:val="center"/>
                    <w:rPr>
                      <w:rFonts w:hint="eastAsia"/>
                      <w:sz w:val="21"/>
                      <w:szCs w:val="21"/>
                    </w:rPr>
                  </w:pPr>
                  <w:r>
                    <w:rPr>
                      <w:rFonts w:hint="eastAsia"/>
                      <w:sz w:val="21"/>
                      <w:szCs w:val="21"/>
                      <w:lang w:val="en-US" w:eastAsia="zh-CN"/>
                    </w:rPr>
                    <w:t>262500</w:t>
                  </w:r>
                </w:p>
              </w:tc>
            </w:tr>
            <w:tr w14:paraId="5C38B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jc w:val="center"/>
              </w:trPr>
              <w:tc>
                <w:tcPr>
                  <w:tcW w:w="2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57C14">
                  <w:pPr>
                    <w:jc w:val="center"/>
                    <w:rPr>
                      <w:rFonts w:hint="eastAsia"/>
                      <w:sz w:val="21"/>
                      <w:szCs w:val="21"/>
                    </w:rPr>
                  </w:pPr>
                  <w:r>
                    <w:rPr>
                      <w:rFonts w:hint="eastAsia"/>
                      <w:sz w:val="21"/>
                      <w:szCs w:val="21"/>
                      <w:lang w:val="en-US" w:eastAsia="zh-CN"/>
                    </w:rPr>
                    <w:t>合计</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52CC0">
                  <w:pPr>
                    <w:jc w:val="center"/>
                    <w:rPr>
                      <w:rFonts w:hint="default"/>
                      <w:sz w:val="21"/>
                      <w:szCs w:val="21"/>
                    </w:rPr>
                  </w:pPr>
                  <w:r>
                    <w:rPr>
                      <w:rFonts w:hint="default"/>
                      <w:sz w:val="21"/>
                      <w:szCs w:val="21"/>
                      <w:lang w:val="en-US" w:eastAsia="zh-CN"/>
                    </w:rPr>
                    <w:t>188715.81</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1235E">
                  <w:pPr>
                    <w:jc w:val="center"/>
                    <w:rPr>
                      <w:rFonts w:hint="default"/>
                      <w:sz w:val="21"/>
                      <w:szCs w:val="21"/>
                    </w:rPr>
                  </w:pPr>
                  <w:r>
                    <w:rPr>
                      <w:rFonts w:hint="default"/>
                      <w:sz w:val="21"/>
                      <w:szCs w:val="21"/>
                      <w:lang w:val="en-US" w:eastAsia="zh-CN"/>
                    </w:rPr>
                    <w:t>79773.16</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31CC8">
                  <w:pPr>
                    <w:jc w:val="center"/>
                    <w:rPr>
                      <w:rFonts w:hint="default"/>
                      <w:sz w:val="21"/>
                      <w:szCs w:val="21"/>
                    </w:rPr>
                  </w:pPr>
                  <w:r>
                    <w:rPr>
                      <w:rFonts w:hint="default"/>
                      <w:sz w:val="21"/>
                      <w:szCs w:val="21"/>
                      <w:lang w:val="en-US" w:eastAsia="zh-CN"/>
                    </w:rPr>
                    <w:t>3737.2</w:t>
                  </w:r>
                </w:p>
              </w:tc>
              <w:tc>
                <w:tcPr>
                  <w:tcW w:w="5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BB4AE">
                  <w:pPr>
                    <w:jc w:val="center"/>
                    <w:rPr>
                      <w:rFonts w:hint="eastAsia"/>
                      <w:sz w:val="21"/>
                      <w:szCs w:val="21"/>
                    </w:rPr>
                  </w:pPr>
                  <w:r>
                    <w:rPr>
                      <w:rFonts w:hint="eastAsia"/>
                      <w:sz w:val="21"/>
                      <w:szCs w:val="21"/>
                      <w:lang w:val="en-US" w:eastAsia="zh-CN"/>
                    </w:rPr>
                    <w:t>/</w:t>
                  </w:r>
                </w:p>
              </w:tc>
              <w:tc>
                <w:tcPr>
                  <w:tcW w:w="6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83403">
                  <w:pPr>
                    <w:jc w:val="center"/>
                    <w:rPr>
                      <w:rFonts w:hint="default"/>
                      <w:sz w:val="21"/>
                      <w:szCs w:val="21"/>
                    </w:rPr>
                  </w:pPr>
                  <w:r>
                    <w:rPr>
                      <w:rFonts w:hint="default"/>
                      <w:sz w:val="21"/>
                      <w:szCs w:val="21"/>
                      <w:lang w:val="en-US" w:eastAsia="zh-CN"/>
                    </w:rPr>
                    <w:t>184804.65</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4A240">
                  <w:pPr>
                    <w:jc w:val="center"/>
                    <w:rPr>
                      <w:rFonts w:hint="default"/>
                      <w:sz w:val="21"/>
                      <w:szCs w:val="21"/>
                    </w:rPr>
                  </w:pPr>
                  <w:r>
                    <w:rPr>
                      <w:rFonts w:hint="default"/>
                      <w:sz w:val="21"/>
                      <w:szCs w:val="21"/>
                      <w:lang w:val="en-US" w:eastAsia="zh-CN"/>
                    </w:rPr>
                    <w:t>1023.16</w:t>
                  </w:r>
                </w:p>
              </w:tc>
              <w:tc>
                <w:tcPr>
                  <w:tcW w:w="5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A85C3">
                  <w:pPr>
                    <w:jc w:val="center"/>
                    <w:rPr>
                      <w:rFonts w:hint="default"/>
                      <w:sz w:val="21"/>
                      <w:szCs w:val="21"/>
                    </w:rPr>
                  </w:pPr>
                  <w:r>
                    <w:rPr>
                      <w:rFonts w:hint="default"/>
                      <w:sz w:val="21"/>
                      <w:szCs w:val="21"/>
                      <w:lang w:val="en-US" w:eastAsia="zh-CN"/>
                    </w:rPr>
                    <w:t>82430.36</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6CD5E">
                  <w:pPr>
                    <w:jc w:val="center"/>
                    <w:rPr>
                      <w:rFonts w:hint="default"/>
                      <w:sz w:val="21"/>
                      <w:szCs w:val="21"/>
                    </w:rPr>
                  </w:pPr>
                  <w:r>
                    <w:rPr>
                      <w:rFonts w:hint="default"/>
                      <w:sz w:val="21"/>
                      <w:szCs w:val="21"/>
                      <w:lang w:val="en-US" w:eastAsia="zh-CN"/>
                    </w:rPr>
                    <w:t>3968</w:t>
                  </w:r>
                </w:p>
              </w:tc>
              <w:tc>
                <w:tcPr>
                  <w:tcW w:w="5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07F4A">
                  <w:pPr>
                    <w:jc w:val="center"/>
                    <w:rPr>
                      <w:rFonts w:hint="eastAsia"/>
                      <w:sz w:val="21"/>
                      <w:szCs w:val="21"/>
                    </w:rPr>
                  </w:pPr>
                  <w:r>
                    <w:rPr>
                      <w:rFonts w:hint="eastAsia"/>
                      <w:sz w:val="21"/>
                      <w:szCs w:val="21"/>
                      <w:lang w:val="en-US" w:eastAsia="zh-CN"/>
                    </w:rPr>
                    <w:t>/</w:t>
                  </w:r>
                </w:p>
              </w:tc>
            </w:tr>
          </w:tbl>
          <w:p w14:paraId="37E49D97">
            <w:pPr>
              <w:spacing w:line="360" w:lineRule="auto"/>
              <w:jc w:val="center"/>
              <w:rPr>
                <w:b/>
                <w:bCs/>
                <w:color w:val="auto"/>
                <w:lang w:val="zh-CN"/>
              </w:rPr>
            </w:pPr>
            <w:r>
              <w:rPr>
                <w:b/>
                <w:bCs/>
                <w:color w:val="auto"/>
                <w:lang w:val="zh-CN"/>
              </w:rPr>
              <w:drawing>
                <wp:inline distT="0" distB="0" distL="114300" distR="114300">
                  <wp:extent cx="5466715" cy="5870575"/>
                  <wp:effectExtent l="0" t="0" r="635" b="15875"/>
                  <wp:docPr id="1" name="图片 1" descr="图 水平衡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 水平衡示意图"/>
                          <pic:cNvPicPr>
                            <a:picLocks noChangeAspect="1"/>
                          </pic:cNvPicPr>
                        </pic:nvPicPr>
                        <pic:blipFill>
                          <a:blip r:embed="rId8"/>
                          <a:stretch>
                            <a:fillRect/>
                          </a:stretch>
                        </pic:blipFill>
                        <pic:spPr>
                          <a:xfrm>
                            <a:off x="0" y="0"/>
                            <a:ext cx="5466715" cy="5870575"/>
                          </a:xfrm>
                          <a:prstGeom prst="rect">
                            <a:avLst/>
                          </a:prstGeom>
                        </pic:spPr>
                      </pic:pic>
                    </a:graphicData>
                  </a:graphic>
                </wp:inline>
              </w:drawing>
            </w:r>
          </w:p>
          <w:p w14:paraId="587E83FE">
            <w:pPr>
              <w:spacing w:line="360" w:lineRule="auto"/>
              <w:jc w:val="center"/>
              <w:rPr>
                <w:b/>
                <w:bCs/>
                <w:color w:val="auto"/>
                <w:lang w:val="zh-CN"/>
              </w:rPr>
            </w:pPr>
            <w:r>
              <w:rPr>
                <w:rFonts w:hint="eastAsia"/>
                <w:b/>
                <w:bCs/>
                <w:color w:val="auto"/>
                <w:lang w:val="zh-CN"/>
              </w:rPr>
              <w:t>图</w:t>
            </w:r>
            <w:r>
              <w:rPr>
                <w:rFonts w:hint="eastAsia"/>
                <w:b/>
                <w:bCs/>
                <w:color w:val="auto"/>
              </w:rPr>
              <w:t xml:space="preserve">2-1 </w:t>
            </w:r>
            <w:r>
              <w:rPr>
                <w:rFonts w:hint="eastAsia"/>
                <w:b/>
                <w:bCs/>
                <w:color w:val="auto"/>
                <w:lang w:val="zh-CN"/>
              </w:rPr>
              <w:t>项目水平衡图  m</w:t>
            </w:r>
            <w:r>
              <w:rPr>
                <w:rFonts w:hint="eastAsia"/>
                <w:b/>
                <w:bCs/>
                <w:color w:val="auto"/>
                <w:vertAlign w:val="superscript"/>
                <w:lang w:val="zh-CN"/>
              </w:rPr>
              <w:t>3</w:t>
            </w:r>
          </w:p>
          <w:p w14:paraId="089A94D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6.3用电</w:t>
            </w:r>
          </w:p>
          <w:p w14:paraId="2D4C05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施工期间依托周边已建成的10kV电网供电，配备柴油发电机1套作为备用电源，施工完毕后搬迁。</w:t>
            </w:r>
          </w:p>
          <w:p w14:paraId="58701EE3">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lang w:val="en-US" w:eastAsia="zh-CN"/>
              </w:rPr>
              <w:t>7</w:t>
            </w:r>
            <w:r>
              <w:rPr>
                <w:rFonts w:hint="eastAsia"/>
                <w:b/>
                <w:bCs/>
              </w:rPr>
              <w:t>、劳动定员及工作制度</w:t>
            </w:r>
          </w:p>
          <w:p w14:paraId="605DCE7E">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lang w:val="en-US" w:eastAsia="zh-CN"/>
              </w:rPr>
              <w:t>7</w:t>
            </w:r>
            <w:r>
              <w:rPr>
                <w:rFonts w:hint="eastAsia"/>
                <w:b/>
                <w:bCs/>
              </w:rPr>
              <w:t>.1劳动定员</w:t>
            </w:r>
          </w:p>
          <w:p w14:paraId="09C7A4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钻前工程施工人员为20人，均住厂里。钻井工程期间现场设置1队钻井队，施工人员为50人，均在生活区住宿。储层改施期间由土建施工单位组织当地民工，施工人员为30人，均在生活区住宿。试采作业工程期间由土建施工单位组织当地民工，施工人数为20人，均在生活区住宿。</w:t>
            </w:r>
          </w:p>
          <w:p w14:paraId="4AFB85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7</w:t>
            </w:r>
            <w:r>
              <w:rPr>
                <w:rFonts w:hint="eastAsia"/>
                <w:b/>
                <w:bCs/>
              </w:rPr>
              <w:t>.2工作制度</w:t>
            </w:r>
          </w:p>
          <w:p w14:paraId="21AB84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rPr>
            </w:pPr>
            <w:r>
              <w:rPr>
                <w:rFonts w:hint="eastAsia"/>
              </w:rPr>
              <w:t>钻前工程约30天，现项目已完成。钻井施工采用单钻机作业，24小时连续施工。每口井钻井周期为40天（导管开次10天、一开开次10天，二开开次10天，三开开次10天），完井周期为20天，其中，桂融页4-1HF已完成导管、一开、二开开次，则钻井工程周期为330天。储层改造周期为240天，储层改造施工主要包括压裂，压裂施工仅在昼间施工，夜间不作业。改造结束后每口井试采时间均为120天，总计720天。</w:t>
            </w:r>
          </w:p>
        </w:tc>
      </w:tr>
      <w:tr w14:paraId="65A434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vAlign w:val="center"/>
          </w:tcPr>
          <w:p w14:paraId="36893759">
            <w:pPr>
              <w:adjustRightInd w:val="0"/>
              <w:snapToGrid w:val="0"/>
              <w:jc w:val="center"/>
              <w:rPr>
                <w:color w:val="auto"/>
                <w:kern w:val="0"/>
                <w:szCs w:val="21"/>
              </w:rPr>
            </w:pPr>
            <w:r>
              <w:rPr>
                <w:color w:val="auto"/>
                <w:kern w:val="0"/>
                <w:szCs w:val="21"/>
              </w:rPr>
              <w:t>总平面及现场布置</w:t>
            </w:r>
          </w:p>
        </w:tc>
        <w:tc>
          <w:tcPr>
            <w:tcW w:w="8380" w:type="dxa"/>
            <w:vAlign w:val="center"/>
          </w:tcPr>
          <w:p w14:paraId="491D1D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本工程井场平面布置严格执行《钻前工程及井场布置技术要求》(SY/T5466-2013)、《石油与天然气钻井、开发、储运防火防爆安全生产管理规定》(SY5225-2019)等石油天然气行业标准的相关规定。具体布置情况如下：</w:t>
            </w:r>
          </w:p>
          <w:p w14:paraId="24F1A719">
            <w:pPr>
              <w:spacing w:line="460" w:lineRule="exact"/>
              <w:ind w:firstLine="480" w:firstLineChars="200"/>
              <w:rPr>
                <w:rFonts w:hint="eastAsia"/>
                <w:color w:val="auto"/>
              </w:rPr>
            </w:pPr>
            <w:r>
              <w:rPr>
                <w:rFonts w:hint="eastAsia"/>
              </w:rPr>
              <w:t>项目的建设设施围绕着井口分布，井口及井控台布设于井场中部，循环罐区与污水池和钻井泥浆循环系统30-40相邻。钻井泥浆循环系统30-40位于井口北侧，其包括的主要设备有振动筛、离心机、循环罐等。职工生活区位于场地东侧和东南侧，场地东南侧还建设有药品房、材料房、机械修理房等。项目南侧有厕所、消防房和油罐区，厕所与消防房相邻。项目西侧分布材料房、气瓶房、MCC房、柴油机房。项目北侧主要有堆土区和放喷池，放喷池周围建设有围墙。项目东北侧分布着清水池、工具房、地质房等。</w:t>
            </w:r>
            <w:r>
              <w:rPr>
                <w:rFonts w:hint="eastAsia"/>
                <w:color w:val="auto"/>
              </w:rPr>
              <w:t>项目总平面布置图详见</w:t>
            </w:r>
            <w:r>
              <w:rPr>
                <w:rFonts w:hint="eastAsia"/>
                <w:b/>
                <w:bCs/>
                <w:color w:val="auto"/>
              </w:rPr>
              <w:t>附图</w:t>
            </w:r>
            <w:r>
              <w:rPr>
                <w:b/>
                <w:bCs/>
                <w:color w:val="auto"/>
              </w:rPr>
              <w:t>2</w:t>
            </w:r>
            <w:r>
              <w:rPr>
                <w:rFonts w:hint="eastAsia"/>
                <w:color w:val="auto"/>
              </w:rPr>
              <w:t>。</w:t>
            </w:r>
          </w:p>
        </w:tc>
      </w:tr>
      <w:tr w14:paraId="03E3C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19" w:hRule="atLeast"/>
          <w:jc w:val="center"/>
        </w:trPr>
        <w:tc>
          <w:tcPr>
            <w:tcW w:w="710" w:type="dxa"/>
            <w:vAlign w:val="center"/>
          </w:tcPr>
          <w:p w14:paraId="678140EA">
            <w:pPr>
              <w:adjustRightInd w:val="0"/>
              <w:snapToGrid w:val="0"/>
              <w:jc w:val="center"/>
              <w:rPr>
                <w:color w:val="auto"/>
                <w:kern w:val="0"/>
                <w:szCs w:val="21"/>
              </w:rPr>
            </w:pPr>
            <w:r>
              <w:rPr>
                <w:color w:val="auto"/>
                <w:kern w:val="0"/>
                <w:szCs w:val="21"/>
              </w:rPr>
              <w:t>施工方案</w:t>
            </w:r>
          </w:p>
        </w:tc>
        <w:tc>
          <w:tcPr>
            <w:tcW w:w="8380" w:type="dxa"/>
            <w:vAlign w:val="center"/>
          </w:tcPr>
          <w:p w14:paraId="64A451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本项目勘查任务一是力争伏虎断裂西获得工业产能，实现效益开发突破；二是获取地层压力、温度、流体性质等相关资料，评价伏虎断裂西鹿寨组一段页岩储层特征；三是开展钻完井及压裂改造工艺技术适应性评价，支撑桂融页4平台井组开发。</w:t>
            </w:r>
          </w:p>
          <w:p w14:paraId="0EDAB5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本项目在现有工程的基础上进行改扩建，不涉及天然气的开采和集输。项目建设内容包括钻前工程、钻井工程、储层改造工程以及试采作业工程。钻前工程包括修建进场公路、平整井场、井场基础以及池体的建设等，钻井工程包括钻井设备安装、钻井作业、固井作业，储层改造工程主要分为下套管完井、分段射孔压裂，试采作业工程包括试采。若井不转为生产井，则按照要求进行封井或回填。工程不涉及运营期进行油气的采输生产问题，因此不对运营期工程进行分析。项目主要施工流程如下图所示。</w:t>
            </w:r>
          </w:p>
          <w:p w14:paraId="77773FB9">
            <w:pPr>
              <w:adjustRightInd w:val="0"/>
              <w:snapToGrid w:val="0"/>
              <w:spacing w:line="360" w:lineRule="auto"/>
              <w:jc w:val="center"/>
              <w:rPr>
                <w:color w:val="auto"/>
              </w:rPr>
            </w:pPr>
            <w:r>
              <w:rPr>
                <w:rFonts w:hint="eastAsia"/>
                <w:color w:val="auto"/>
              </w:rPr>
              <w:drawing>
                <wp:inline distT="0" distB="0" distL="114300" distR="114300">
                  <wp:extent cx="5467985" cy="1612265"/>
                  <wp:effectExtent l="0" t="0" r="18415" b="6985"/>
                  <wp:docPr id="13" name="图片 13" descr="图 施工流程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 施工流程示意图"/>
                          <pic:cNvPicPr>
                            <a:picLocks noChangeAspect="1"/>
                          </pic:cNvPicPr>
                        </pic:nvPicPr>
                        <pic:blipFill>
                          <a:blip r:embed="rId9"/>
                          <a:stretch>
                            <a:fillRect/>
                          </a:stretch>
                        </pic:blipFill>
                        <pic:spPr>
                          <a:xfrm>
                            <a:off x="0" y="0"/>
                            <a:ext cx="5467985" cy="1612265"/>
                          </a:xfrm>
                          <a:prstGeom prst="rect">
                            <a:avLst/>
                          </a:prstGeom>
                        </pic:spPr>
                      </pic:pic>
                    </a:graphicData>
                  </a:graphic>
                </wp:inline>
              </w:drawing>
            </w:r>
          </w:p>
          <w:p w14:paraId="34D492AB">
            <w:pPr>
              <w:spacing w:line="360" w:lineRule="auto"/>
              <w:jc w:val="center"/>
              <w:rPr>
                <w:rFonts w:hint="eastAsia"/>
                <w:b/>
                <w:bCs/>
                <w:color w:val="auto"/>
                <w:lang w:val="zh-CN"/>
              </w:rPr>
            </w:pPr>
            <w:r>
              <w:rPr>
                <w:rFonts w:hint="eastAsia"/>
                <w:b/>
                <w:bCs/>
                <w:color w:val="auto"/>
                <w:lang w:val="zh-CN"/>
              </w:rPr>
              <w:t>图2-2 施工流程示意图</w:t>
            </w:r>
          </w:p>
          <w:p w14:paraId="5A0B8AB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1、钻前工程工艺流程</w:t>
            </w:r>
          </w:p>
          <w:p w14:paraId="07D4FA6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钻前工程现项目已完成，不计入本次评价。</w:t>
            </w:r>
          </w:p>
          <w:p w14:paraId="1097012F">
            <w:pPr>
              <w:spacing w:line="360" w:lineRule="auto"/>
              <w:rPr>
                <w:b/>
                <w:bCs/>
                <w:color w:val="auto"/>
              </w:rPr>
            </w:pPr>
            <w:r>
              <w:rPr>
                <w:rFonts w:hint="eastAsia"/>
                <w:b/>
                <w:bCs/>
                <w:color w:val="auto"/>
              </w:rPr>
              <w:t>2、钻井工程工艺流程</w:t>
            </w:r>
          </w:p>
          <w:p w14:paraId="0C1531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钻井工程主要包括设备安装、钻井（导管段钻井及固井、一开钻井及固井、二开钻井及固井、三开钻井及固井）、钻井辅助作业（钻井液配置、防漏、防堵、防喷、中途测试等作业）等阶段。钻井工程工艺流程及产污环节示意图如下图所示。</w:t>
            </w:r>
          </w:p>
          <w:p w14:paraId="241EBBBF">
            <w:pPr>
              <w:adjustRightInd w:val="0"/>
              <w:snapToGrid w:val="0"/>
              <w:spacing w:line="360" w:lineRule="auto"/>
              <w:jc w:val="center"/>
              <w:rPr>
                <w:rFonts w:hint="eastAsia" w:eastAsia="宋体"/>
                <w:color w:val="auto"/>
                <w:lang w:eastAsia="zh-CN"/>
              </w:rPr>
            </w:pPr>
            <w:r>
              <w:rPr>
                <w:rFonts w:hint="eastAsia" w:eastAsia="宋体"/>
                <w:color w:val="auto"/>
                <w:lang w:eastAsia="zh-CN"/>
              </w:rPr>
              <w:drawing>
                <wp:inline distT="0" distB="0" distL="114300" distR="114300">
                  <wp:extent cx="5473065" cy="3320415"/>
                  <wp:effectExtent l="0" t="0" r="13335" b="13335"/>
                  <wp:docPr id="2" name="图片 2" descr="图 钻井工程工艺流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 钻井工程工艺流程"/>
                          <pic:cNvPicPr>
                            <a:picLocks noChangeAspect="1"/>
                          </pic:cNvPicPr>
                        </pic:nvPicPr>
                        <pic:blipFill>
                          <a:blip r:embed="rId10"/>
                          <a:stretch>
                            <a:fillRect/>
                          </a:stretch>
                        </pic:blipFill>
                        <pic:spPr>
                          <a:xfrm>
                            <a:off x="0" y="0"/>
                            <a:ext cx="5473065" cy="3320415"/>
                          </a:xfrm>
                          <a:prstGeom prst="rect">
                            <a:avLst/>
                          </a:prstGeom>
                        </pic:spPr>
                      </pic:pic>
                    </a:graphicData>
                  </a:graphic>
                </wp:inline>
              </w:drawing>
            </w:r>
          </w:p>
          <w:p w14:paraId="4A154D54">
            <w:pPr>
              <w:spacing w:line="360" w:lineRule="auto"/>
              <w:jc w:val="center"/>
              <w:rPr>
                <w:b/>
                <w:bCs/>
                <w:color w:val="auto"/>
              </w:rPr>
            </w:pPr>
            <w:r>
              <w:rPr>
                <w:rFonts w:hint="eastAsia"/>
                <w:b/>
                <w:bCs/>
                <w:color w:val="auto"/>
              </w:rPr>
              <w:t>图2-3 钻井工程及产污节点图</w:t>
            </w:r>
          </w:p>
          <w:p w14:paraId="2E44592C">
            <w:pPr>
              <w:spacing w:line="360" w:lineRule="auto"/>
              <w:rPr>
                <w:b/>
                <w:bCs/>
                <w:color w:val="auto"/>
              </w:rPr>
            </w:pPr>
            <w:r>
              <w:rPr>
                <w:rFonts w:hint="eastAsia"/>
                <w:b/>
                <w:bCs/>
                <w:color w:val="auto"/>
              </w:rPr>
              <w:t>2.1设备准备</w:t>
            </w:r>
          </w:p>
          <w:p w14:paraId="0F1DB5AB">
            <w:pPr>
              <w:spacing w:line="360" w:lineRule="auto"/>
              <w:ind w:firstLine="480" w:firstLineChars="200"/>
              <w:rPr>
                <w:color w:val="auto"/>
              </w:rPr>
            </w:pPr>
            <w:r>
              <w:rPr>
                <w:rFonts w:hint="eastAsia"/>
                <w:color w:val="auto"/>
              </w:rPr>
              <w:t>设备安装、试运转合格，开钻工具和物质器材准备就绪，钻井队自查整改合格后，向上级主管部门申请进行开钻验收，经验收合格后方可开钻。</w:t>
            </w:r>
          </w:p>
          <w:p w14:paraId="01CF1BF2">
            <w:pPr>
              <w:spacing w:line="360" w:lineRule="auto"/>
              <w:rPr>
                <w:b/>
                <w:bCs/>
                <w:color w:val="auto"/>
              </w:rPr>
            </w:pPr>
            <w:r>
              <w:rPr>
                <w:rFonts w:hint="eastAsia"/>
                <w:b/>
                <w:bCs/>
                <w:color w:val="auto"/>
              </w:rPr>
              <w:t>2.2导管段钻井及固井（0~50m）</w:t>
            </w:r>
          </w:p>
          <w:p w14:paraId="016FB696">
            <w:pPr>
              <w:spacing w:line="360" w:lineRule="auto"/>
              <w:ind w:firstLine="480" w:firstLineChars="200"/>
              <w:rPr>
                <w:color w:val="auto"/>
              </w:rPr>
            </w:pPr>
            <w:r>
              <w:rPr>
                <w:rFonts w:hint="eastAsia"/>
                <w:color w:val="auto"/>
              </w:rPr>
              <w:t>现工程已完成</w:t>
            </w:r>
            <w:r>
              <w:rPr>
                <w:color w:val="auto"/>
              </w:rPr>
              <w:t>桂融</w:t>
            </w:r>
            <w:r>
              <w:rPr>
                <w:rFonts w:hint="eastAsia"/>
                <w:color w:val="auto"/>
              </w:rPr>
              <w:t>页</w:t>
            </w:r>
            <w:r>
              <w:rPr>
                <w:color w:val="auto"/>
              </w:rPr>
              <w:t>4</w:t>
            </w:r>
            <w:r>
              <w:rPr>
                <w:rFonts w:hint="eastAsia"/>
                <w:color w:val="auto"/>
              </w:rPr>
              <w:t>-1HF</w:t>
            </w:r>
            <w:r>
              <w:rPr>
                <w:color w:val="auto"/>
              </w:rPr>
              <w:t>井</w:t>
            </w:r>
            <w:r>
              <w:rPr>
                <w:rFonts w:hint="eastAsia"/>
                <w:color w:val="auto"/>
              </w:rPr>
              <w:t>导管段钻井及固井。</w:t>
            </w:r>
          </w:p>
          <w:p w14:paraId="35BC374B">
            <w:pPr>
              <w:spacing w:line="360" w:lineRule="auto"/>
              <w:ind w:firstLine="480" w:firstLineChars="200"/>
              <w:rPr>
                <w:color w:val="auto"/>
              </w:rPr>
            </w:pPr>
            <w:r>
              <w:rPr>
                <w:rFonts w:hint="eastAsia"/>
                <w:color w:val="auto"/>
              </w:rPr>
              <w:t>导眼井段采用清水钻井液钻进至井深50m，下入Φ339.7mm导管，目的是建立井口、安装防喷器，防止井口垮塌和控制上部浅层气，固井水泥返至地面。</w:t>
            </w:r>
          </w:p>
          <w:p w14:paraId="10A1F576">
            <w:pPr>
              <w:spacing w:line="360" w:lineRule="auto"/>
              <w:ind w:firstLine="480" w:firstLineChars="200"/>
              <w:rPr>
                <w:color w:val="auto"/>
              </w:rPr>
            </w:pPr>
            <w:r>
              <w:rPr>
                <w:rFonts w:hint="eastAsia"/>
                <w:color w:val="auto"/>
              </w:rPr>
              <w:t>开钻前进行井口校正。浅层地层胶结质量相对较差，易发生漏失。钻遇可能的漏失井段前，提前准备好堵漏材料，按设计要求处理好钻井液性能，如有必要可提前加入堵漏材料。保证井眼开直，钻井参数随地层变化及时调整，钻压应由小到大，坚持轻压吊打，防斜打直。尽量使用大排量，确保携砂，加强短起下清砂，防止沉砂卡钻等复杂情况。严格按照设计要求处理钻井液，应连续开动振动筛、除砂器，控制固相含量在允许值范围内。起下钻作业必须控制速度、下钻过程中分段循环钻井液、下钻到底缓慢开泵，防止压力激动造成井壁失稳。钻达设计井深起完钻后，下钻通井；如有阻卡反应，应及时进行处理，下至井底后，充分循环钻井液，确保井眼通畅。下导管时，要求对直后焊接牢靠。导管下入井内，注意一定要与转盘找正，使其绝对居中，并用水泥固好，以利于以后钻进和安装井口。按设计要求安装井口装置和防喷器。</w:t>
            </w:r>
          </w:p>
          <w:p w14:paraId="30525F99">
            <w:pPr>
              <w:spacing w:line="360" w:lineRule="auto"/>
              <w:rPr>
                <w:b/>
                <w:bCs/>
                <w:color w:val="auto"/>
              </w:rPr>
            </w:pPr>
            <w:r>
              <w:rPr>
                <w:rFonts w:hint="eastAsia"/>
                <w:b/>
                <w:bCs/>
                <w:color w:val="auto"/>
              </w:rPr>
              <w:t>2.3一开（50~1213m）</w:t>
            </w:r>
          </w:p>
          <w:p w14:paraId="632A3F1B">
            <w:pPr>
              <w:spacing w:line="360" w:lineRule="auto"/>
              <w:ind w:firstLine="480" w:firstLineChars="200"/>
              <w:rPr>
                <w:color w:val="auto"/>
              </w:rPr>
            </w:pPr>
            <w:r>
              <w:rPr>
                <w:rFonts w:hint="eastAsia"/>
                <w:color w:val="auto"/>
              </w:rPr>
              <w:t>现工程已完成</w:t>
            </w:r>
            <w:r>
              <w:rPr>
                <w:color w:val="auto"/>
              </w:rPr>
              <w:t>桂融</w:t>
            </w:r>
            <w:r>
              <w:rPr>
                <w:rFonts w:hint="eastAsia"/>
                <w:color w:val="auto"/>
              </w:rPr>
              <w:t>页</w:t>
            </w:r>
            <w:r>
              <w:rPr>
                <w:color w:val="auto"/>
              </w:rPr>
              <w:t>4</w:t>
            </w:r>
            <w:r>
              <w:rPr>
                <w:rFonts w:hint="eastAsia"/>
                <w:color w:val="auto"/>
              </w:rPr>
              <w:t>-1HF一开。</w:t>
            </w:r>
          </w:p>
          <w:p w14:paraId="66C3D66F">
            <w:pPr>
              <w:spacing w:line="360" w:lineRule="auto"/>
              <w:ind w:firstLine="480" w:firstLineChars="200"/>
              <w:rPr>
                <w:color w:val="auto"/>
              </w:rPr>
            </w:pPr>
            <w:r>
              <w:rPr>
                <w:rFonts w:hint="eastAsia"/>
                <w:color w:val="auto"/>
              </w:rPr>
              <w:t>一开采用清水+膨润土钻井液钻进至井深1213m，下入Φ244.5mm套管，目的是封固上部地层和浅气层，安装井口装置和防喷器，固井水泥返至地面。</w:t>
            </w:r>
          </w:p>
          <w:p w14:paraId="0206422F">
            <w:pPr>
              <w:spacing w:line="360" w:lineRule="auto"/>
              <w:rPr>
                <w:b/>
                <w:bCs/>
                <w:color w:val="auto"/>
              </w:rPr>
            </w:pPr>
            <w:r>
              <w:rPr>
                <w:rFonts w:hint="eastAsia"/>
                <w:b/>
                <w:bCs/>
                <w:color w:val="auto"/>
              </w:rPr>
              <w:t>2.4二开（1213~1631m）</w:t>
            </w:r>
          </w:p>
          <w:p w14:paraId="4525C117">
            <w:pPr>
              <w:spacing w:line="360" w:lineRule="auto"/>
              <w:ind w:firstLine="480" w:firstLineChars="200"/>
              <w:rPr>
                <w:color w:val="auto"/>
              </w:rPr>
            </w:pPr>
            <w:r>
              <w:rPr>
                <w:rFonts w:hint="eastAsia"/>
                <w:color w:val="auto"/>
              </w:rPr>
              <w:t>现工程已完成</w:t>
            </w:r>
            <w:r>
              <w:rPr>
                <w:color w:val="auto"/>
              </w:rPr>
              <w:t>桂融</w:t>
            </w:r>
            <w:r>
              <w:rPr>
                <w:rFonts w:hint="eastAsia"/>
                <w:color w:val="auto"/>
              </w:rPr>
              <w:t>页</w:t>
            </w:r>
            <w:r>
              <w:rPr>
                <w:color w:val="auto"/>
              </w:rPr>
              <w:t>4</w:t>
            </w:r>
            <w:r>
              <w:rPr>
                <w:rFonts w:hint="eastAsia"/>
                <w:color w:val="auto"/>
              </w:rPr>
              <w:t>-1HF二开。</w:t>
            </w:r>
          </w:p>
          <w:p w14:paraId="546D7C27">
            <w:pPr>
              <w:spacing w:line="360" w:lineRule="auto"/>
              <w:ind w:firstLine="480" w:firstLineChars="200"/>
              <w:rPr>
                <w:color w:val="auto"/>
              </w:rPr>
            </w:pPr>
            <w:r>
              <w:rPr>
                <w:rFonts w:hint="eastAsia"/>
                <w:color w:val="auto"/>
              </w:rPr>
              <w:t>二开采用钙钾基聚合物钻井液体系钻进。二开215.9mm钻头钻进至1631m，下入Φ139.7mm套管固井，完井。最终完钻井深及是否下入Φ139.7mm套管固井，以实钻情况现场决策为准。</w:t>
            </w:r>
          </w:p>
          <w:p w14:paraId="0740CB20">
            <w:pPr>
              <w:spacing w:line="360" w:lineRule="auto"/>
              <w:ind w:firstLine="480" w:firstLineChars="200"/>
              <w:rPr>
                <w:color w:val="auto"/>
              </w:rPr>
            </w:pPr>
            <w:r>
              <w:rPr>
                <w:rFonts w:hint="eastAsia"/>
                <w:color w:val="auto"/>
              </w:rPr>
              <w:t>开钻前进行井口校正。保证井眼通畅，起钻严禁拔活塞，起钻灌好钻井液；钻开气层后，调整钻井液密度至压稳后（在循环一周以上的时间内钻井液密度保持均匀、短起下证实油气上窜速度在符合标准要求且有安全的起下钻时间的范围内）才能继续进行后续作业。密切关注地层变化，钻达取心井段后应进行短起下钻，下钻到底后充分清洗井底、振动筛处无钻屑返出后才能起钻。目的层钻进过程中，加强H</w:t>
            </w:r>
            <w:r>
              <w:rPr>
                <w:rFonts w:hint="eastAsia"/>
                <w:color w:val="auto"/>
                <w:vertAlign w:val="subscript"/>
              </w:rPr>
              <w:t>2</w:t>
            </w:r>
            <w:r>
              <w:rPr>
                <w:rFonts w:hint="eastAsia"/>
                <w:color w:val="auto"/>
              </w:rPr>
              <w:t>S气体监测及防护。目的层钻进过程中，加强H</w:t>
            </w:r>
            <w:r>
              <w:rPr>
                <w:rFonts w:hint="eastAsia"/>
                <w:color w:val="auto"/>
                <w:vertAlign w:val="subscript"/>
              </w:rPr>
              <w:t>2</w:t>
            </w:r>
            <w:r>
              <w:rPr>
                <w:rFonts w:hint="eastAsia"/>
                <w:color w:val="auto"/>
              </w:rPr>
              <w:t>S气体监测及防护。按设计要求做好钻井液性能维护与处理，储备足够堵漏材料、加重剂、加重钻井液及除硫剂，并按设计储备足量优质钻井液。若钻遇H</w:t>
            </w:r>
            <w:r>
              <w:rPr>
                <w:rFonts w:hint="eastAsia"/>
                <w:color w:val="auto"/>
                <w:vertAlign w:val="subscript"/>
              </w:rPr>
              <w:t>2</w:t>
            </w:r>
            <w:r>
              <w:rPr>
                <w:rFonts w:hint="eastAsia"/>
                <w:color w:val="auto"/>
              </w:rPr>
              <w:t>S，钻井液、储备浆中提前加入足量的除硫剂(碱式碳酸锌或海绵铁，含量≥10%)、缓蚀剂，消耗后及时补充，提高钻井液pH值(10~11)，并调整钻井液密度压稳地层流体，确保钻井液中H</w:t>
            </w:r>
            <w:r>
              <w:rPr>
                <w:rFonts w:hint="eastAsia"/>
                <w:color w:val="auto"/>
                <w:vertAlign w:val="subscript"/>
              </w:rPr>
              <w:t>2</w:t>
            </w:r>
            <w:r>
              <w:rPr>
                <w:rFonts w:hint="eastAsia"/>
                <w:color w:val="auto"/>
              </w:rPr>
              <w:t>S含量处于安全作业范围内。测井后，做好下套管前井眼准备。下套管前必须通井，确保井筒内钻井液性能良好、稳定，符合固井施工要求。在保证井下安全的前提下，尽量降低粘切，降低含砂量。做好下套管及固井前的设备准备。检查悬吊系统、循环系统、动力系统及各种工具准备，更换防喷器闸板为244.50mm闸板。做好244.50mm套管准备及检查、丈量工作。下套管作业。按设计下入次序对套管进行编号、记录。合理安放套管扶正器，确保套管居中。下套管过程中应尽可能减少中途停顿，缩短套管在井下静止时间。下套管要平稳，严禁猛刹、猛放。按要求及时灌好钻井液，下完套管后，应灌满钻井液方可开泵循环，中途循环也应先灌满钻井液再开泵。灌浆过程应上下活动套管，防止粘卡，活动距离不少于2m。下套管过程中，钻台上应准备套管循环接头和钻杆止回阀，备井涌时使用。下完套管后，小排量开泵，顶通建立循环泵压稳定后，用钻进时的正常排量循环洗井2周以上，直至振动筛上无泥饼和岩屑，钻井液性能达到固井施工要求。严格按标准Q/SH0440及Q/SH3140-0136的要求进行固井施工。</w:t>
            </w:r>
          </w:p>
          <w:p w14:paraId="5BBD2DC4">
            <w:pPr>
              <w:spacing w:line="360" w:lineRule="auto"/>
              <w:rPr>
                <w:b/>
                <w:bCs/>
                <w:color w:val="auto"/>
              </w:rPr>
            </w:pPr>
            <w:r>
              <w:rPr>
                <w:rFonts w:hint="eastAsia"/>
                <w:b/>
                <w:bCs/>
                <w:color w:val="auto"/>
              </w:rPr>
              <w:t>2.5三开（1631-3698m）</w:t>
            </w:r>
          </w:p>
          <w:p w14:paraId="03919950">
            <w:pPr>
              <w:spacing w:line="360" w:lineRule="auto"/>
              <w:ind w:firstLine="480" w:firstLineChars="200"/>
              <w:rPr>
                <w:color w:val="auto"/>
              </w:rPr>
            </w:pPr>
            <w:r>
              <w:rPr>
                <w:rFonts w:hint="eastAsia"/>
                <w:color w:val="auto"/>
              </w:rPr>
              <w:t>三开采用Φ215.9mm钻头＋造斜钻具组合探水泥塞，然后将井筒内水基钻井液替换成油基钻井液。钻水泥塞及套管附件；钻出套管鞋进地层3～5m，做承压试验。如果PDC钻头造斜率不能满足要求，根据地层岩性和可钻性选用高效牙轮钻头，钻进参数要随地层变化及时调整。加强现场地质与工程的结合，选择合理的着陆点，控制好入靶井斜角，为水平段钻进创造良好条件。井斜达50度后，调整好钻井液性能，井筒清洗干净后起钻换旋转导向钻井钻具组合。井下出现掉块，缩径，井漏及卡钻风险时严禁下入旋导。</w:t>
            </w:r>
          </w:p>
          <w:p w14:paraId="03B35521">
            <w:pPr>
              <w:spacing w:line="360" w:lineRule="auto"/>
              <w:ind w:firstLine="480" w:firstLineChars="200"/>
              <w:rPr>
                <w:color w:val="auto"/>
              </w:rPr>
            </w:pPr>
            <w:r>
              <w:rPr>
                <w:rFonts w:hint="eastAsia"/>
                <w:color w:val="auto"/>
              </w:rPr>
              <w:t>实钻中加强防喷、防漏技术措施，密切关注邻井压裂、试采、生产对本井施工的影响，及时采取相应应对措施。建议优选高效旋转导向钻井工具，降低摩阻，提高井眼延伸能力。页岩井段地层易剥蚀掉块、易塌，确定合适的钻井液密度，防止因密度不足以平衡井壁侧压力而使井壁垮塌。由于水平段长，对钻具要求较为严格，为避免发生钻头及钻具事故，钻进中必须正确判断井下情况，加强钻具管理，监控钻头和钻具工作状况，防止钻头、钻具事故发生。接单根动作要迅速，下放速度要控制，开泵不宜过急，做到“晚停早开”因故终止钻井液循环时应将钻头提离井底，且钻具在井内静止时间不超过3min，应及时活动钻具，防止沉砂卡钻。加强水平段钻具组合的造斜性能分析，带自然伽马的随钻仪器及时跟踪监测，因测斜数据滞后，必须根据测斜数据随时预测井底的井斜、方位值及钻具的造斜率。必要时，应5m测取数据一点，以便及时调整钻井参数和钻具组合，严格控制井眼轨迹在靶体内运行。加强现场地质与工程的结合，在水平段要提前预测轨迹走向，避免大幅度调整水平段的井斜，做到少滑动、多复合钻进。加强井眼轨迹预测监控和摩阻扭矩的计算分析，在保证井眼轨迹圆滑的基础上，提高钻井速度。每钻进200～300m短起下一次，确保井眼畅通情况下，可适当调整。固控系统四级净化装备开动率达到设计要求，确保钻井液的悬浮稳定性、流动特性、润滑性，防止粘附、沉砂、压差卡钻。钻具因故在井下静止时，要循环、活动钻具或将钻具提至套管内，防止滞留时间长而造成井下复杂情况。钻达完钻井深，按完井作业规程要求，进行通井、调整钻井液性能，配合完井作业。</w:t>
            </w:r>
          </w:p>
          <w:p w14:paraId="11D575E8">
            <w:pPr>
              <w:spacing w:line="360" w:lineRule="auto"/>
              <w:rPr>
                <w:b/>
                <w:bCs/>
                <w:color w:val="auto"/>
              </w:rPr>
            </w:pPr>
            <w:r>
              <w:rPr>
                <w:rFonts w:hint="eastAsia"/>
                <w:b/>
                <w:bCs/>
                <w:color w:val="auto"/>
              </w:rPr>
              <w:t>2.6固井作业</w:t>
            </w:r>
          </w:p>
          <w:p w14:paraId="4519117C">
            <w:pPr>
              <w:spacing w:line="360" w:lineRule="auto"/>
              <w:ind w:firstLine="480" w:firstLineChars="200"/>
              <w:rPr>
                <w:color w:val="auto"/>
              </w:rPr>
            </w:pPr>
            <w:r>
              <w:rPr>
                <w:rFonts w:hint="eastAsia"/>
                <w:color w:val="auto"/>
              </w:rPr>
              <w:t>生产套管固井水泥浆体系采用韧性胶乳防气窜双凝水泥浆体系，双凝界面设计位置不低于技术套管鞋。优选固井前置液体系，固井前应有效清洗井壁，提高水泥浆与一二界面的胶结质量和顶替效率应做好钻井液、水泥浆、前置液间的污染性试验。固井设备、井眼、井筒内钻井液性能符合固井施工要求后开始进行下套管。下套管过程中按要求及时灌好钻井液，必要时补灌钻井液。下套管过程中，钻台上应准备套管循环接头和钻杆止回阀，备井涌时使用。下完套管后，应灌满钻井液方可开泵循环，中途循环也应先灌满钻井液再开泵。灌浆过程应上下活动套管，以防套管粘卡，活动距离不少于2m。下完套管后，小排量开泵，顶通建立循环泵压稳定后，用钻进时的正常排量循环洗井2周以上，直至振动筛上无泥饼和岩屑，钻井液性能达到固井施工要求后，在套管与井壁之间环空内注入水泥浆将套管和地层固结在一起。待固井水泥凝固后对井口进行钻、刮、通洗，并采用电缆＋爬行器方式测固井质量。按设计的完井井口装置要求，安装油管头四通及二侧的闸门和压力表，并按油管头安装指南对BT密封注密封脂、试压。最后安装盖板法兰和方井支撑架，然后加盖方井的防护钢板。全井采用“泥浆不落地”配合施工，岩屑及污水不得排放至岩屑池及污水池以外。</w:t>
            </w:r>
          </w:p>
          <w:p w14:paraId="6DC09178">
            <w:pPr>
              <w:spacing w:line="360" w:lineRule="auto"/>
              <w:rPr>
                <w:b/>
                <w:bCs/>
                <w:color w:val="auto"/>
              </w:rPr>
            </w:pPr>
            <w:r>
              <w:rPr>
                <w:rFonts w:hint="eastAsia"/>
                <w:b/>
                <w:bCs/>
                <w:color w:val="auto"/>
              </w:rPr>
              <w:t>3、储层改造工程</w:t>
            </w:r>
          </w:p>
          <w:p w14:paraId="0F99971E">
            <w:pPr>
              <w:spacing w:line="360" w:lineRule="auto"/>
              <w:ind w:firstLine="480" w:firstLineChars="200"/>
              <w:rPr>
                <w:color w:val="auto"/>
              </w:rPr>
            </w:pPr>
            <w:r>
              <w:rPr>
                <w:rFonts w:hint="eastAsia"/>
                <w:color w:val="auto"/>
              </w:rPr>
              <w:t>当钻井钻至目的层后，将对气井进行改造，其作业工艺流程及产污环节见下图。</w:t>
            </w:r>
          </w:p>
          <w:p w14:paraId="12470A61">
            <w:pPr>
              <w:adjustRightInd w:val="0"/>
              <w:snapToGrid w:val="0"/>
              <w:spacing w:line="360" w:lineRule="auto"/>
              <w:jc w:val="center"/>
              <w:rPr>
                <w:color w:val="auto"/>
              </w:rPr>
            </w:pPr>
            <w:r>
              <w:rPr>
                <w:rFonts w:hint="eastAsia"/>
                <w:color w:val="auto"/>
              </w:rPr>
              <w:drawing>
                <wp:inline distT="0" distB="0" distL="114300" distR="114300">
                  <wp:extent cx="5466080" cy="3342640"/>
                  <wp:effectExtent l="0" t="0" r="1270" b="10160"/>
                  <wp:docPr id="15" name="图片 15" descr="图 储层改造工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 储层改造工程"/>
                          <pic:cNvPicPr>
                            <a:picLocks noChangeAspect="1"/>
                          </pic:cNvPicPr>
                        </pic:nvPicPr>
                        <pic:blipFill>
                          <a:blip r:embed="rId11"/>
                          <a:stretch>
                            <a:fillRect/>
                          </a:stretch>
                        </pic:blipFill>
                        <pic:spPr>
                          <a:xfrm>
                            <a:off x="0" y="0"/>
                            <a:ext cx="5466080" cy="3342640"/>
                          </a:xfrm>
                          <a:prstGeom prst="rect">
                            <a:avLst/>
                          </a:prstGeom>
                        </pic:spPr>
                      </pic:pic>
                    </a:graphicData>
                  </a:graphic>
                </wp:inline>
              </w:drawing>
            </w:r>
          </w:p>
          <w:p w14:paraId="4A65F2B8">
            <w:pPr>
              <w:adjustRightInd w:val="0"/>
              <w:snapToGrid w:val="0"/>
              <w:spacing w:line="360" w:lineRule="auto"/>
              <w:jc w:val="center"/>
              <w:rPr>
                <w:b/>
                <w:bCs/>
                <w:color w:val="auto"/>
              </w:rPr>
            </w:pPr>
            <w:r>
              <w:rPr>
                <w:rFonts w:hint="eastAsia"/>
                <w:b/>
                <w:bCs/>
                <w:color w:val="auto"/>
              </w:rPr>
              <w:t>图2-4 储层改造工程及产污节点图</w:t>
            </w:r>
          </w:p>
          <w:p w14:paraId="441D619F">
            <w:pPr>
              <w:adjustRightInd w:val="0"/>
              <w:snapToGrid w:val="0"/>
              <w:spacing w:line="360" w:lineRule="auto"/>
              <w:rPr>
                <w:b/>
                <w:bCs/>
                <w:color w:val="auto"/>
              </w:rPr>
            </w:pPr>
            <w:r>
              <w:rPr>
                <w:rFonts w:hint="eastAsia"/>
                <w:b/>
                <w:bCs/>
                <w:color w:val="auto"/>
              </w:rPr>
              <w:t>3.1下套管完井</w:t>
            </w:r>
          </w:p>
          <w:p w14:paraId="3636F65E">
            <w:pPr>
              <w:widowControl/>
              <w:snapToGrid w:val="0"/>
              <w:spacing w:line="360" w:lineRule="auto"/>
              <w:ind w:firstLine="480" w:firstLineChars="200"/>
              <w:rPr>
                <w:color w:val="auto"/>
              </w:rPr>
            </w:pPr>
            <w:r>
              <w:rPr>
                <w:rFonts w:hint="eastAsia"/>
                <w:color w:val="auto"/>
              </w:rPr>
              <w:t>下套管完井包括井眼准备、设备准备、组织准备、下套管作业、固井施工、通刮洗井、通径、固井质量测井和试压。</w:t>
            </w:r>
          </w:p>
          <w:p w14:paraId="7596334F">
            <w:pPr>
              <w:widowControl/>
              <w:snapToGrid w:val="0"/>
              <w:spacing w:line="360" w:lineRule="auto"/>
              <w:ind w:firstLine="480" w:firstLineChars="200"/>
              <w:rPr>
                <w:color w:val="auto"/>
              </w:rPr>
            </w:pPr>
            <w:r>
              <w:rPr>
                <w:rFonts w:hint="eastAsia"/>
                <w:color w:val="auto"/>
              </w:rPr>
              <w:t>（1）井眼准备</w:t>
            </w:r>
          </w:p>
          <w:p w14:paraId="1E3B62A0">
            <w:pPr>
              <w:widowControl/>
              <w:snapToGrid w:val="0"/>
              <w:spacing w:line="360" w:lineRule="auto"/>
              <w:ind w:firstLine="480" w:firstLineChars="200"/>
              <w:rPr>
                <w:color w:val="auto"/>
              </w:rPr>
            </w:pPr>
            <w:r>
              <w:rPr>
                <w:rFonts w:hint="eastAsia"/>
                <w:color w:val="auto"/>
              </w:rPr>
              <w:t>采用双稳定器的钻具组合模拟套管串的刚度，对起下钻遇阻、遇卡井段、井斜变化率超标井段认真划眼通井，彻底清除岩屑床，以利于套管顺利下入。要确保井筒内钻井液性能良好、稳定，符合固井施工要求。在保证井下安全的前提下，尽量降低粘切，降低含砂量。</w:t>
            </w:r>
          </w:p>
          <w:p w14:paraId="67435097">
            <w:pPr>
              <w:widowControl/>
              <w:snapToGrid w:val="0"/>
              <w:spacing w:line="360" w:lineRule="auto"/>
              <w:ind w:firstLine="480" w:firstLineChars="200"/>
              <w:rPr>
                <w:color w:val="auto"/>
              </w:rPr>
            </w:pPr>
            <w:r>
              <w:rPr>
                <w:rFonts w:hint="eastAsia"/>
                <w:color w:val="auto"/>
              </w:rPr>
              <w:t>（2）设备准备</w:t>
            </w:r>
          </w:p>
          <w:p w14:paraId="1C77A11A">
            <w:pPr>
              <w:widowControl/>
              <w:snapToGrid w:val="0"/>
              <w:spacing w:line="360" w:lineRule="auto"/>
              <w:ind w:firstLine="480" w:firstLineChars="200"/>
              <w:rPr>
                <w:color w:val="auto"/>
              </w:rPr>
            </w:pPr>
            <w:r>
              <w:rPr>
                <w:rFonts w:hint="eastAsia"/>
                <w:color w:val="auto"/>
              </w:rPr>
              <w:t>检查、准备下套管工具：吊卡、大钳、卡瓦、气动卡盘、补心、扶正台、单根吊卡、提升短节、吊车、循环头、灌钻井液管线等。循环系统中用于顶替作业的各钻井液罐（包括储备罐）各闸门应灵活可靠。从下套管开始，在整个完井施工过程中，井口装置须能实现用防喷器闸板关闭套管与井眼环空，或套管通过转换接头(高强度抗腐蚀循环头等)与钻杆迅速相连后，能用防喷器闸板关闭钻杆与井眼环空。认真检查悬吊系统，井口、游车、天车一条线，下套管前应根据大钩负荷倒换大绳，确保下套管安全，同时钻机负荷须能保证满立根的情况下下套管处理复杂情况的安全(必要时，在能保证作业安全、保证套管顺利下入的条件下可先甩掉部分钻具)。固井前检查固井设备，如下灰系统、混浆系统、供气系统等是否符合施工要求，配合固井的钻井泵、柴油机、压风机、发电机、井控系统等设备应进行试运转并运转正常，满足施工要求，确保固井施工的连续性和施工质量。</w:t>
            </w:r>
          </w:p>
          <w:p w14:paraId="346C19AB">
            <w:pPr>
              <w:widowControl/>
              <w:snapToGrid w:val="0"/>
              <w:spacing w:line="360" w:lineRule="auto"/>
              <w:ind w:firstLine="480" w:firstLineChars="200"/>
              <w:rPr>
                <w:color w:val="auto"/>
              </w:rPr>
            </w:pPr>
            <w:r>
              <w:rPr>
                <w:rFonts w:hint="eastAsia"/>
                <w:color w:val="auto"/>
              </w:rPr>
              <w:t>（3）套管准备</w:t>
            </w:r>
          </w:p>
          <w:p w14:paraId="322189F1">
            <w:pPr>
              <w:widowControl/>
              <w:snapToGrid w:val="0"/>
              <w:spacing w:line="360" w:lineRule="auto"/>
              <w:ind w:firstLine="480" w:firstLineChars="200"/>
              <w:rPr>
                <w:color w:val="auto"/>
              </w:rPr>
            </w:pPr>
            <w:r>
              <w:rPr>
                <w:rFonts w:hint="eastAsia"/>
                <w:color w:val="auto"/>
              </w:rPr>
              <w:t>按套管柱设计要求的规格型号，送井套管必须经套管厂各道工序检查合格。套管在运送、装卸过程中严禁碰撞，护丝齐全上紧，排放整齐。套管及附件、工具等入井前认真检查，主要检查项目：钢级、壁厚、管体、螺纹外观、弯曲度、椭圆度、通径、丈量、丝扣清洗等，不合格套管严禁下井，除用常规通径规通径合格外，还须用测试通径规通径合格。丈量套管长度准确到毫米，工程、地质两对口，按下井顺序编号，备用和不合格的套管画上明显记号与下井套管分开排放。</w:t>
            </w:r>
          </w:p>
          <w:p w14:paraId="4BB5ADB4">
            <w:pPr>
              <w:widowControl/>
              <w:snapToGrid w:val="0"/>
              <w:spacing w:line="360" w:lineRule="auto"/>
              <w:ind w:firstLine="480" w:firstLineChars="200"/>
              <w:rPr>
                <w:color w:val="auto"/>
              </w:rPr>
            </w:pPr>
            <w:r>
              <w:rPr>
                <w:rFonts w:hint="eastAsia"/>
                <w:color w:val="auto"/>
              </w:rPr>
              <w:t>（4）组织准备</w:t>
            </w:r>
          </w:p>
          <w:p w14:paraId="13D5B35A">
            <w:pPr>
              <w:widowControl/>
              <w:snapToGrid w:val="0"/>
              <w:spacing w:line="360" w:lineRule="auto"/>
              <w:ind w:firstLine="480" w:firstLineChars="200"/>
              <w:rPr>
                <w:color w:val="auto"/>
              </w:rPr>
            </w:pPr>
            <w:r>
              <w:rPr>
                <w:rFonts w:hint="eastAsia"/>
                <w:color w:val="auto"/>
              </w:rPr>
              <w:t>下套管前要召开固井协作会，各施工单位和工具附件服务厂家参加会议，按照固井施工设计要求和井场具体情况分析、研究存在问题，提出解决办法，排出施工进度。</w:t>
            </w:r>
          </w:p>
          <w:p w14:paraId="084E38D3">
            <w:pPr>
              <w:widowControl/>
              <w:snapToGrid w:val="0"/>
              <w:spacing w:line="360" w:lineRule="auto"/>
              <w:ind w:firstLine="480" w:firstLineChars="200"/>
              <w:rPr>
                <w:color w:val="auto"/>
              </w:rPr>
            </w:pPr>
            <w:r>
              <w:rPr>
                <w:rFonts w:hint="eastAsia"/>
                <w:color w:val="auto"/>
              </w:rPr>
              <w:t>（5）下套管作业</w:t>
            </w:r>
          </w:p>
          <w:p w14:paraId="3BE6A1D0">
            <w:pPr>
              <w:widowControl/>
              <w:snapToGrid w:val="0"/>
              <w:spacing w:line="360" w:lineRule="auto"/>
              <w:ind w:firstLine="480" w:firstLineChars="200"/>
              <w:rPr>
                <w:color w:val="auto"/>
              </w:rPr>
            </w:pPr>
            <w:r>
              <w:rPr>
                <w:rFonts w:hint="eastAsia"/>
                <w:color w:val="auto"/>
              </w:rPr>
              <w:t>按下入次序对套管进行编号、记录。套管及附件、工具上钻台时要戴好护丝，严禁碰撞。球座以下的套管及附件，用强力粘合剂进行粘接且用销钉铆接。严格按要求进行清洗、检查，保证上扣前涂抹丝扣密封脂时丝扣绝对干净。合理安放套管扶正器，确保套管居中。水平井段：每根套管加一个扶正器，采用弹性双弓扶正器和刚性树脂旋流扶正器交替安放；造斜段：每两根套管安放一只刚性树脂扶正器；直井段：每五根套管安放一只弹性扶正器。下套管由专业下套管服务队操作，套管上扣时采用套管液压大钳，按技术协议规定的最佳扭矩上扣，要求有自动的上扣记录可追溯。下套管过程中应尽可能减少中途停顿，缩短套管在井下静止时间。下套管操作要平稳，严禁猛刹、猛放。下套管过程中按要求及时灌好钻井液，如使用自动灌浆装置，应注意其工作状态，必要时补灌钻井液。下完套管后，应灌满钻井液方可开泵循环，中途循环也应先灌满钻井液再开泵。灌浆过程应上下活动套管，以防套管粘卡，活动距离不少于2m。下套管若遇阻，井队应及时通知值班干部及相关人员进行解决。活动套管时严禁吊卡离开接箍端面，拉力或压缩力应控制在强度许可范围内，并且保证安全系数大于1.5。下套管过程中，钻台上应准备套管循环接头和钻杆止回阀，备井涌时使用。下完套管后，小排量开泵，顶通建立循环泵压稳定后，用钻进时的正常排量循环洗井2周以上，直至振动筛上无泥饼和岩屑，钻井液性能达到固井施工要求。</w:t>
            </w:r>
          </w:p>
          <w:p w14:paraId="19DA7405">
            <w:pPr>
              <w:widowControl/>
              <w:snapToGrid w:val="0"/>
              <w:spacing w:line="360" w:lineRule="auto"/>
              <w:ind w:firstLine="480" w:firstLineChars="200"/>
              <w:rPr>
                <w:color w:val="auto"/>
              </w:rPr>
            </w:pPr>
            <w:r>
              <w:rPr>
                <w:rFonts w:hint="eastAsia"/>
                <w:color w:val="auto"/>
              </w:rPr>
              <w:t>（6）固井施工</w:t>
            </w:r>
          </w:p>
          <w:p w14:paraId="6CA193EB">
            <w:pPr>
              <w:widowControl/>
              <w:snapToGrid w:val="0"/>
              <w:spacing w:line="360" w:lineRule="auto"/>
              <w:ind w:firstLine="480" w:firstLineChars="200"/>
              <w:rPr>
                <w:color w:val="auto"/>
              </w:rPr>
            </w:pPr>
            <w:r>
              <w:rPr>
                <w:rFonts w:hint="eastAsia"/>
                <w:color w:val="auto"/>
              </w:rPr>
              <w:t>生产套管固井水泥浆体系采用韧性胶乳防气窜双凝水泥浆体系，双凝界面设计位置不低于技术套管鞋。优选固井前置液体系，固井前应有效清洗和冲刷井壁和套管壁的油膜，将亲油性的井壁反转为亲水性的井壁，提高水泥浆与一二界面的胶结质量和顶替效率。应做好钻井液、水泥浆、前置液间的污染性试验。水平段采用清水压塞+清水（加缓凝剂）顶替等技术，实现漂浮顶替，改善顶替效率，提高居中度和固井质量，降低生产套管内水泥残留，为后期不钻、刮、通洗直接首段压裂施工提供条件。调整完井钻井液性能，达到固井施工要求。确定合理钻井液密度，确保井壁稳定和压稳气层，井下无漏失，满足固井施工作业要求，确保水泥浆封固质量。固井水泥必须使用同一批次生产的水泥，严禁不同批次生产的水泥混合使用。注水泥作业前必须对现场施工水样、水泥及外加剂样品进行大样试验复查，达到施工和质量要求后方可进行注水泥施工。注水泥施工前，由固井施工指挥召集有关人员召开施工准备会，明确施工程序，贯彻固井措施，进行岗位分工，交代安全事项和异常情况下的应急措施，并明确联系信号，保证施工协调一致。全面认真检查各套管附件，确保其质量。套管附件应具备长期耐冲蚀的能力。专人监测水泥浆密度，确保入井水泥浆密度达到设计要求。严格按照《固井作业规程 第1部分：常规固井》SY/T 5374.1-2016等相关行业标准和企业标准进行固井施工。碰压后，稳压2～3min后泄压，如回压阀密封好，则套管敞压、环空蹩压2～3MPa候凝；否则，需关井蹩压候凝，管内外静液柱压差2～3MPa，并派专人按要求观测。</w:t>
            </w:r>
          </w:p>
          <w:p w14:paraId="0DB48FBE">
            <w:pPr>
              <w:widowControl/>
              <w:snapToGrid w:val="0"/>
              <w:spacing w:line="360" w:lineRule="auto"/>
              <w:ind w:firstLine="480" w:firstLineChars="200"/>
              <w:rPr>
                <w:color w:val="auto"/>
              </w:rPr>
            </w:pPr>
            <w:r>
              <w:rPr>
                <w:rFonts w:hint="eastAsia"/>
                <w:color w:val="auto"/>
              </w:rPr>
              <w:t>（7）通刮洗井、通径</w:t>
            </w:r>
          </w:p>
          <w:p w14:paraId="62FB18C1">
            <w:pPr>
              <w:widowControl/>
              <w:snapToGrid w:val="0"/>
              <w:spacing w:line="360" w:lineRule="auto"/>
              <w:ind w:firstLine="480" w:firstLineChars="200"/>
              <w:rPr>
                <w:color w:val="auto"/>
              </w:rPr>
            </w:pPr>
            <w:r>
              <w:rPr>
                <w:rFonts w:hint="eastAsia"/>
                <w:color w:val="auto"/>
              </w:rPr>
              <w:t>固井施工结束72h后，下Φ105mm钻头＋扫塞钻具组合，通井扫塞至人工井底。用GX-T140刮壁器，按单井试采前期准备工作要求进行刮管作业，刮到人工井底后，循环清洗井筒干净。起钻，检查刮壁器的完好情况。采用与生产套管内径相适应的标准通径规，按单井试采前期准备工作要求，通井至人工井底。用活性水循环洗井，确认井筒干净后，起出通井管柱，检查通径规的完好情况。</w:t>
            </w:r>
          </w:p>
          <w:p w14:paraId="55F18ECF">
            <w:pPr>
              <w:widowControl/>
              <w:snapToGrid w:val="0"/>
              <w:spacing w:line="360" w:lineRule="auto"/>
              <w:ind w:firstLine="480" w:firstLineChars="200"/>
              <w:rPr>
                <w:color w:val="auto"/>
              </w:rPr>
            </w:pPr>
            <w:r>
              <w:rPr>
                <w:rFonts w:hint="eastAsia"/>
                <w:color w:val="auto"/>
              </w:rPr>
              <w:t>（8）固井质量测井</w:t>
            </w:r>
          </w:p>
          <w:p w14:paraId="2F008E37">
            <w:pPr>
              <w:widowControl/>
              <w:snapToGrid w:val="0"/>
              <w:spacing w:line="360" w:lineRule="auto"/>
              <w:ind w:firstLine="480" w:firstLineChars="200"/>
              <w:rPr>
                <w:color w:val="auto"/>
              </w:rPr>
            </w:pPr>
            <w:r>
              <w:rPr>
                <w:rFonts w:hint="eastAsia"/>
                <w:color w:val="auto"/>
              </w:rPr>
              <w:t>采用电缆＋爬行器方式（或钻具输送）测固井质量。</w:t>
            </w:r>
          </w:p>
          <w:p w14:paraId="435CA6DA">
            <w:pPr>
              <w:widowControl/>
              <w:snapToGrid w:val="0"/>
              <w:spacing w:line="360" w:lineRule="auto"/>
              <w:ind w:firstLine="480" w:firstLineChars="200"/>
              <w:rPr>
                <w:color w:val="auto"/>
              </w:rPr>
            </w:pPr>
            <w:r>
              <w:rPr>
                <w:rFonts w:hint="eastAsia"/>
                <w:color w:val="auto"/>
              </w:rPr>
              <w:t>（9）试压</w:t>
            </w:r>
          </w:p>
          <w:p w14:paraId="5479CEFD">
            <w:pPr>
              <w:widowControl/>
              <w:snapToGrid w:val="0"/>
              <w:spacing w:line="360" w:lineRule="auto"/>
              <w:ind w:firstLine="480" w:firstLineChars="200"/>
              <w:rPr>
                <w:color w:val="auto"/>
              </w:rPr>
            </w:pPr>
            <w:r>
              <w:rPr>
                <w:rFonts w:hint="eastAsia"/>
                <w:color w:val="auto"/>
              </w:rPr>
              <w:t>在钻井完井期间和井筒处理期间，安装固定试采地面流程、按标准对地面流程进行试压。安装油管头四通、1号主阀、压裂井口。安装压裂高压管汇，地面试采高、低压管线及相关试采设备。对井筒、1号阀、压裂井口按照相关标准依次试压至90MPa，观察30min，压降不超过0.5MPa合格。对地面试采高压管线，按照相关标准依次试压至60MPa，观察30min，压降不超过0.5MPa合格。对地面试采低压管线，按照相关标准依次试压至15MPa，观察15min，压降不超过0.5MPa合格。对分离器进行试压至10MPa，观察15min，压降不超过0.5MPa合格。</w:t>
            </w:r>
          </w:p>
          <w:p w14:paraId="600698EC">
            <w:pPr>
              <w:adjustRightInd w:val="0"/>
              <w:snapToGrid w:val="0"/>
              <w:spacing w:line="360" w:lineRule="auto"/>
              <w:rPr>
                <w:b/>
                <w:bCs/>
                <w:color w:val="auto"/>
              </w:rPr>
            </w:pPr>
            <w:r>
              <w:rPr>
                <w:rFonts w:hint="eastAsia"/>
                <w:b/>
                <w:bCs/>
                <w:color w:val="auto"/>
              </w:rPr>
              <w:t>3.2</w:t>
            </w:r>
            <w:r>
              <w:rPr>
                <w:b/>
                <w:bCs/>
                <w:color w:val="auto"/>
              </w:rPr>
              <w:t>分段射孔压裂</w:t>
            </w:r>
          </w:p>
          <w:p w14:paraId="78258DD7">
            <w:pPr>
              <w:widowControl/>
              <w:snapToGrid w:val="0"/>
              <w:spacing w:line="360" w:lineRule="auto"/>
              <w:ind w:firstLine="480" w:firstLineChars="200"/>
              <w:rPr>
                <w:color w:val="auto"/>
              </w:rPr>
            </w:pPr>
            <w:r>
              <w:rPr>
                <w:rFonts w:hint="eastAsia"/>
                <w:color w:val="auto"/>
              </w:rPr>
              <w:t>分段射孔压裂主要包括射孔和压裂。</w:t>
            </w:r>
          </w:p>
          <w:p w14:paraId="53BF77D3">
            <w:pPr>
              <w:widowControl/>
              <w:snapToGrid w:val="0"/>
              <w:spacing w:line="360" w:lineRule="auto"/>
              <w:ind w:firstLine="480" w:firstLineChars="200"/>
              <w:rPr>
                <w:color w:val="auto"/>
              </w:rPr>
            </w:pPr>
            <w:r>
              <w:rPr>
                <w:rFonts w:hint="eastAsia"/>
                <w:color w:val="auto"/>
              </w:rPr>
              <w:t>（1）射孔</w:t>
            </w:r>
          </w:p>
          <w:p w14:paraId="7364CA44">
            <w:pPr>
              <w:widowControl/>
              <w:snapToGrid w:val="0"/>
              <w:spacing w:line="360" w:lineRule="auto"/>
              <w:ind w:firstLine="480" w:firstLineChars="200"/>
              <w:rPr>
                <w:color w:val="auto"/>
              </w:rPr>
            </w:pPr>
            <w:r>
              <w:rPr>
                <w:rFonts w:hint="eastAsia"/>
                <w:color w:val="auto"/>
              </w:rPr>
              <w:t>本工程采用射孔完井方式。射孔完井是指下入油层套管封固产层后再用射孔弹将套管、水泥环、部分产层射穿，形成油气流通通道。射穿产层后油气井的生产能力受产层压力、产层性质、射孔参数及质量影响。射孔噪声一般产生在地表以下上千米的产层，不会对地表的声环境造成影响。</w:t>
            </w:r>
          </w:p>
          <w:p w14:paraId="7CB09320">
            <w:pPr>
              <w:widowControl/>
              <w:snapToGrid w:val="0"/>
              <w:spacing w:line="360" w:lineRule="auto"/>
              <w:ind w:firstLine="480" w:firstLineChars="200"/>
              <w:rPr>
                <w:color w:val="auto"/>
              </w:rPr>
            </w:pPr>
            <w:r>
              <w:rPr>
                <w:rFonts w:hint="eastAsia"/>
                <w:color w:val="auto"/>
              </w:rPr>
              <w:t>（2）压裂</w:t>
            </w:r>
          </w:p>
          <w:p w14:paraId="1D093FB8">
            <w:pPr>
              <w:widowControl/>
              <w:snapToGrid w:val="0"/>
              <w:spacing w:line="360" w:lineRule="auto"/>
              <w:ind w:firstLine="480" w:firstLineChars="200"/>
              <w:rPr>
                <w:color w:val="auto"/>
              </w:rPr>
            </w:pPr>
            <w:r>
              <w:rPr>
                <w:rFonts w:hint="eastAsia"/>
                <w:color w:val="auto"/>
              </w:rPr>
              <w:t>压裂即用压力将地层压开一条或几条水平的或垂直的裂缝，并用支撑剂(携砂液)将裂缝支撑起来，从而达到增产的效果。项目采用分段压裂的方式，每段注入压裂液及支撑剂，每次压裂液泵入时间约2~3小时，待一段压裂完成后，向井下放置可钻桥塞，重复上段压裂过程，直至压裂全部水平井段。压裂作业均在白天进行，一天最长压裂作业时间不超过15个小时，并且最迟在晚上22点之前停止压裂作业。压裂过程中产生的压裂返排液抽入储备罐中储存回用，不能回用部分用罐车拉运至可接纳单位处理。</w:t>
            </w:r>
          </w:p>
          <w:p w14:paraId="06DE2A86">
            <w:pPr>
              <w:adjustRightInd w:val="0"/>
              <w:snapToGrid w:val="0"/>
              <w:spacing w:line="360" w:lineRule="auto"/>
              <w:rPr>
                <w:b/>
                <w:bCs/>
                <w:color w:val="auto"/>
              </w:rPr>
            </w:pPr>
            <w:r>
              <w:rPr>
                <w:rFonts w:hint="eastAsia"/>
                <w:b/>
                <w:bCs/>
                <w:color w:val="auto"/>
              </w:rPr>
              <w:t>4、试采作业工程</w:t>
            </w:r>
          </w:p>
          <w:p w14:paraId="1411FE65">
            <w:pPr>
              <w:widowControl/>
              <w:snapToGrid w:val="0"/>
              <w:spacing w:line="360" w:lineRule="auto"/>
              <w:ind w:firstLine="480" w:firstLineChars="200"/>
              <w:rPr>
                <w:color w:val="auto"/>
              </w:rPr>
            </w:pPr>
            <w:r>
              <w:rPr>
                <w:color w:val="auto"/>
              </w:rPr>
              <w:t>利用钻井工程</w:t>
            </w:r>
            <w:r>
              <w:rPr>
                <w:rFonts w:hint="eastAsia"/>
                <w:color w:val="auto"/>
              </w:rPr>
              <w:t>东北侧</w:t>
            </w:r>
            <w:r>
              <w:rPr>
                <w:color w:val="auto"/>
              </w:rPr>
              <w:t>用地</w:t>
            </w:r>
            <w:r>
              <w:rPr>
                <w:rFonts w:hint="eastAsia"/>
                <w:color w:val="auto"/>
              </w:rPr>
              <w:t>进行试采作业。压裂完成后安装专用设备对井下储层进行测试，获取产能、压力、温度、流体性质等关键参数的工艺过程。其核心目的是评价储层含气性、确定气井产能、判断是否具有工业开采价值，为后续开发方案提供依据。具体流程为：①压裂后放喷：控制油嘴逐级开井→节流降压→气流进入放喷管线→在放喷池点火燃烧；②排液：根据井身自喷能力，安装助排设备，排至产出液稳定、气液比明显上升后转入正式测试；③测试：排液稳定后开展系统求取气井产能、地层参数，获取用于储量评价、开发方案设计的数据，通过更换不同油嘴定产量生产，记录油压、套压、产气量、产水量，绘制产能曲线；测试过程中产出气通过CNG压缩槽车外运。</w:t>
            </w:r>
          </w:p>
          <w:p w14:paraId="11592683">
            <w:pPr>
              <w:widowControl/>
              <w:snapToGrid w:val="0"/>
              <w:spacing w:line="360" w:lineRule="auto"/>
              <w:ind w:firstLine="480" w:firstLineChars="200"/>
              <w:rPr>
                <w:color w:val="auto"/>
              </w:rPr>
            </w:pPr>
            <w:r>
              <w:rPr>
                <w:rFonts w:hint="eastAsia"/>
                <w:color w:val="auto"/>
              </w:rPr>
              <w:t>封井施工措施为覆盖所有产层（油气层）及上下50m安全屏障。采用G级油井水泥+添加剂（缓凝剂、膨胀剂等）作为封堵材料，确保长期密封性。</w:t>
            </w:r>
          </w:p>
          <w:p w14:paraId="24271D73">
            <w:pPr>
              <w:adjustRightInd w:val="0"/>
              <w:snapToGrid w:val="0"/>
              <w:spacing w:line="360" w:lineRule="auto"/>
              <w:rPr>
                <w:rFonts w:hint="eastAsia"/>
                <w:b/>
                <w:bCs/>
                <w:color w:val="auto"/>
              </w:rPr>
            </w:pPr>
            <w:r>
              <w:rPr>
                <w:rFonts w:hint="eastAsia"/>
                <w:b/>
                <w:bCs/>
                <w:color w:val="auto"/>
              </w:rPr>
              <w:t>5、施工时序及建设周期</w:t>
            </w:r>
          </w:p>
          <w:p w14:paraId="0BA17E8D">
            <w:pPr>
              <w:widowControl/>
              <w:snapToGrid w:val="0"/>
              <w:spacing w:line="360" w:lineRule="auto"/>
              <w:ind w:firstLine="480" w:firstLineChars="200"/>
              <w:rPr>
                <w:rFonts w:hint="eastAsia"/>
                <w:color w:val="auto"/>
              </w:rPr>
            </w:pPr>
            <w:r>
              <w:rPr>
                <w:rFonts w:hint="eastAsia"/>
                <w:color w:val="auto"/>
              </w:rPr>
              <w:t>现项目已完成钻前工程，采用单钻机作业，钻井期间按照井依次开展导管、一开、二开、三开开次，6口井完钻后再进行储层改造，储层改造结束后试采。工序不存在同时施工作业情况，每完成一口井的作业施工后再进行下一口井的作业施工。桂融页4-1HF井已完成导管、一开、二开开次。项目施工时序情况见下表。</w:t>
            </w:r>
          </w:p>
          <w:p w14:paraId="0C2A09F0">
            <w:pPr>
              <w:pStyle w:val="14"/>
              <w:widowControl w:val="0"/>
              <w:adjustRightInd w:val="0"/>
              <w:snapToGrid w:val="0"/>
              <w:spacing w:before="0" w:beforeAutospacing="0" w:after="0" w:afterAutospacing="0" w:line="360" w:lineRule="auto"/>
              <w:jc w:val="center"/>
              <w:rPr>
                <w:rFonts w:ascii="Times New Roman" w:hAnsi="Times New Roman"/>
                <w:b/>
                <w:bCs/>
                <w:color w:val="auto"/>
              </w:rPr>
            </w:pPr>
            <w:r>
              <w:rPr>
                <w:rFonts w:ascii="Times New Roman" w:hAnsi="Times New Roman"/>
                <w:b/>
                <w:bCs/>
                <w:color w:val="auto"/>
              </w:rPr>
              <w:t>表</w:t>
            </w:r>
            <w:r>
              <w:rPr>
                <w:rFonts w:hint="eastAsia" w:ascii="Times New Roman" w:hAnsi="Times New Roman"/>
                <w:b/>
                <w:bCs/>
                <w:color w:val="auto"/>
              </w:rPr>
              <w:t xml:space="preserve">2-15 </w:t>
            </w:r>
            <w:r>
              <w:rPr>
                <w:rFonts w:ascii="Times New Roman" w:hAnsi="Times New Roman"/>
                <w:b/>
                <w:bCs/>
                <w:color w:val="auto"/>
              </w:rPr>
              <w:t>项目各井施工周期一览表  单位：d</w:t>
            </w:r>
          </w:p>
          <w:tbl>
            <w:tblPr>
              <w:tblStyle w:val="19"/>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172"/>
              <w:gridCol w:w="981"/>
              <w:gridCol w:w="896"/>
              <w:gridCol w:w="887"/>
              <w:gridCol w:w="972"/>
              <w:gridCol w:w="1029"/>
              <w:gridCol w:w="937"/>
              <w:gridCol w:w="1124"/>
              <w:gridCol w:w="853"/>
            </w:tblGrid>
            <w:tr w14:paraId="6ECE83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vMerge w:val="restar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28D279E">
                  <w:pPr>
                    <w:jc w:val="center"/>
                    <w:rPr>
                      <w:b/>
                      <w:bCs/>
                      <w:sz w:val="21"/>
                      <w:szCs w:val="21"/>
                    </w:rPr>
                  </w:pPr>
                  <w:r>
                    <w:rPr>
                      <w:rFonts w:hint="eastAsia"/>
                      <w:b/>
                      <w:bCs/>
                      <w:sz w:val="21"/>
                      <w:szCs w:val="21"/>
                    </w:rPr>
                    <w:t>井号</w:t>
                  </w:r>
                </w:p>
              </w:tc>
              <w:tc>
                <w:tcPr>
                  <w:tcW w:w="3220" w:type="pct"/>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2199298">
                  <w:pPr>
                    <w:jc w:val="center"/>
                    <w:rPr>
                      <w:b/>
                      <w:bCs/>
                      <w:sz w:val="21"/>
                      <w:szCs w:val="21"/>
                    </w:rPr>
                  </w:pPr>
                  <w:r>
                    <w:rPr>
                      <w:rFonts w:hint="eastAsia"/>
                      <w:b/>
                      <w:bCs/>
                      <w:sz w:val="21"/>
                      <w:szCs w:val="21"/>
                    </w:rPr>
                    <w:t>钻井工程周期</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4E7BD9">
                  <w:pPr>
                    <w:jc w:val="center"/>
                    <w:rPr>
                      <w:b/>
                      <w:bCs/>
                      <w:sz w:val="21"/>
                      <w:szCs w:val="21"/>
                    </w:rPr>
                  </w:pPr>
                  <w:r>
                    <w:rPr>
                      <w:rFonts w:hint="eastAsia"/>
                      <w:b/>
                      <w:bCs/>
                      <w:sz w:val="21"/>
                      <w:szCs w:val="21"/>
                    </w:rPr>
                    <w:t>储层改造周期</w:t>
                  </w:r>
                </w:p>
              </w:tc>
              <w:tc>
                <w:tcPr>
                  <w:tcW w:w="4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96CAB6">
                  <w:pPr>
                    <w:jc w:val="center"/>
                    <w:rPr>
                      <w:b/>
                      <w:bCs/>
                      <w:sz w:val="21"/>
                      <w:szCs w:val="21"/>
                    </w:rPr>
                  </w:pPr>
                  <w:r>
                    <w:rPr>
                      <w:rFonts w:hint="eastAsia"/>
                      <w:b/>
                      <w:bCs/>
                      <w:sz w:val="21"/>
                      <w:szCs w:val="21"/>
                    </w:rPr>
                    <w:t>试采周期</w:t>
                  </w:r>
                </w:p>
              </w:tc>
            </w:tr>
            <w:tr w14:paraId="3DE303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jc w:val="center"/>
              </w:trPr>
              <w:tc>
                <w:tcPr>
                  <w:tcW w:w="66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BC4A84">
                  <w:pPr>
                    <w:jc w:val="center"/>
                    <w:rPr>
                      <w:sz w:val="21"/>
                      <w:szCs w:val="21"/>
                    </w:rPr>
                  </w:pPr>
                </w:p>
              </w:tc>
              <w:tc>
                <w:tcPr>
                  <w:tcW w:w="2110" w:type="pct"/>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91CFB26">
                  <w:pPr>
                    <w:jc w:val="center"/>
                    <w:rPr>
                      <w:b/>
                      <w:bCs/>
                      <w:sz w:val="21"/>
                      <w:szCs w:val="21"/>
                    </w:rPr>
                  </w:pPr>
                  <w:r>
                    <w:rPr>
                      <w:rFonts w:hint="eastAsia"/>
                      <w:b/>
                      <w:bCs/>
                      <w:sz w:val="21"/>
                      <w:szCs w:val="21"/>
                    </w:rPr>
                    <w:t>钻井周期</w:t>
                  </w:r>
                </w:p>
              </w:tc>
              <w:tc>
                <w:tcPr>
                  <w:tcW w:w="581"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D672EF4">
                  <w:pPr>
                    <w:jc w:val="center"/>
                    <w:rPr>
                      <w:b/>
                      <w:bCs/>
                      <w:sz w:val="21"/>
                      <w:szCs w:val="21"/>
                    </w:rPr>
                  </w:pPr>
                  <w:r>
                    <w:rPr>
                      <w:rFonts w:hint="eastAsia"/>
                      <w:b/>
                      <w:bCs/>
                      <w:sz w:val="21"/>
                      <w:szCs w:val="21"/>
                    </w:rPr>
                    <w:t>完井作业周期</w:t>
                  </w:r>
                </w:p>
              </w:tc>
              <w:tc>
                <w:tcPr>
                  <w:tcW w:w="52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D3240D">
                  <w:pPr>
                    <w:jc w:val="center"/>
                    <w:rPr>
                      <w:b/>
                      <w:bCs/>
                      <w:sz w:val="21"/>
                      <w:szCs w:val="21"/>
                    </w:rPr>
                  </w:pPr>
                  <w:r>
                    <w:rPr>
                      <w:rFonts w:hint="eastAsia"/>
                      <w:b/>
                      <w:bCs/>
                      <w:sz w:val="21"/>
                      <w:szCs w:val="21"/>
                    </w:rPr>
                    <w:t>合计完钻周期</w:t>
                  </w:r>
                </w:p>
              </w:tc>
              <w:tc>
                <w:tcPr>
                  <w:tcW w:w="635"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D20840">
                  <w:pPr>
                    <w:jc w:val="center"/>
                    <w:rPr>
                      <w:b/>
                      <w:bCs/>
                      <w:sz w:val="21"/>
                      <w:szCs w:val="21"/>
                    </w:rPr>
                  </w:pPr>
                  <w:r>
                    <w:rPr>
                      <w:b/>
                      <w:bCs/>
                      <w:sz w:val="21"/>
                      <w:szCs w:val="21"/>
                    </w:rPr>
                    <w:t>压裂</w:t>
                  </w:r>
                </w:p>
              </w:tc>
              <w:tc>
                <w:tcPr>
                  <w:tcW w:w="4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51E9DB">
                  <w:pPr>
                    <w:jc w:val="center"/>
                    <w:rPr>
                      <w:sz w:val="21"/>
                      <w:szCs w:val="21"/>
                    </w:rPr>
                  </w:pPr>
                </w:p>
              </w:tc>
            </w:tr>
            <w:tr w14:paraId="4319D5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4" w:hRule="atLeast"/>
                <w:jc w:val="center"/>
              </w:trPr>
              <w:tc>
                <w:tcPr>
                  <w:tcW w:w="66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4A990F">
                  <w:pPr>
                    <w:jc w:val="center"/>
                    <w:rPr>
                      <w:sz w:val="21"/>
                      <w:szCs w:val="21"/>
                    </w:rPr>
                  </w:pP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5FD5A0">
                  <w:pPr>
                    <w:jc w:val="center"/>
                    <w:rPr>
                      <w:b/>
                      <w:bCs/>
                      <w:sz w:val="21"/>
                      <w:szCs w:val="21"/>
                    </w:rPr>
                  </w:pPr>
                  <w:r>
                    <w:rPr>
                      <w:rFonts w:hint="eastAsia"/>
                      <w:b/>
                      <w:bCs/>
                      <w:sz w:val="21"/>
                      <w:szCs w:val="21"/>
                    </w:rPr>
                    <w:t>导管开次</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08D7A4">
                  <w:pPr>
                    <w:jc w:val="center"/>
                    <w:rPr>
                      <w:b/>
                      <w:bCs/>
                      <w:sz w:val="21"/>
                      <w:szCs w:val="21"/>
                    </w:rPr>
                  </w:pPr>
                  <w:r>
                    <w:rPr>
                      <w:rFonts w:hint="eastAsia"/>
                      <w:b/>
                      <w:bCs/>
                      <w:sz w:val="21"/>
                      <w:szCs w:val="21"/>
                    </w:rPr>
                    <w:t>一开开次</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B2331">
                  <w:pPr>
                    <w:jc w:val="center"/>
                    <w:rPr>
                      <w:b/>
                      <w:bCs/>
                      <w:sz w:val="21"/>
                      <w:szCs w:val="21"/>
                    </w:rPr>
                  </w:pPr>
                  <w:r>
                    <w:rPr>
                      <w:rFonts w:hint="eastAsia"/>
                      <w:b/>
                      <w:bCs/>
                      <w:sz w:val="21"/>
                      <w:szCs w:val="21"/>
                    </w:rPr>
                    <w:t>二开开次</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10F4B3">
                  <w:pPr>
                    <w:jc w:val="center"/>
                    <w:rPr>
                      <w:b/>
                      <w:bCs/>
                      <w:sz w:val="21"/>
                      <w:szCs w:val="21"/>
                    </w:rPr>
                  </w:pPr>
                  <w:r>
                    <w:rPr>
                      <w:rFonts w:hint="eastAsia"/>
                      <w:b/>
                      <w:bCs/>
                      <w:sz w:val="21"/>
                      <w:szCs w:val="21"/>
                    </w:rPr>
                    <w:t>三开开次</w:t>
                  </w:r>
                </w:p>
              </w:tc>
              <w:tc>
                <w:tcPr>
                  <w:tcW w:w="581"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3067DF">
                  <w:pPr>
                    <w:jc w:val="center"/>
                    <w:rPr>
                      <w:b/>
                      <w:bCs/>
                      <w:sz w:val="21"/>
                      <w:szCs w:val="21"/>
                    </w:rPr>
                  </w:pPr>
                </w:p>
              </w:tc>
              <w:tc>
                <w:tcPr>
                  <w:tcW w:w="52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D6DC3E">
                  <w:pPr>
                    <w:jc w:val="center"/>
                    <w:rPr>
                      <w:b/>
                      <w:bCs/>
                      <w:sz w:val="21"/>
                      <w:szCs w:val="21"/>
                    </w:rPr>
                  </w:pPr>
                </w:p>
              </w:tc>
              <w:tc>
                <w:tcPr>
                  <w:tcW w:w="635"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D0E375">
                  <w:pPr>
                    <w:jc w:val="center"/>
                    <w:rPr>
                      <w:b/>
                      <w:bCs/>
                      <w:sz w:val="21"/>
                      <w:szCs w:val="21"/>
                    </w:rPr>
                  </w:pPr>
                </w:p>
              </w:tc>
              <w:tc>
                <w:tcPr>
                  <w:tcW w:w="4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AD0CA">
                  <w:pPr>
                    <w:jc w:val="center"/>
                    <w:rPr>
                      <w:sz w:val="21"/>
                      <w:szCs w:val="21"/>
                    </w:rPr>
                  </w:pPr>
                </w:p>
              </w:tc>
            </w:tr>
            <w:tr w14:paraId="33FFA6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846C1F">
                  <w:pPr>
                    <w:jc w:val="center"/>
                    <w:rPr>
                      <w:sz w:val="21"/>
                      <w:szCs w:val="21"/>
                    </w:rPr>
                  </w:pPr>
                  <w:r>
                    <w:rPr>
                      <w:rFonts w:hint="eastAsia"/>
                      <w:sz w:val="21"/>
                      <w:szCs w:val="21"/>
                    </w:rPr>
                    <w:t>桂融页4-1</w:t>
                  </w:r>
                  <w:r>
                    <w:rPr>
                      <w:sz w:val="21"/>
                      <w:szCs w:val="21"/>
                    </w:rPr>
                    <w:t>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2E1C24">
                  <w:pPr>
                    <w:jc w:val="center"/>
                    <w:rPr>
                      <w:sz w:val="21"/>
                      <w:szCs w:val="21"/>
                    </w:rPr>
                  </w:pPr>
                  <w:r>
                    <w:rPr>
                      <w:rFonts w:hint="eastAsia"/>
                      <w:sz w:val="21"/>
                      <w:szCs w:val="21"/>
                    </w:rPr>
                    <w:t>/</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FA0C27">
                  <w:pPr>
                    <w:jc w:val="center"/>
                    <w:rPr>
                      <w:sz w:val="21"/>
                      <w:szCs w:val="21"/>
                    </w:rPr>
                  </w:pPr>
                  <w:r>
                    <w:rPr>
                      <w:rFonts w:hint="eastAsia"/>
                      <w:sz w:val="21"/>
                      <w:szCs w:val="21"/>
                    </w:rPr>
                    <w:t>/</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0EDCD0">
                  <w:pPr>
                    <w:jc w:val="center"/>
                    <w:rPr>
                      <w:sz w:val="21"/>
                      <w:szCs w:val="21"/>
                    </w:rPr>
                  </w:pPr>
                  <w:r>
                    <w:rPr>
                      <w:rFonts w:hint="eastAsia"/>
                      <w:sz w:val="21"/>
                      <w:szCs w:val="21"/>
                    </w:rPr>
                    <w:t>/</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6B338">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9FC443">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B3EF5">
                  <w:pPr>
                    <w:jc w:val="center"/>
                    <w:rPr>
                      <w:sz w:val="21"/>
                      <w:szCs w:val="21"/>
                    </w:rPr>
                  </w:pPr>
                  <w:r>
                    <w:rPr>
                      <w:rFonts w:hint="eastAsia"/>
                      <w:sz w:val="21"/>
                      <w:szCs w:val="21"/>
                    </w:rPr>
                    <w:t>30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8EF015">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7E4B9">
                  <w:pPr>
                    <w:jc w:val="center"/>
                    <w:rPr>
                      <w:sz w:val="21"/>
                      <w:szCs w:val="21"/>
                    </w:rPr>
                  </w:pPr>
                  <w:r>
                    <w:rPr>
                      <w:rFonts w:hint="eastAsia"/>
                      <w:sz w:val="21"/>
                      <w:szCs w:val="21"/>
                    </w:rPr>
                    <w:t>120</w:t>
                  </w:r>
                </w:p>
              </w:tc>
            </w:tr>
            <w:tr w14:paraId="0BA82B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CDF7C2">
                  <w:pPr>
                    <w:jc w:val="center"/>
                    <w:rPr>
                      <w:sz w:val="21"/>
                      <w:szCs w:val="21"/>
                    </w:rPr>
                  </w:pPr>
                  <w:r>
                    <w:rPr>
                      <w:rFonts w:hint="eastAsia"/>
                      <w:sz w:val="21"/>
                      <w:szCs w:val="21"/>
                    </w:rPr>
                    <w:t>桂融页4-</w:t>
                  </w:r>
                  <w:r>
                    <w:rPr>
                      <w:sz w:val="21"/>
                      <w:szCs w:val="21"/>
                    </w:rPr>
                    <w:t>2HF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A4A479">
                  <w:pPr>
                    <w:jc w:val="center"/>
                    <w:rPr>
                      <w:sz w:val="21"/>
                      <w:szCs w:val="21"/>
                    </w:rPr>
                  </w:pPr>
                  <w:r>
                    <w:rPr>
                      <w:rFonts w:hint="eastAsia"/>
                      <w:sz w:val="21"/>
                      <w:szCs w:val="21"/>
                    </w:rPr>
                    <w:t>10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B6E083">
                  <w:pPr>
                    <w:jc w:val="center"/>
                    <w:rPr>
                      <w:sz w:val="21"/>
                      <w:szCs w:val="21"/>
                    </w:rPr>
                  </w:pPr>
                  <w:r>
                    <w:rPr>
                      <w:rFonts w:hint="eastAsia"/>
                      <w:sz w:val="21"/>
                      <w:szCs w:val="21"/>
                    </w:rPr>
                    <w:t>10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DDBD8">
                  <w:pPr>
                    <w:jc w:val="center"/>
                    <w:rPr>
                      <w:sz w:val="21"/>
                      <w:szCs w:val="21"/>
                    </w:rPr>
                  </w:pPr>
                  <w:r>
                    <w:rPr>
                      <w:rFonts w:hint="eastAsia"/>
                      <w:sz w:val="21"/>
                      <w:szCs w:val="21"/>
                    </w:rPr>
                    <w:t>10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C8C655">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50224F">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9A833E">
                  <w:pPr>
                    <w:jc w:val="center"/>
                    <w:rPr>
                      <w:sz w:val="21"/>
                      <w:szCs w:val="21"/>
                    </w:rPr>
                  </w:pPr>
                  <w:r>
                    <w:rPr>
                      <w:rFonts w:hint="eastAsia"/>
                      <w:sz w:val="21"/>
                      <w:szCs w:val="21"/>
                    </w:rPr>
                    <w:t>60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F65139">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C788C">
                  <w:pPr>
                    <w:jc w:val="center"/>
                    <w:rPr>
                      <w:sz w:val="21"/>
                      <w:szCs w:val="21"/>
                    </w:rPr>
                  </w:pPr>
                  <w:r>
                    <w:rPr>
                      <w:rFonts w:hint="eastAsia"/>
                      <w:sz w:val="21"/>
                      <w:szCs w:val="21"/>
                    </w:rPr>
                    <w:t>120</w:t>
                  </w:r>
                </w:p>
              </w:tc>
            </w:tr>
            <w:tr w14:paraId="7044B8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4C3950">
                  <w:pPr>
                    <w:jc w:val="center"/>
                    <w:rPr>
                      <w:sz w:val="21"/>
                      <w:szCs w:val="21"/>
                    </w:rPr>
                  </w:pPr>
                  <w:r>
                    <w:rPr>
                      <w:rFonts w:hint="eastAsia"/>
                      <w:sz w:val="21"/>
                      <w:szCs w:val="21"/>
                    </w:rPr>
                    <w:t>桂融页4-</w:t>
                  </w:r>
                  <w:r>
                    <w:rPr>
                      <w:sz w:val="21"/>
                      <w:szCs w:val="21"/>
                    </w:rPr>
                    <w:t>3HF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A9CCC">
                  <w:pPr>
                    <w:jc w:val="center"/>
                    <w:rPr>
                      <w:sz w:val="21"/>
                      <w:szCs w:val="21"/>
                    </w:rPr>
                  </w:pPr>
                  <w:r>
                    <w:rPr>
                      <w:rFonts w:hint="eastAsia"/>
                      <w:sz w:val="21"/>
                      <w:szCs w:val="21"/>
                    </w:rPr>
                    <w:t>10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1E695">
                  <w:pPr>
                    <w:jc w:val="center"/>
                    <w:rPr>
                      <w:sz w:val="21"/>
                      <w:szCs w:val="21"/>
                    </w:rPr>
                  </w:pPr>
                  <w:r>
                    <w:rPr>
                      <w:rFonts w:hint="eastAsia"/>
                      <w:sz w:val="21"/>
                      <w:szCs w:val="21"/>
                    </w:rPr>
                    <w:t>10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CA5D32">
                  <w:pPr>
                    <w:jc w:val="center"/>
                    <w:rPr>
                      <w:sz w:val="21"/>
                      <w:szCs w:val="21"/>
                    </w:rPr>
                  </w:pPr>
                  <w:r>
                    <w:rPr>
                      <w:rFonts w:hint="eastAsia"/>
                      <w:sz w:val="21"/>
                      <w:szCs w:val="21"/>
                    </w:rPr>
                    <w:t>10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6921B">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6C7947">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28B2C6">
                  <w:pPr>
                    <w:jc w:val="center"/>
                    <w:rPr>
                      <w:sz w:val="21"/>
                      <w:szCs w:val="21"/>
                    </w:rPr>
                  </w:pPr>
                  <w:r>
                    <w:rPr>
                      <w:rFonts w:hint="eastAsia"/>
                      <w:sz w:val="21"/>
                      <w:szCs w:val="21"/>
                    </w:rPr>
                    <w:t>60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CB58B">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3FEB9">
                  <w:pPr>
                    <w:jc w:val="center"/>
                    <w:rPr>
                      <w:sz w:val="21"/>
                      <w:szCs w:val="21"/>
                    </w:rPr>
                  </w:pPr>
                  <w:r>
                    <w:rPr>
                      <w:rFonts w:hint="eastAsia"/>
                      <w:sz w:val="21"/>
                      <w:szCs w:val="21"/>
                    </w:rPr>
                    <w:t>120</w:t>
                  </w:r>
                </w:p>
              </w:tc>
            </w:tr>
            <w:tr w14:paraId="5CF16F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F9AD59">
                  <w:pPr>
                    <w:jc w:val="center"/>
                    <w:rPr>
                      <w:sz w:val="21"/>
                      <w:szCs w:val="21"/>
                    </w:rPr>
                  </w:pPr>
                  <w:r>
                    <w:rPr>
                      <w:rFonts w:hint="eastAsia"/>
                      <w:sz w:val="21"/>
                      <w:szCs w:val="21"/>
                    </w:rPr>
                    <w:t>桂融页4-</w:t>
                  </w:r>
                  <w:r>
                    <w:rPr>
                      <w:sz w:val="21"/>
                      <w:szCs w:val="21"/>
                    </w:rPr>
                    <w:t>4HF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F7638E">
                  <w:pPr>
                    <w:jc w:val="center"/>
                    <w:rPr>
                      <w:sz w:val="21"/>
                      <w:szCs w:val="21"/>
                    </w:rPr>
                  </w:pPr>
                  <w:r>
                    <w:rPr>
                      <w:rFonts w:hint="eastAsia"/>
                      <w:sz w:val="21"/>
                      <w:szCs w:val="21"/>
                    </w:rPr>
                    <w:t>10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847E51">
                  <w:pPr>
                    <w:jc w:val="center"/>
                    <w:rPr>
                      <w:sz w:val="21"/>
                      <w:szCs w:val="21"/>
                    </w:rPr>
                  </w:pPr>
                  <w:r>
                    <w:rPr>
                      <w:rFonts w:hint="eastAsia"/>
                      <w:sz w:val="21"/>
                      <w:szCs w:val="21"/>
                    </w:rPr>
                    <w:t>10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986F0">
                  <w:pPr>
                    <w:jc w:val="center"/>
                    <w:rPr>
                      <w:sz w:val="21"/>
                      <w:szCs w:val="21"/>
                    </w:rPr>
                  </w:pPr>
                  <w:r>
                    <w:rPr>
                      <w:rFonts w:hint="eastAsia"/>
                      <w:sz w:val="21"/>
                      <w:szCs w:val="21"/>
                    </w:rPr>
                    <w:t>10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4E983">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1D8C22">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F69359">
                  <w:pPr>
                    <w:jc w:val="center"/>
                    <w:rPr>
                      <w:sz w:val="21"/>
                      <w:szCs w:val="21"/>
                    </w:rPr>
                  </w:pPr>
                  <w:r>
                    <w:rPr>
                      <w:rFonts w:hint="eastAsia"/>
                      <w:sz w:val="21"/>
                      <w:szCs w:val="21"/>
                    </w:rPr>
                    <w:t>60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AA23EE">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9B443F">
                  <w:pPr>
                    <w:jc w:val="center"/>
                    <w:rPr>
                      <w:sz w:val="21"/>
                      <w:szCs w:val="21"/>
                    </w:rPr>
                  </w:pPr>
                  <w:r>
                    <w:rPr>
                      <w:rFonts w:hint="eastAsia"/>
                      <w:sz w:val="21"/>
                      <w:szCs w:val="21"/>
                    </w:rPr>
                    <w:t>120</w:t>
                  </w:r>
                </w:p>
              </w:tc>
            </w:tr>
            <w:tr w14:paraId="55FCC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AF8F37">
                  <w:pPr>
                    <w:jc w:val="center"/>
                    <w:rPr>
                      <w:sz w:val="21"/>
                      <w:szCs w:val="21"/>
                    </w:rPr>
                  </w:pPr>
                  <w:r>
                    <w:rPr>
                      <w:rFonts w:hint="eastAsia"/>
                      <w:sz w:val="21"/>
                      <w:szCs w:val="21"/>
                    </w:rPr>
                    <w:t>桂融页4-</w:t>
                  </w:r>
                  <w:r>
                    <w:rPr>
                      <w:sz w:val="21"/>
                      <w:szCs w:val="21"/>
                    </w:rPr>
                    <w:t>5HF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A8942">
                  <w:pPr>
                    <w:jc w:val="center"/>
                    <w:rPr>
                      <w:sz w:val="21"/>
                      <w:szCs w:val="21"/>
                    </w:rPr>
                  </w:pPr>
                  <w:r>
                    <w:rPr>
                      <w:rFonts w:hint="eastAsia"/>
                      <w:sz w:val="21"/>
                      <w:szCs w:val="21"/>
                    </w:rPr>
                    <w:t>10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9DAD0">
                  <w:pPr>
                    <w:jc w:val="center"/>
                    <w:rPr>
                      <w:sz w:val="21"/>
                      <w:szCs w:val="21"/>
                    </w:rPr>
                  </w:pPr>
                  <w:r>
                    <w:rPr>
                      <w:rFonts w:hint="eastAsia"/>
                      <w:sz w:val="21"/>
                      <w:szCs w:val="21"/>
                    </w:rPr>
                    <w:t>10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7E3FEF">
                  <w:pPr>
                    <w:jc w:val="center"/>
                    <w:rPr>
                      <w:sz w:val="21"/>
                      <w:szCs w:val="21"/>
                    </w:rPr>
                  </w:pPr>
                  <w:r>
                    <w:rPr>
                      <w:rFonts w:hint="eastAsia"/>
                      <w:sz w:val="21"/>
                      <w:szCs w:val="21"/>
                    </w:rPr>
                    <w:t>10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853F2">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25946">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EAAE39">
                  <w:pPr>
                    <w:jc w:val="center"/>
                    <w:rPr>
                      <w:sz w:val="21"/>
                      <w:szCs w:val="21"/>
                    </w:rPr>
                  </w:pPr>
                  <w:r>
                    <w:rPr>
                      <w:rFonts w:hint="eastAsia"/>
                      <w:sz w:val="21"/>
                      <w:szCs w:val="21"/>
                    </w:rPr>
                    <w:t>60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72D861">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E36F7F">
                  <w:pPr>
                    <w:jc w:val="center"/>
                    <w:rPr>
                      <w:sz w:val="21"/>
                      <w:szCs w:val="21"/>
                    </w:rPr>
                  </w:pPr>
                  <w:r>
                    <w:rPr>
                      <w:rFonts w:hint="eastAsia"/>
                      <w:sz w:val="21"/>
                      <w:szCs w:val="21"/>
                    </w:rPr>
                    <w:t>120</w:t>
                  </w:r>
                </w:p>
              </w:tc>
            </w:tr>
            <w:tr w14:paraId="0D6549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344679">
                  <w:pPr>
                    <w:jc w:val="center"/>
                    <w:rPr>
                      <w:sz w:val="21"/>
                      <w:szCs w:val="21"/>
                    </w:rPr>
                  </w:pPr>
                  <w:r>
                    <w:rPr>
                      <w:rFonts w:hint="eastAsia"/>
                      <w:sz w:val="21"/>
                      <w:szCs w:val="21"/>
                    </w:rPr>
                    <w:t>桂融页4-</w:t>
                  </w:r>
                  <w:r>
                    <w:rPr>
                      <w:sz w:val="21"/>
                      <w:szCs w:val="21"/>
                    </w:rPr>
                    <w:t>6HF</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3D0900">
                  <w:pPr>
                    <w:jc w:val="center"/>
                    <w:rPr>
                      <w:sz w:val="21"/>
                      <w:szCs w:val="21"/>
                    </w:rPr>
                  </w:pPr>
                  <w:r>
                    <w:rPr>
                      <w:rFonts w:hint="eastAsia"/>
                      <w:sz w:val="21"/>
                      <w:szCs w:val="21"/>
                    </w:rPr>
                    <w:t>10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C0C755">
                  <w:pPr>
                    <w:jc w:val="center"/>
                    <w:rPr>
                      <w:sz w:val="21"/>
                      <w:szCs w:val="21"/>
                    </w:rPr>
                  </w:pPr>
                  <w:r>
                    <w:rPr>
                      <w:rFonts w:hint="eastAsia"/>
                      <w:sz w:val="21"/>
                      <w:szCs w:val="21"/>
                    </w:rPr>
                    <w:t>10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FDE3DC">
                  <w:pPr>
                    <w:jc w:val="center"/>
                    <w:rPr>
                      <w:sz w:val="21"/>
                      <w:szCs w:val="21"/>
                    </w:rPr>
                  </w:pPr>
                  <w:r>
                    <w:rPr>
                      <w:rFonts w:hint="eastAsia"/>
                      <w:sz w:val="21"/>
                      <w:szCs w:val="21"/>
                    </w:rPr>
                    <w:t>10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A8FC8D">
                  <w:pPr>
                    <w:jc w:val="center"/>
                    <w:rPr>
                      <w:sz w:val="21"/>
                      <w:szCs w:val="21"/>
                    </w:rPr>
                  </w:pPr>
                  <w:r>
                    <w:rPr>
                      <w:rFonts w:hint="eastAsia"/>
                      <w:sz w:val="21"/>
                      <w:szCs w:val="21"/>
                    </w:rPr>
                    <w:t>10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4D90E3">
                  <w:pPr>
                    <w:jc w:val="center"/>
                    <w:rPr>
                      <w:sz w:val="21"/>
                      <w:szCs w:val="21"/>
                    </w:rPr>
                  </w:pPr>
                  <w:r>
                    <w:rPr>
                      <w:rFonts w:hint="eastAsia"/>
                      <w:sz w:val="21"/>
                      <w:szCs w:val="21"/>
                    </w:rPr>
                    <w:t>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9AD97C">
                  <w:pPr>
                    <w:jc w:val="center"/>
                    <w:rPr>
                      <w:sz w:val="21"/>
                      <w:szCs w:val="21"/>
                    </w:rPr>
                  </w:pPr>
                  <w:r>
                    <w:rPr>
                      <w:rFonts w:hint="eastAsia"/>
                      <w:sz w:val="21"/>
                      <w:szCs w:val="21"/>
                    </w:rPr>
                    <w:t>60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55E8E">
                  <w:pPr>
                    <w:jc w:val="center"/>
                    <w:rPr>
                      <w:sz w:val="21"/>
                      <w:szCs w:val="21"/>
                    </w:rPr>
                  </w:pPr>
                  <w:r>
                    <w:rPr>
                      <w:rFonts w:hint="eastAsia"/>
                      <w:sz w:val="21"/>
                      <w:szCs w:val="21"/>
                    </w:rPr>
                    <w:t>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07ACB6">
                  <w:pPr>
                    <w:jc w:val="center"/>
                    <w:rPr>
                      <w:sz w:val="21"/>
                      <w:szCs w:val="21"/>
                    </w:rPr>
                  </w:pPr>
                  <w:r>
                    <w:rPr>
                      <w:rFonts w:hint="eastAsia"/>
                      <w:sz w:val="21"/>
                      <w:szCs w:val="21"/>
                    </w:rPr>
                    <w:t>120</w:t>
                  </w:r>
                </w:p>
              </w:tc>
            </w:tr>
            <w:tr w14:paraId="37A34B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51C53">
                  <w:pPr>
                    <w:jc w:val="center"/>
                    <w:rPr>
                      <w:sz w:val="21"/>
                      <w:szCs w:val="21"/>
                    </w:rPr>
                  </w:pPr>
                  <w:r>
                    <w:rPr>
                      <w:rFonts w:hint="eastAsia"/>
                      <w:sz w:val="21"/>
                      <w:szCs w:val="21"/>
                    </w:rPr>
                    <w:t>合计</w:t>
                  </w:r>
                </w:p>
              </w:tc>
              <w:tc>
                <w:tcPr>
                  <w:tcW w:w="55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E5962F">
                  <w:pPr>
                    <w:jc w:val="center"/>
                    <w:rPr>
                      <w:sz w:val="21"/>
                      <w:szCs w:val="21"/>
                    </w:rPr>
                  </w:pPr>
                  <w:r>
                    <w:rPr>
                      <w:rFonts w:hint="eastAsia"/>
                      <w:sz w:val="21"/>
                      <w:szCs w:val="21"/>
                    </w:rPr>
                    <w:t>50</w:t>
                  </w:r>
                </w:p>
              </w:tc>
              <w:tc>
                <w:tcPr>
                  <w:tcW w:w="5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3A7AFE">
                  <w:pPr>
                    <w:jc w:val="center"/>
                    <w:rPr>
                      <w:sz w:val="21"/>
                      <w:szCs w:val="21"/>
                    </w:rPr>
                  </w:pPr>
                  <w:r>
                    <w:rPr>
                      <w:rFonts w:hint="eastAsia"/>
                      <w:sz w:val="21"/>
                      <w:szCs w:val="21"/>
                    </w:rPr>
                    <w:t>50</w:t>
                  </w:r>
                </w:p>
              </w:tc>
              <w:tc>
                <w:tcPr>
                  <w:tcW w:w="50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263B6E">
                  <w:pPr>
                    <w:jc w:val="center"/>
                    <w:rPr>
                      <w:sz w:val="21"/>
                      <w:szCs w:val="21"/>
                    </w:rPr>
                  </w:pPr>
                  <w:r>
                    <w:rPr>
                      <w:rFonts w:hint="eastAsia"/>
                      <w:sz w:val="21"/>
                      <w:szCs w:val="21"/>
                    </w:rPr>
                    <w:t>50</w:t>
                  </w:r>
                </w:p>
              </w:tc>
              <w:tc>
                <w:tcPr>
                  <w:tcW w:w="5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1E9F55">
                  <w:pPr>
                    <w:jc w:val="center"/>
                    <w:rPr>
                      <w:sz w:val="21"/>
                      <w:szCs w:val="21"/>
                    </w:rPr>
                  </w:pPr>
                  <w:r>
                    <w:rPr>
                      <w:rFonts w:hint="eastAsia"/>
                      <w:sz w:val="21"/>
                      <w:szCs w:val="21"/>
                    </w:rPr>
                    <w:t>60</w:t>
                  </w:r>
                </w:p>
              </w:tc>
              <w:tc>
                <w:tcPr>
                  <w:tcW w:w="58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063A93">
                  <w:pPr>
                    <w:jc w:val="center"/>
                    <w:rPr>
                      <w:sz w:val="21"/>
                      <w:szCs w:val="21"/>
                    </w:rPr>
                  </w:pPr>
                  <w:r>
                    <w:rPr>
                      <w:rFonts w:hint="eastAsia"/>
                      <w:sz w:val="21"/>
                      <w:szCs w:val="21"/>
                    </w:rPr>
                    <w:t>120</w:t>
                  </w:r>
                </w:p>
              </w:tc>
              <w:tc>
                <w:tcPr>
                  <w:tcW w:w="52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FE577">
                  <w:pPr>
                    <w:jc w:val="center"/>
                    <w:rPr>
                      <w:sz w:val="21"/>
                      <w:szCs w:val="21"/>
                    </w:rPr>
                  </w:pPr>
                  <w:r>
                    <w:rPr>
                      <w:rFonts w:hint="eastAsia"/>
                      <w:sz w:val="21"/>
                      <w:szCs w:val="21"/>
                    </w:rPr>
                    <w:t>330</w:t>
                  </w:r>
                </w:p>
              </w:tc>
              <w:tc>
                <w:tcPr>
                  <w:tcW w:w="63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2BF04">
                  <w:pPr>
                    <w:jc w:val="center"/>
                    <w:rPr>
                      <w:sz w:val="21"/>
                      <w:szCs w:val="21"/>
                    </w:rPr>
                  </w:pPr>
                  <w:r>
                    <w:rPr>
                      <w:rFonts w:hint="eastAsia"/>
                      <w:sz w:val="21"/>
                      <w:szCs w:val="21"/>
                    </w:rPr>
                    <w:t>240</w:t>
                  </w:r>
                </w:p>
              </w:tc>
              <w:tc>
                <w:tcPr>
                  <w:tcW w:w="4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C8B894">
                  <w:pPr>
                    <w:jc w:val="center"/>
                    <w:rPr>
                      <w:sz w:val="21"/>
                      <w:szCs w:val="21"/>
                    </w:rPr>
                  </w:pPr>
                  <w:r>
                    <w:rPr>
                      <w:rFonts w:hint="eastAsia"/>
                      <w:sz w:val="21"/>
                      <w:szCs w:val="21"/>
                    </w:rPr>
                    <w:t>720</w:t>
                  </w:r>
                </w:p>
              </w:tc>
            </w:tr>
          </w:tbl>
          <w:p w14:paraId="02E52C63">
            <w:pPr>
              <w:adjustRightInd w:val="0"/>
              <w:snapToGrid w:val="0"/>
              <w:spacing w:line="360" w:lineRule="auto"/>
              <w:ind w:firstLine="480" w:firstLineChars="200"/>
              <w:rPr>
                <w:color w:val="auto"/>
                <w:kern w:val="0"/>
                <w:szCs w:val="21"/>
              </w:rPr>
            </w:pPr>
          </w:p>
        </w:tc>
      </w:tr>
      <w:tr w14:paraId="476394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83" w:hRule="atLeast"/>
          <w:jc w:val="center"/>
        </w:trPr>
        <w:tc>
          <w:tcPr>
            <w:tcW w:w="710" w:type="dxa"/>
            <w:vAlign w:val="center"/>
          </w:tcPr>
          <w:p w14:paraId="54167A23">
            <w:pPr>
              <w:adjustRightInd w:val="0"/>
              <w:snapToGrid w:val="0"/>
              <w:jc w:val="center"/>
              <w:rPr>
                <w:color w:val="auto"/>
                <w:kern w:val="0"/>
                <w:szCs w:val="21"/>
              </w:rPr>
            </w:pPr>
            <w:r>
              <w:rPr>
                <w:color w:val="auto"/>
                <w:kern w:val="0"/>
                <w:szCs w:val="21"/>
              </w:rPr>
              <w:t>其他</w:t>
            </w:r>
          </w:p>
        </w:tc>
        <w:tc>
          <w:tcPr>
            <w:tcW w:w="8380" w:type="dxa"/>
            <w:vAlign w:val="center"/>
          </w:tcPr>
          <w:p w14:paraId="7D588141">
            <w:pPr>
              <w:adjustRightInd w:val="0"/>
              <w:snapToGrid w:val="0"/>
              <w:rPr>
                <w:color w:val="auto"/>
                <w:kern w:val="0"/>
                <w:szCs w:val="21"/>
              </w:rPr>
            </w:pPr>
            <w:r>
              <w:rPr>
                <w:rFonts w:hint="eastAsia"/>
                <w:color w:val="auto"/>
                <w:kern w:val="0"/>
                <w:szCs w:val="21"/>
              </w:rPr>
              <w:t>无</w:t>
            </w:r>
          </w:p>
        </w:tc>
      </w:tr>
    </w:tbl>
    <w:p w14:paraId="52346150">
      <w:pPr>
        <w:spacing w:line="360" w:lineRule="auto"/>
        <w:rPr>
          <w:color w:val="auto"/>
        </w:rPr>
      </w:pPr>
    </w:p>
    <w:p w14:paraId="3E860DAF">
      <w:pPr>
        <w:rPr>
          <w:color w:val="auto"/>
        </w:rPr>
        <w:sectPr>
          <w:pgSz w:w="11906" w:h="16838"/>
          <w:pgMar w:top="1417" w:right="1417" w:bottom="1417" w:left="1417" w:header="851" w:footer="992" w:gutter="0"/>
          <w:cols w:space="425" w:num="1"/>
          <w:docGrid w:type="lines" w:linePitch="312" w:charSpace="0"/>
        </w:sectPr>
      </w:pPr>
    </w:p>
    <w:p w14:paraId="37C7C153">
      <w:pPr>
        <w:pStyle w:val="2"/>
        <w:rPr>
          <w:color w:val="auto"/>
        </w:rPr>
      </w:pPr>
      <w:bookmarkStart w:id="24" w:name="_Toc6087"/>
      <w:r>
        <w:rPr>
          <w:rFonts w:hint="eastAsia"/>
          <w:color w:val="auto"/>
        </w:rPr>
        <w:t>三、生态环境现状、保护目标及评价标准</w:t>
      </w:r>
      <w:bookmarkEnd w:id="24"/>
    </w:p>
    <w:tbl>
      <w:tblPr>
        <w:tblStyle w:val="19"/>
        <w:tblW w:w="915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8263"/>
      </w:tblGrid>
      <w:tr w14:paraId="419132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12" w:hRule="atLeast"/>
          <w:jc w:val="center"/>
        </w:trPr>
        <w:tc>
          <w:tcPr>
            <w:tcW w:w="894" w:type="dxa"/>
            <w:vAlign w:val="center"/>
          </w:tcPr>
          <w:p w14:paraId="05506353">
            <w:pPr>
              <w:adjustRightInd w:val="0"/>
              <w:snapToGrid w:val="0"/>
              <w:jc w:val="center"/>
              <w:rPr>
                <w:rFonts w:ascii="宋体" w:hAnsi="宋体" w:cs="宋体"/>
                <w:color w:val="auto"/>
                <w:kern w:val="0"/>
                <w:szCs w:val="21"/>
              </w:rPr>
            </w:pPr>
            <w:r>
              <w:rPr>
                <w:rFonts w:hint="eastAsia" w:ascii="宋体" w:hAnsi="宋体" w:cs="宋体"/>
                <w:color w:val="auto"/>
                <w:kern w:val="0"/>
                <w:szCs w:val="21"/>
              </w:rPr>
              <w:t>生态环境现状</w:t>
            </w:r>
          </w:p>
        </w:tc>
        <w:tc>
          <w:tcPr>
            <w:tcW w:w="8263" w:type="dxa"/>
            <w:vAlign w:val="center"/>
          </w:tcPr>
          <w:p w14:paraId="77FF1647">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b/>
                <w:bCs/>
              </w:rPr>
              <w:t>1、生态环境</w:t>
            </w:r>
            <w:r>
              <w:rPr>
                <w:rFonts w:hint="eastAsia"/>
                <w:b/>
                <w:bCs/>
              </w:rPr>
              <w:t>质量</w:t>
            </w:r>
            <w:r>
              <w:rPr>
                <w:b/>
                <w:bCs/>
              </w:rPr>
              <w:t>现状</w:t>
            </w:r>
          </w:p>
          <w:p w14:paraId="1006ABAA">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1.1主体功能区划</w:t>
            </w:r>
          </w:p>
          <w:p w14:paraId="6AF454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项目位于</w:t>
            </w:r>
            <w:r>
              <w:t>广西柳州市融水县和睦镇</w:t>
            </w:r>
            <w:r>
              <w:rPr>
                <w:rFonts w:hint="eastAsia"/>
              </w:rPr>
              <w:t>，根据《</w:t>
            </w:r>
            <w:r>
              <w:t>广西壮族自治区主体功能区规划</w:t>
            </w:r>
            <w:r>
              <w:rPr>
                <w:rFonts w:hint="eastAsia"/>
              </w:rPr>
              <w:t>》，项目所在地属于国家层面限制开发区域（</w:t>
            </w:r>
            <w:r>
              <w:t>重点生态功能区</w:t>
            </w:r>
            <w:r>
              <w:rPr>
                <w:rFonts w:hint="eastAsia"/>
              </w:rPr>
              <w:t>）。</w:t>
            </w:r>
          </w:p>
          <w:p w14:paraId="3A5F5C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lang w:val="zh-CN"/>
              </w:rPr>
            </w:pPr>
            <w:r>
              <w:rPr>
                <w:rFonts w:hint="eastAsia"/>
              </w:rPr>
              <w:t>该地区的定位是提供生态产品、保护环境的重要区域，保障国家和地方生态安全的重要屏障，人与自然和谐相处的示范区。发展方向是</w:t>
            </w:r>
            <w:r>
              <w:rPr>
                <w:rFonts w:hint="eastAsia"/>
                <w:lang w:val="zh-CN"/>
              </w:rPr>
              <w:t>以保护和修复生态环境、提供生态产品为首要任务，不宜进行大规模高强度工业化城镇化开发，可实行保护性开发，因地制宜发展资源环境可承载的适宜产业和旅游业等服务业，引导部分人口逐步有序转移，根据不同地区的生态系统特征，增强生态服务功能，形成重要的生态功能区。能源和矿产资源丰富的地区，按照“点状开发、面上保护”原则，适度开发能源和矿产资源，发展当地资源环境可承载的特色优势产业。按照国家和自治区综合交通网络建设规划布局，统筹规划建设交通基础设施。</w:t>
            </w:r>
            <w:r>
              <w:rPr>
                <w:rFonts w:hint="eastAsia"/>
              </w:rPr>
              <w:t>同时为</w:t>
            </w:r>
            <w:r>
              <w:rPr>
                <w:rFonts w:hint="eastAsia"/>
                <w:lang w:val="zh-CN"/>
              </w:rPr>
              <w:t>桂西生态屏障，</w:t>
            </w:r>
            <w:r>
              <w:rPr>
                <w:rFonts w:hint="eastAsia"/>
              </w:rPr>
              <w:t>是</w:t>
            </w:r>
            <w:r>
              <w:rPr>
                <w:rFonts w:hint="eastAsia"/>
                <w:lang w:val="zh-CN"/>
              </w:rPr>
              <w:t>以资源、龙胜、三江、融水、上林、马山、忻城、都安、大化、东兰、巴马、凤山、天峨、凌云、乐业等15个国家级重点生态功能区的县，以及罗城、环江2个自治区级重点生态功能区的县为重点，着力加强以石漠化治理、恢复林草植被、水源涵养、生物多样性保护为主要内容的生态建设。</w:t>
            </w:r>
          </w:p>
          <w:p w14:paraId="777F07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lang w:val="zh-CN"/>
              </w:rPr>
            </w:pPr>
            <w:r>
              <w:rPr>
                <w:rFonts w:hint="eastAsia"/>
              </w:rPr>
              <w:t>项目属于</w:t>
            </w:r>
            <w:r>
              <w:rPr>
                <w:lang w:val="zh-CN"/>
              </w:rPr>
              <w:t>陆地矿产资源地质勘查</w:t>
            </w:r>
            <w:r>
              <w:rPr>
                <w:rFonts w:hint="eastAsia"/>
                <w:lang w:val="zh-CN"/>
              </w:rPr>
              <w:t>，</w:t>
            </w:r>
            <w:r>
              <w:rPr>
                <w:rFonts w:hint="eastAsia"/>
              </w:rPr>
              <w:t>在原有占地面积不变的基础上进行改扩建，在一口井的基础上再增加5口井。本项目</w:t>
            </w:r>
            <w:r>
              <w:rPr>
                <w:rFonts w:hint="eastAsia"/>
                <w:lang w:val="en-US" w:eastAsia="zh-CN"/>
              </w:rPr>
              <w:t>涉及</w:t>
            </w:r>
            <w:r>
              <w:rPr>
                <w:rFonts w:hint="eastAsia"/>
              </w:rPr>
              <w:t>占用耕地、园地，</w:t>
            </w:r>
            <w:r>
              <w:rPr>
                <w:lang w:val="zh-CN"/>
              </w:rPr>
              <w:t>不涉及国家或自治区级自然保护区、风景名胜区、森林公园和集中式饮用水水源保护区</w:t>
            </w:r>
            <w:r>
              <w:rPr>
                <w:rFonts w:hint="eastAsia"/>
                <w:lang w:val="zh-CN"/>
              </w:rPr>
              <w:t>，不在生态保护红线区域、永久基本农田集中区域，</w:t>
            </w:r>
            <w:r>
              <w:rPr>
                <w:rFonts w:hint="eastAsia"/>
              </w:rPr>
              <w:t>同时边施工边复垦，施工结束后完成土地复垦，对环境影响较小。综上，</w:t>
            </w:r>
            <w:r>
              <w:rPr>
                <w:rFonts w:hint="eastAsia"/>
                <w:lang w:val="zh-CN"/>
              </w:rPr>
              <w:t>本项目与《</w:t>
            </w:r>
            <w:r>
              <w:t>广西壮族自治区主体功能区规划</w:t>
            </w:r>
            <w:r>
              <w:rPr>
                <w:rFonts w:hint="eastAsia"/>
                <w:lang w:val="zh-CN"/>
              </w:rPr>
              <w:t>》相符。项目与</w:t>
            </w:r>
            <w:r>
              <w:rPr>
                <w:rFonts w:hint="eastAsia"/>
              </w:rPr>
              <w:t>广西</w:t>
            </w:r>
            <w:r>
              <w:t>壮族自治区</w:t>
            </w:r>
            <w:r>
              <w:rPr>
                <w:rFonts w:hint="eastAsia"/>
                <w:lang w:val="zh-CN"/>
              </w:rPr>
              <w:t>主体功能区规划位置关系见</w:t>
            </w:r>
            <w:r>
              <w:rPr>
                <w:rFonts w:hint="eastAsia"/>
                <w:b/>
                <w:bCs/>
                <w:lang w:val="zh-CN"/>
              </w:rPr>
              <w:t>附图</w:t>
            </w:r>
            <w:r>
              <w:rPr>
                <w:rFonts w:hint="eastAsia"/>
                <w:b/>
                <w:bCs/>
              </w:rPr>
              <w:t>8</w:t>
            </w:r>
            <w:r>
              <w:rPr>
                <w:rFonts w:hint="eastAsia"/>
                <w:lang w:val="zh-CN"/>
              </w:rPr>
              <w:t>。</w:t>
            </w:r>
          </w:p>
          <w:p w14:paraId="5F5E6F39">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1.2生态功能区划</w:t>
            </w:r>
          </w:p>
          <w:p w14:paraId="44DDBC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本项目位于</w:t>
            </w:r>
            <w:r>
              <w:t>广西柳州市融水县和睦镇</w:t>
            </w:r>
            <w:r>
              <w:rPr>
                <w:rFonts w:hint="eastAsia"/>
              </w:rPr>
              <w:t>，根据《</w:t>
            </w:r>
            <w:r>
              <w:t>广西壮族自治区</w:t>
            </w:r>
            <w:r>
              <w:rPr>
                <w:rFonts w:hint="eastAsia"/>
              </w:rPr>
              <w:t>生态</w:t>
            </w:r>
            <w:r>
              <w:t>功能区划</w:t>
            </w:r>
            <w:r>
              <w:rPr>
                <w:rFonts w:hint="eastAsia"/>
              </w:rPr>
              <w:t>》，项目位于</w:t>
            </w:r>
            <w:r>
              <w:t>2-1-5融水-罗城-宜州-柳城岩溶峰林谷地农林产品提供功能区</w:t>
            </w:r>
            <w:r>
              <w:rPr>
                <w:rFonts w:hint="eastAsia"/>
              </w:rPr>
              <w:t>，根据《柳州市生态功能区划》，本项目位于柳州市生态功能区03-1融水-融安-柳城岩溶峰林谷地农林产品提供功能区，见</w:t>
            </w:r>
            <w:r>
              <w:rPr>
                <w:rFonts w:hint="eastAsia"/>
                <w:b/>
                <w:bCs/>
              </w:rPr>
              <w:t>附图7</w:t>
            </w:r>
            <w:r>
              <w:rPr>
                <w:rFonts w:hint="eastAsia"/>
              </w:rPr>
              <w:t>。</w:t>
            </w:r>
          </w:p>
          <w:p w14:paraId="09A63E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lang w:val="zh-CN"/>
              </w:rPr>
            </w:pPr>
            <w:r>
              <w:rPr>
                <w:rFonts w:hint="eastAsia"/>
              </w:rPr>
              <w:t>农产品提供功能区</w:t>
            </w:r>
            <w:r>
              <w:rPr>
                <w:lang w:val="zh-CN"/>
              </w:rPr>
              <w:t>主要生态问题：耕地面积减少，土壤肥力下降；农业面源污染及城镇生活污水污染比较突出；部分农业区干旱；林种结构单一，森林质量下降；矿产开采造成的植被破坏、水土流失问题比较突出。</w:t>
            </w:r>
          </w:p>
          <w:p w14:paraId="49ADCDE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lang w:val="zh-CN"/>
              </w:rPr>
            </w:pPr>
            <w:r>
              <w:rPr>
                <w:lang w:val="zh-CN"/>
              </w:rPr>
              <w:t>生态保护主要方向与措施：调整农业产业和农村经济结构，合理组织农业生产和农村经济活动；坚持保护基本农田；加强农田基本建设，增强抗自然灾害的能力；推行农业标准化和生态化生产，发展无公害农产品、绿色食品和有机食品；加快农村沼气建设，推广“养殖-沼气-种果”生态农业模式；协调木材生产与生态功能保护的关系，科学布局和种植速生丰产林区，合理采伐，实现采育平衡；加快城镇环保基础设施建设，加强城乡环境综合整治。</w:t>
            </w:r>
          </w:p>
          <w:p w14:paraId="2BC1B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本项目保持扩建前的占地面积，钻探结束后项目用地恢复原地貌，不在禁止开发区，不在重点保护区内，符合《广西壮族自治区生态功能区划》要求。本项目在广西壮族自治区生态功能区划图中的位置见</w:t>
            </w:r>
            <w:r>
              <w:rPr>
                <w:rFonts w:hint="eastAsia"/>
                <w:b/>
                <w:bCs/>
              </w:rPr>
              <w:t>附图9</w:t>
            </w:r>
            <w:r>
              <w:rPr>
                <w:rFonts w:hint="eastAsia"/>
              </w:rPr>
              <w:t>。</w:t>
            </w:r>
          </w:p>
          <w:p w14:paraId="42ED0E90">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1.3土壤概括</w:t>
            </w:r>
          </w:p>
          <w:p w14:paraId="1B5482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根据现场调查和区域地质资料，</w:t>
            </w:r>
            <w:r>
              <w:t>项目所在地为丘陵岩溶区</w:t>
            </w:r>
            <w:r>
              <w:rPr>
                <w:rFonts w:hint="eastAsia"/>
              </w:rPr>
              <w:t>，项目</w:t>
            </w:r>
            <w:r>
              <w:t>区及周边土壤以黄壤土为主，土壤质地为黄褐色粘土，成土母质为砂页岩坡积物，耕层壤土，土壤耕作层厚度在50cm以上，土壤pH值在5~8之间，有机质含量≥7.0g/kg，土壤肥力属于中上水平。</w:t>
            </w:r>
          </w:p>
          <w:p w14:paraId="142DC0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本项目用地面积为8776m</w:t>
            </w:r>
            <w:r>
              <w:rPr>
                <w:rFonts w:hint="eastAsia"/>
                <w:vertAlign w:val="superscript"/>
              </w:rPr>
              <w:t>2</w:t>
            </w:r>
            <w:r>
              <w:rPr>
                <w:rFonts w:hint="eastAsia"/>
              </w:rPr>
              <w:t>，其中旱地</w:t>
            </w:r>
            <w:r>
              <w:rPr>
                <w:rFonts w:hint="eastAsia"/>
                <w:lang w:val="en-US" w:eastAsia="zh-CN"/>
              </w:rPr>
              <w:t>面积为</w:t>
            </w:r>
            <w:r>
              <w:rPr>
                <w:rFonts w:hint="eastAsia"/>
              </w:rPr>
              <w:t>3670m</w:t>
            </w:r>
            <w:r>
              <w:rPr>
                <w:rFonts w:hint="eastAsia"/>
                <w:vertAlign w:val="superscript"/>
              </w:rPr>
              <w:t>2</w:t>
            </w:r>
            <w:r>
              <w:rPr>
                <w:rFonts w:hint="eastAsia"/>
              </w:rPr>
              <w:t>，</w:t>
            </w:r>
            <w:r>
              <w:rPr>
                <w:rFonts w:hint="eastAsia"/>
                <w:lang w:val="en-US" w:eastAsia="zh-CN"/>
              </w:rPr>
              <w:t>园地面积</w:t>
            </w:r>
            <w:r>
              <w:rPr>
                <w:rFonts w:hint="eastAsia"/>
              </w:rPr>
              <w:t>5106m</w:t>
            </w:r>
            <w:r>
              <w:rPr>
                <w:rFonts w:hint="eastAsia"/>
                <w:vertAlign w:val="superscript"/>
              </w:rPr>
              <w:t>2</w:t>
            </w:r>
            <w:r>
              <w:rPr>
                <w:rFonts w:hint="eastAsia"/>
              </w:rPr>
              <w:t>，现场地已投入使用。根据现场踏勘，项目区周边地类为旱地、乔木林地、农村道路等，种植</w:t>
            </w:r>
            <w:r>
              <w:rPr>
                <w:rFonts w:hint="eastAsia"/>
                <w:lang w:val="en-US" w:eastAsia="zh-CN"/>
              </w:rPr>
              <w:t>植被为甘蔗、桉树、龙眼树等。项目不占用基本农田，不涉及国家公园、自然保护区、风景名胜区、世界文化和自然遗产地、饮用水水源保护区等生态敏感区域。</w:t>
            </w:r>
          </w:p>
          <w:p w14:paraId="3A2D125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1.4植物及动物资源</w:t>
            </w:r>
          </w:p>
          <w:p w14:paraId="6E25F4E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根据现场调查及查阅资料，项目周边人工植被主要为甘蔗、桉树、龙眼树等。项目区及周边生长着矮小灌木丛及茅草植被，主要为构树、柠檬草、小蓬草、鬼针草等。项目所在区域无自然保护区，现场调查未见珍稀和受保护植被分布。本项目区域植被情况见下图。</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17"/>
              <w:gridCol w:w="4020"/>
            </w:tblGrid>
            <w:tr w14:paraId="125B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41319644">
                  <w:pPr>
                    <w:jc w:val="center"/>
                    <w:rPr>
                      <w:color w:val="auto"/>
                    </w:rPr>
                  </w:pPr>
                  <w:r>
                    <w:rPr>
                      <w:rFonts w:hint="eastAsia"/>
                      <w:color w:val="auto"/>
                    </w:rPr>
                    <w:drawing>
                      <wp:inline distT="0" distB="0" distL="114300" distR="114300">
                        <wp:extent cx="2379980" cy="3173095"/>
                        <wp:effectExtent l="0" t="0" r="1270" b="8255"/>
                        <wp:docPr id="7" name="图片 7" descr="IMG_20260814_143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0260814_143141"/>
                                <pic:cNvPicPr>
                                  <a:picLocks noChangeAspect="1"/>
                                </pic:cNvPicPr>
                              </pic:nvPicPr>
                              <pic:blipFill>
                                <a:blip r:embed="rId12"/>
                                <a:stretch>
                                  <a:fillRect/>
                                </a:stretch>
                              </pic:blipFill>
                              <pic:spPr>
                                <a:xfrm>
                                  <a:off x="0" y="0"/>
                                  <a:ext cx="2379980" cy="3173095"/>
                                </a:xfrm>
                                <a:prstGeom prst="rect">
                                  <a:avLst/>
                                </a:prstGeom>
                              </pic:spPr>
                            </pic:pic>
                          </a:graphicData>
                        </a:graphic>
                      </wp:inline>
                    </w:drawing>
                  </w:r>
                </w:p>
              </w:tc>
              <w:tc>
                <w:tcPr>
                  <w:tcW w:w="2500" w:type="pct"/>
                  <w:vAlign w:val="center"/>
                </w:tcPr>
                <w:p w14:paraId="265E7FDA">
                  <w:pPr>
                    <w:jc w:val="center"/>
                    <w:rPr>
                      <w:color w:val="auto"/>
                    </w:rPr>
                  </w:pPr>
                  <w:r>
                    <w:rPr>
                      <w:rFonts w:hint="eastAsia"/>
                      <w:color w:val="auto"/>
                    </w:rPr>
                    <w:drawing>
                      <wp:inline distT="0" distB="0" distL="114300" distR="114300">
                        <wp:extent cx="2379980" cy="3173095"/>
                        <wp:effectExtent l="0" t="0" r="1270" b="8255"/>
                        <wp:docPr id="12" name="图片 12" descr="IMG_20260814_143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MG_20260814_143148"/>
                                <pic:cNvPicPr>
                                  <a:picLocks noChangeAspect="1"/>
                                </pic:cNvPicPr>
                              </pic:nvPicPr>
                              <pic:blipFill>
                                <a:blip r:embed="rId13"/>
                                <a:stretch>
                                  <a:fillRect/>
                                </a:stretch>
                              </pic:blipFill>
                              <pic:spPr>
                                <a:xfrm>
                                  <a:off x="0" y="0"/>
                                  <a:ext cx="2379980" cy="3173095"/>
                                </a:xfrm>
                                <a:prstGeom prst="rect">
                                  <a:avLst/>
                                </a:prstGeom>
                              </pic:spPr>
                            </pic:pic>
                          </a:graphicData>
                        </a:graphic>
                      </wp:inline>
                    </w:drawing>
                  </w:r>
                </w:p>
              </w:tc>
            </w:tr>
            <w:tr w14:paraId="5A701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5FA965B1">
                  <w:pPr>
                    <w:jc w:val="center"/>
                    <w:rPr>
                      <w:color w:val="auto"/>
                    </w:rPr>
                  </w:pPr>
                  <w:r>
                    <w:rPr>
                      <w:rFonts w:hint="eastAsia"/>
                      <w:color w:val="auto"/>
                    </w:rPr>
                    <w:t>甘蔗</w:t>
                  </w:r>
                </w:p>
              </w:tc>
              <w:tc>
                <w:tcPr>
                  <w:tcW w:w="2500" w:type="pct"/>
                  <w:vAlign w:val="center"/>
                </w:tcPr>
                <w:p w14:paraId="00AF26CC">
                  <w:pPr>
                    <w:jc w:val="center"/>
                    <w:rPr>
                      <w:color w:val="auto"/>
                    </w:rPr>
                  </w:pPr>
                  <w:r>
                    <w:rPr>
                      <w:rFonts w:hint="eastAsia"/>
                      <w:color w:val="auto"/>
                    </w:rPr>
                    <w:t>桉树</w:t>
                  </w:r>
                </w:p>
              </w:tc>
            </w:tr>
            <w:tr w14:paraId="32F1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1A4A208B">
                  <w:pPr>
                    <w:jc w:val="center"/>
                    <w:rPr>
                      <w:color w:val="auto"/>
                    </w:rPr>
                  </w:pPr>
                  <w:r>
                    <w:rPr>
                      <w:rFonts w:hint="eastAsia"/>
                      <w:color w:val="auto"/>
                    </w:rPr>
                    <w:drawing>
                      <wp:inline distT="0" distB="0" distL="114300" distR="114300">
                        <wp:extent cx="2379980" cy="3173095"/>
                        <wp:effectExtent l="0" t="0" r="1270" b="8255"/>
                        <wp:docPr id="10" name="图片 10" descr="IMG_20260814_143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0260814_143335"/>
                                <pic:cNvPicPr>
                                  <a:picLocks noChangeAspect="1"/>
                                </pic:cNvPicPr>
                              </pic:nvPicPr>
                              <pic:blipFill>
                                <a:blip r:embed="rId14"/>
                                <a:stretch>
                                  <a:fillRect/>
                                </a:stretch>
                              </pic:blipFill>
                              <pic:spPr>
                                <a:xfrm>
                                  <a:off x="0" y="0"/>
                                  <a:ext cx="2379980" cy="3173095"/>
                                </a:xfrm>
                                <a:prstGeom prst="rect">
                                  <a:avLst/>
                                </a:prstGeom>
                              </pic:spPr>
                            </pic:pic>
                          </a:graphicData>
                        </a:graphic>
                      </wp:inline>
                    </w:drawing>
                  </w:r>
                </w:p>
              </w:tc>
              <w:tc>
                <w:tcPr>
                  <w:tcW w:w="2500" w:type="pct"/>
                  <w:vAlign w:val="center"/>
                </w:tcPr>
                <w:p w14:paraId="28CF475E">
                  <w:pPr>
                    <w:jc w:val="center"/>
                    <w:rPr>
                      <w:color w:val="auto"/>
                    </w:rPr>
                  </w:pPr>
                  <w:r>
                    <w:rPr>
                      <w:rFonts w:hint="eastAsia"/>
                      <w:color w:val="auto"/>
                    </w:rPr>
                    <w:drawing>
                      <wp:inline distT="0" distB="0" distL="114300" distR="114300">
                        <wp:extent cx="2379980" cy="3173095"/>
                        <wp:effectExtent l="0" t="0" r="1270" b="8255"/>
                        <wp:docPr id="11" name="图片 11" descr="IMG_20260814_143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MG_20260814_143134"/>
                                <pic:cNvPicPr>
                                  <a:picLocks noChangeAspect="1"/>
                                </pic:cNvPicPr>
                              </pic:nvPicPr>
                              <pic:blipFill>
                                <a:blip r:embed="rId15"/>
                                <a:stretch>
                                  <a:fillRect/>
                                </a:stretch>
                              </pic:blipFill>
                              <pic:spPr>
                                <a:xfrm>
                                  <a:off x="0" y="0"/>
                                  <a:ext cx="2379980" cy="3173095"/>
                                </a:xfrm>
                                <a:prstGeom prst="rect">
                                  <a:avLst/>
                                </a:prstGeom>
                              </pic:spPr>
                            </pic:pic>
                          </a:graphicData>
                        </a:graphic>
                      </wp:inline>
                    </w:drawing>
                  </w:r>
                </w:p>
              </w:tc>
            </w:tr>
            <w:tr w14:paraId="7769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99" w:type="pct"/>
                  <w:vAlign w:val="center"/>
                </w:tcPr>
                <w:p w14:paraId="7E041490">
                  <w:pPr>
                    <w:jc w:val="center"/>
                    <w:rPr>
                      <w:color w:val="auto"/>
                    </w:rPr>
                  </w:pPr>
                  <w:r>
                    <w:rPr>
                      <w:rFonts w:hint="eastAsia"/>
                      <w:color w:val="auto"/>
                    </w:rPr>
                    <w:t>龙眼树</w:t>
                  </w:r>
                </w:p>
              </w:tc>
              <w:tc>
                <w:tcPr>
                  <w:tcW w:w="2500" w:type="pct"/>
                  <w:vAlign w:val="center"/>
                </w:tcPr>
                <w:p w14:paraId="7D95D06B">
                  <w:pPr>
                    <w:jc w:val="center"/>
                    <w:rPr>
                      <w:color w:val="auto"/>
                    </w:rPr>
                  </w:pPr>
                  <w:r>
                    <w:rPr>
                      <w:rFonts w:hint="eastAsia"/>
                      <w:color w:val="auto"/>
                    </w:rPr>
                    <w:t>矮小灌木丛</w:t>
                  </w:r>
                </w:p>
              </w:tc>
            </w:tr>
          </w:tbl>
          <w:p w14:paraId="2A1F34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图</w:t>
            </w:r>
            <w:r>
              <w:rPr>
                <w:b/>
                <w:bCs/>
              </w:rPr>
              <w:t>3-1</w:t>
            </w:r>
            <w:r>
              <w:rPr>
                <w:rFonts w:hint="eastAsia"/>
                <w:b/>
                <w:bCs/>
              </w:rPr>
              <w:t xml:space="preserve"> </w:t>
            </w:r>
            <w:r>
              <w:rPr>
                <w:b/>
                <w:bCs/>
              </w:rPr>
              <w:t>项目</w:t>
            </w:r>
            <w:r>
              <w:rPr>
                <w:rFonts w:hint="eastAsia"/>
                <w:b/>
                <w:bCs/>
              </w:rPr>
              <w:t>区域</w:t>
            </w:r>
            <w:r>
              <w:rPr>
                <w:b/>
                <w:bCs/>
              </w:rPr>
              <w:t>植被现状图</w:t>
            </w:r>
          </w:p>
          <w:p w14:paraId="0A250A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经现场调查及查阅相关资料，评价区内人类活动较为频繁，区域范围内多为常见啮齿类、鸟类等动物；啮齿类主要为常见鼠类，鸟类有常见的麻雀等。未发现珍稀濒危及国家和广西壮族自治区重点保护的野生动物，也未发现野生动物栖息地。</w:t>
            </w:r>
          </w:p>
          <w:p w14:paraId="4A01EC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2、大气环境质量现状</w:t>
            </w:r>
          </w:p>
          <w:p w14:paraId="46DDAE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2.1空气质量达标区判定</w:t>
            </w:r>
          </w:p>
          <w:p w14:paraId="4186C6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本项目所在区域属于环境空气质量功能二类区，执行《环境空气质量标准》（GB3095-2026）过渡阶段二级浓度限值。</w:t>
            </w:r>
          </w:p>
          <w:p w14:paraId="6A8A92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rPr>
            </w:pPr>
            <w:r>
              <w:rPr>
                <w:rFonts w:hint="eastAsia"/>
                <w:color w:val="auto"/>
              </w:rPr>
              <w:t>根据</w:t>
            </w:r>
            <w:r>
              <w:rPr>
                <w:color w:val="auto"/>
              </w:rPr>
              <w:t>《</w:t>
            </w:r>
            <w:r>
              <w:rPr>
                <w:rFonts w:hint="eastAsia"/>
                <w:color w:val="auto"/>
              </w:rPr>
              <w:t>2025年柳州市生态环境状况公报</w:t>
            </w:r>
            <w:r>
              <w:rPr>
                <w:color w:val="auto"/>
              </w:rPr>
              <w:t>》</w:t>
            </w:r>
            <w:r>
              <w:rPr>
                <w:rFonts w:hint="eastAsia"/>
                <w:color w:val="auto"/>
              </w:rPr>
              <w:t>，融水县</w:t>
            </w:r>
            <w:r>
              <w:rPr>
                <w:color w:val="auto"/>
              </w:rPr>
              <w:t>环境空气中六项基本污染物</w:t>
            </w:r>
            <w:r>
              <w:rPr>
                <w:rFonts w:hint="eastAsia"/>
                <w:color w:val="auto"/>
              </w:rPr>
              <w:t>SO</w:t>
            </w:r>
            <w:r>
              <w:rPr>
                <w:rFonts w:hint="eastAsia"/>
                <w:color w:val="auto"/>
                <w:vertAlign w:val="subscript"/>
              </w:rPr>
              <w:t>2</w:t>
            </w:r>
            <w:r>
              <w:rPr>
                <w:rFonts w:hint="eastAsia"/>
                <w:color w:val="auto"/>
              </w:rPr>
              <w:t>、NO</w:t>
            </w:r>
            <w:r>
              <w:rPr>
                <w:rFonts w:hint="eastAsia"/>
                <w:color w:val="auto"/>
                <w:vertAlign w:val="subscript"/>
              </w:rPr>
              <w:t>2</w:t>
            </w:r>
            <w:r>
              <w:rPr>
                <w:rFonts w:hint="eastAsia"/>
                <w:color w:val="auto"/>
              </w:rPr>
              <w:t>、PM</w:t>
            </w:r>
            <w:r>
              <w:rPr>
                <w:rFonts w:hint="eastAsia"/>
                <w:color w:val="auto"/>
                <w:vertAlign w:val="subscript"/>
              </w:rPr>
              <w:t>10</w:t>
            </w:r>
            <w:r>
              <w:rPr>
                <w:rFonts w:hint="eastAsia"/>
                <w:color w:val="auto"/>
              </w:rPr>
              <w:t>、PM</w:t>
            </w:r>
            <w:r>
              <w:rPr>
                <w:rFonts w:hint="eastAsia"/>
                <w:color w:val="auto"/>
                <w:vertAlign w:val="subscript"/>
              </w:rPr>
              <w:t>2.5</w:t>
            </w:r>
            <w:r>
              <w:rPr>
                <w:rFonts w:hint="eastAsia"/>
                <w:color w:val="auto"/>
              </w:rPr>
              <w:t>、CO、O</w:t>
            </w:r>
            <w:r>
              <w:rPr>
                <w:rFonts w:hint="eastAsia"/>
                <w:color w:val="auto"/>
                <w:vertAlign w:val="subscript"/>
              </w:rPr>
              <w:t>3</w:t>
            </w:r>
            <w:r>
              <w:rPr>
                <w:rFonts w:hint="eastAsia"/>
                <w:color w:val="auto"/>
              </w:rPr>
              <w:t>的指标均可达到</w:t>
            </w:r>
            <w:r>
              <w:rPr>
                <w:color w:val="auto"/>
              </w:rPr>
              <w:t>《环境空气质量标准》（GB3095-</w:t>
            </w:r>
            <w:r>
              <w:rPr>
                <w:rFonts w:hint="eastAsia"/>
                <w:color w:val="auto"/>
              </w:rPr>
              <w:t>2026</w:t>
            </w:r>
            <w:r>
              <w:rPr>
                <w:color w:val="auto"/>
              </w:rPr>
              <w:t>）</w:t>
            </w:r>
            <w:r>
              <w:rPr>
                <w:rFonts w:hint="eastAsia"/>
                <w:color w:val="auto"/>
              </w:rPr>
              <w:t>过渡阶段二级浓度限值，项目所在区域属于达标区，具体</w:t>
            </w:r>
            <w:r>
              <w:rPr>
                <w:color w:val="auto"/>
              </w:rPr>
              <w:t>情况见</w:t>
            </w:r>
            <w:r>
              <w:rPr>
                <w:rFonts w:hint="eastAsia"/>
                <w:color w:val="auto"/>
              </w:rPr>
              <w:t>下表</w:t>
            </w:r>
            <w:r>
              <w:rPr>
                <w:color w:val="auto"/>
              </w:rPr>
              <w:t>。</w:t>
            </w:r>
          </w:p>
          <w:p w14:paraId="61350D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表3-1 区域六项基本污染物环境现状结果统计表</w:t>
            </w:r>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735"/>
              <w:gridCol w:w="2466"/>
              <w:gridCol w:w="1231"/>
              <w:gridCol w:w="1599"/>
              <w:gridCol w:w="992"/>
              <w:gridCol w:w="1011"/>
            </w:tblGrid>
            <w:tr w14:paraId="22C3D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vMerge w:val="restart"/>
                  <w:tcBorders>
                    <w:tl2br w:val="nil"/>
                    <w:tr2bl w:val="nil"/>
                  </w:tcBorders>
                  <w:vAlign w:val="center"/>
                </w:tcPr>
                <w:p w14:paraId="4B4A7CA9">
                  <w:pPr>
                    <w:jc w:val="center"/>
                    <w:rPr>
                      <w:b/>
                      <w:bCs/>
                      <w:color w:val="auto"/>
                      <w:sz w:val="21"/>
                      <w:szCs w:val="21"/>
                    </w:rPr>
                  </w:pPr>
                  <w:r>
                    <w:rPr>
                      <w:b/>
                      <w:bCs/>
                      <w:color w:val="auto"/>
                      <w:sz w:val="21"/>
                      <w:szCs w:val="21"/>
                    </w:rPr>
                    <w:t>污染物</w:t>
                  </w:r>
                </w:p>
              </w:tc>
              <w:tc>
                <w:tcPr>
                  <w:tcW w:w="1534" w:type="pct"/>
                  <w:vMerge w:val="restart"/>
                  <w:tcBorders>
                    <w:tl2br w:val="nil"/>
                    <w:tr2bl w:val="nil"/>
                  </w:tcBorders>
                  <w:vAlign w:val="center"/>
                </w:tcPr>
                <w:p w14:paraId="039D3784">
                  <w:pPr>
                    <w:jc w:val="center"/>
                    <w:rPr>
                      <w:b/>
                      <w:bCs/>
                      <w:color w:val="auto"/>
                      <w:sz w:val="21"/>
                      <w:szCs w:val="21"/>
                    </w:rPr>
                  </w:pPr>
                  <w:r>
                    <w:rPr>
                      <w:rFonts w:hint="eastAsia"/>
                      <w:b/>
                      <w:bCs/>
                      <w:color w:val="auto"/>
                      <w:sz w:val="21"/>
                      <w:szCs w:val="21"/>
                    </w:rPr>
                    <w:t>评价指标</w:t>
                  </w:r>
                </w:p>
              </w:tc>
              <w:tc>
                <w:tcPr>
                  <w:tcW w:w="766" w:type="pct"/>
                  <w:vMerge w:val="restart"/>
                  <w:tcBorders>
                    <w:tl2br w:val="nil"/>
                    <w:tr2bl w:val="nil"/>
                  </w:tcBorders>
                  <w:vAlign w:val="center"/>
                </w:tcPr>
                <w:p w14:paraId="41676772">
                  <w:pPr>
                    <w:jc w:val="center"/>
                    <w:rPr>
                      <w:b/>
                      <w:bCs/>
                      <w:color w:val="auto"/>
                      <w:sz w:val="21"/>
                      <w:szCs w:val="21"/>
                    </w:rPr>
                  </w:pPr>
                  <w:r>
                    <w:rPr>
                      <w:b/>
                      <w:bCs/>
                      <w:color w:val="auto"/>
                      <w:sz w:val="21"/>
                      <w:szCs w:val="21"/>
                    </w:rPr>
                    <w:t>现状浓度</w:t>
                  </w:r>
                </w:p>
              </w:tc>
              <w:tc>
                <w:tcPr>
                  <w:tcW w:w="2241" w:type="pct"/>
                  <w:gridSpan w:val="3"/>
                  <w:tcBorders>
                    <w:tl2br w:val="nil"/>
                    <w:tr2bl w:val="nil"/>
                  </w:tcBorders>
                  <w:vAlign w:val="center"/>
                </w:tcPr>
                <w:p w14:paraId="36F84580">
                  <w:pPr>
                    <w:jc w:val="center"/>
                    <w:rPr>
                      <w:b/>
                      <w:bCs/>
                      <w:color w:val="auto"/>
                      <w:sz w:val="21"/>
                      <w:szCs w:val="21"/>
                    </w:rPr>
                  </w:pPr>
                  <w:r>
                    <w:rPr>
                      <w:b/>
                      <w:bCs/>
                      <w:color w:val="auto"/>
                      <w:sz w:val="21"/>
                      <w:szCs w:val="21"/>
                    </w:rPr>
                    <w:t>《环境空气质量标准》（GB3095-2026）</w:t>
                  </w:r>
                </w:p>
                <w:p w14:paraId="6D8F051B">
                  <w:pPr>
                    <w:jc w:val="center"/>
                    <w:rPr>
                      <w:b/>
                      <w:bCs/>
                      <w:color w:val="auto"/>
                      <w:sz w:val="21"/>
                      <w:szCs w:val="21"/>
                    </w:rPr>
                  </w:pPr>
                  <w:r>
                    <w:rPr>
                      <w:b/>
                      <w:bCs/>
                      <w:color w:val="auto"/>
                      <w:sz w:val="21"/>
                      <w:szCs w:val="21"/>
                    </w:rPr>
                    <w:t>过渡阶段二级浓度限值</w:t>
                  </w:r>
                </w:p>
              </w:tc>
            </w:tr>
            <w:tr w14:paraId="38AF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vMerge w:val="continue"/>
                  <w:tcBorders>
                    <w:tl2br w:val="nil"/>
                    <w:tr2bl w:val="nil"/>
                  </w:tcBorders>
                  <w:vAlign w:val="center"/>
                </w:tcPr>
                <w:p w14:paraId="4D89FEB4">
                  <w:pPr>
                    <w:jc w:val="center"/>
                    <w:rPr>
                      <w:b/>
                      <w:bCs/>
                      <w:color w:val="auto"/>
                      <w:sz w:val="21"/>
                      <w:szCs w:val="21"/>
                    </w:rPr>
                  </w:pPr>
                </w:p>
              </w:tc>
              <w:tc>
                <w:tcPr>
                  <w:tcW w:w="1534" w:type="pct"/>
                  <w:vMerge w:val="continue"/>
                  <w:tcBorders>
                    <w:tl2br w:val="nil"/>
                    <w:tr2bl w:val="nil"/>
                  </w:tcBorders>
                  <w:vAlign w:val="center"/>
                </w:tcPr>
                <w:p w14:paraId="41FD1B8D">
                  <w:pPr>
                    <w:jc w:val="center"/>
                    <w:rPr>
                      <w:b/>
                      <w:bCs/>
                      <w:color w:val="auto"/>
                      <w:sz w:val="21"/>
                      <w:szCs w:val="21"/>
                    </w:rPr>
                  </w:pPr>
                </w:p>
              </w:tc>
              <w:tc>
                <w:tcPr>
                  <w:tcW w:w="766" w:type="pct"/>
                  <w:vMerge w:val="continue"/>
                  <w:tcBorders>
                    <w:tl2br w:val="nil"/>
                    <w:tr2bl w:val="nil"/>
                  </w:tcBorders>
                  <w:vAlign w:val="center"/>
                </w:tcPr>
                <w:p w14:paraId="2616DA19">
                  <w:pPr>
                    <w:jc w:val="center"/>
                    <w:rPr>
                      <w:b/>
                      <w:bCs/>
                      <w:color w:val="auto"/>
                      <w:sz w:val="21"/>
                      <w:szCs w:val="21"/>
                    </w:rPr>
                  </w:pPr>
                </w:p>
              </w:tc>
              <w:tc>
                <w:tcPr>
                  <w:tcW w:w="995" w:type="pct"/>
                  <w:tcBorders>
                    <w:tl2br w:val="nil"/>
                    <w:tr2bl w:val="nil"/>
                  </w:tcBorders>
                  <w:vAlign w:val="center"/>
                </w:tcPr>
                <w:p w14:paraId="55B9BDCF">
                  <w:pPr>
                    <w:jc w:val="center"/>
                    <w:rPr>
                      <w:b/>
                      <w:bCs/>
                      <w:color w:val="auto"/>
                      <w:sz w:val="21"/>
                      <w:szCs w:val="21"/>
                    </w:rPr>
                  </w:pPr>
                  <w:r>
                    <w:rPr>
                      <w:b/>
                      <w:bCs/>
                      <w:color w:val="auto"/>
                      <w:sz w:val="21"/>
                      <w:szCs w:val="21"/>
                    </w:rPr>
                    <w:t>标准值</w:t>
                  </w:r>
                </w:p>
              </w:tc>
              <w:tc>
                <w:tcPr>
                  <w:tcW w:w="617" w:type="pct"/>
                  <w:tcBorders>
                    <w:tl2br w:val="nil"/>
                    <w:tr2bl w:val="nil"/>
                  </w:tcBorders>
                  <w:vAlign w:val="center"/>
                </w:tcPr>
                <w:p w14:paraId="51B3880A">
                  <w:pPr>
                    <w:jc w:val="center"/>
                    <w:rPr>
                      <w:b/>
                      <w:bCs/>
                      <w:color w:val="auto"/>
                      <w:sz w:val="21"/>
                      <w:szCs w:val="21"/>
                    </w:rPr>
                  </w:pPr>
                  <w:r>
                    <w:rPr>
                      <w:b/>
                      <w:bCs/>
                      <w:color w:val="auto"/>
                      <w:sz w:val="21"/>
                      <w:szCs w:val="21"/>
                    </w:rPr>
                    <w:t>占标率/%</w:t>
                  </w:r>
                </w:p>
              </w:tc>
              <w:tc>
                <w:tcPr>
                  <w:tcW w:w="628" w:type="pct"/>
                  <w:tcBorders>
                    <w:tl2br w:val="nil"/>
                    <w:tr2bl w:val="nil"/>
                  </w:tcBorders>
                  <w:vAlign w:val="center"/>
                </w:tcPr>
                <w:p w14:paraId="6F76B94D">
                  <w:pPr>
                    <w:jc w:val="center"/>
                    <w:rPr>
                      <w:b/>
                      <w:bCs/>
                      <w:color w:val="auto"/>
                      <w:sz w:val="21"/>
                      <w:szCs w:val="21"/>
                    </w:rPr>
                  </w:pPr>
                  <w:r>
                    <w:rPr>
                      <w:b/>
                      <w:bCs/>
                      <w:color w:val="auto"/>
                      <w:sz w:val="21"/>
                      <w:szCs w:val="21"/>
                    </w:rPr>
                    <w:t>达标情况</w:t>
                  </w:r>
                </w:p>
              </w:tc>
            </w:tr>
            <w:tr w14:paraId="40907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vAlign w:val="center"/>
                </w:tcPr>
                <w:p w14:paraId="4934B3DF">
                  <w:pPr>
                    <w:jc w:val="center"/>
                    <w:rPr>
                      <w:color w:val="auto"/>
                      <w:sz w:val="21"/>
                      <w:szCs w:val="21"/>
                    </w:rPr>
                  </w:pPr>
                  <w:r>
                    <w:rPr>
                      <w:color w:val="auto"/>
                      <w:sz w:val="21"/>
                      <w:szCs w:val="21"/>
                    </w:rPr>
                    <w:t>SO</w:t>
                  </w:r>
                  <w:r>
                    <w:rPr>
                      <w:color w:val="auto"/>
                      <w:sz w:val="21"/>
                      <w:szCs w:val="21"/>
                      <w:vertAlign w:val="subscript"/>
                    </w:rPr>
                    <w:t>2</w:t>
                  </w:r>
                </w:p>
              </w:tc>
              <w:tc>
                <w:tcPr>
                  <w:tcW w:w="1534" w:type="pct"/>
                  <w:tcBorders>
                    <w:tl2br w:val="nil"/>
                    <w:tr2bl w:val="nil"/>
                  </w:tcBorders>
                  <w:shd w:val="clear" w:color="auto" w:fill="auto"/>
                  <w:vAlign w:val="center"/>
                </w:tcPr>
                <w:p w14:paraId="05E544BD">
                  <w:pPr>
                    <w:jc w:val="center"/>
                    <w:rPr>
                      <w:color w:val="auto"/>
                      <w:sz w:val="21"/>
                      <w:szCs w:val="21"/>
                    </w:rPr>
                  </w:pPr>
                  <w:r>
                    <w:rPr>
                      <w:color w:val="auto"/>
                      <w:sz w:val="21"/>
                      <w:szCs w:val="21"/>
                    </w:rPr>
                    <w:t>年平均浓度</w:t>
                  </w:r>
                </w:p>
              </w:tc>
              <w:tc>
                <w:tcPr>
                  <w:tcW w:w="766" w:type="pct"/>
                  <w:tcBorders>
                    <w:tl2br w:val="nil"/>
                    <w:tr2bl w:val="nil"/>
                  </w:tcBorders>
                  <w:vAlign w:val="center"/>
                </w:tcPr>
                <w:p w14:paraId="478AA827">
                  <w:pPr>
                    <w:jc w:val="center"/>
                    <w:rPr>
                      <w:color w:val="auto"/>
                      <w:sz w:val="21"/>
                      <w:szCs w:val="21"/>
                    </w:rPr>
                  </w:pPr>
                  <w:r>
                    <w:rPr>
                      <w:rFonts w:hint="eastAsia"/>
                      <w:color w:val="auto"/>
                      <w:sz w:val="21"/>
                      <w:szCs w:val="21"/>
                    </w:rPr>
                    <w:t>4</w:t>
                  </w:r>
                  <w:r>
                    <w:rPr>
                      <w:color w:val="auto"/>
                      <w:sz w:val="21"/>
                      <w:szCs w:val="21"/>
                    </w:rPr>
                    <w:t>µg/m</w:t>
                  </w:r>
                  <w:r>
                    <w:rPr>
                      <w:color w:val="auto"/>
                      <w:sz w:val="21"/>
                      <w:szCs w:val="21"/>
                      <w:vertAlign w:val="superscript"/>
                    </w:rPr>
                    <w:t>3</w:t>
                  </w:r>
                </w:p>
              </w:tc>
              <w:tc>
                <w:tcPr>
                  <w:tcW w:w="995" w:type="pct"/>
                  <w:tcBorders>
                    <w:tl2br w:val="nil"/>
                    <w:tr2bl w:val="nil"/>
                  </w:tcBorders>
                  <w:vAlign w:val="center"/>
                </w:tcPr>
                <w:p w14:paraId="2D61C16D">
                  <w:pPr>
                    <w:jc w:val="center"/>
                    <w:rPr>
                      <w:color w:val="auto"/>
                      <w:sz w:val="21"/>
                      <w:szCs w:val="21"/>
                    </w:rPr>
                  </w:pPr>
                  <w:r>
                    <w:rPr>
                      <w:color w:val="auto"/>
                      <w:sz w:val="21"/>
                      <w:szCs w:val="21"/>
                    </w:rPr>
                    <w:t>60µg/m</w:t>
                  </w:r>
                  <w:r>
                    <w:rPr>
                      <w:color w:val="auto"/>
                      <w:sz w:val="21"/>
                      <w:szCs w:val="21"/>
                      <w:vertAlign w:val="superscript"/>
                    </w:rPr>
                    <w:t>3</w:t>
                  </w:r>
                </w:p>
              </w:tc>
              <w:tc>
                <w:tcPr>
                  <w:tcW w:w="617" w:type="pct"/>
                  <w:tcBorders>
                    <w:tl2br w:val="nil"/>
                    <w:tr2bl w:val="nil"/>
                  </w:tcBorders>
                  <w:vAlign w:val="center"/>
                </w:tcPr>
                <w:p w14:paraId="1A464399">
                  <w:pPr>
                    <w:jc w:val="center"/>
                    <w:rPr>
                      <w:color w:val="auto"/>
                      <w:sz w:val="21"/>
                      <w:szCs w:val="21"/>
                    </w:rPr>
                  </w:pPr>
                  <w:r>
                    <w:rPr>
                      <w:rFonts w:hint="eastAsia"/>
                      <w:color w:val="auto"/>
                      <w:sz w:val="21"/>
                      <w:szCs w:val="21"/>
                    </w:rPr>
                    <w:t>6.67</w:t>
                  </w:r>
                  <w:r>
                    <w:rPr>
                      <w:color w:val="auto"/>
                      <w:sz w:val="21"/>
                      <w:szCs w:val="21"/>
                    </w:rPr>
                    <w:t>%</w:t>
                  </w:r>
                </w:p>
              </w:tc>
              <w:tc>
                <w:tcPr>
                  <w:tcW w:w="628" w:type="pct"/>
                  <w:tcBorders>
                    <w:tl2br w:val="nil"/>
                    <w:tr2bl w:val="nil"/>
                  </w:tcBorders>
                  <w:vAlign w:val="center"/>
                </w:tcPr>
                <w:p w14:paraId="149C059F">
                  <w:pPr>
                    <w:jc w:val="center"/>
                    <w:rPr>
                      <w:color w:val="auto"/>
                      <w:sz w:val="21"/>
                      <w:szCs w:val="21"/>
                    </w:rPr>
                  </w:pPr>
                  <w:r>
                    <w:rPr>
                      <w:color w:val="auto"/>
                      <w:sz w:val="21"/>
                      <w:szCs w:val="21"/>
                    </w:rPr>
                    <w:t>达标</w:t>
                  </w:r>
                </w:p>
              </w:tc>
            </w:tr>
            <w:tr w14:paraId="394E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vAlign w:val="center"/>
                </w:tcPr>
                <w:p w14:paraId="006741DE">
                  <w:pPr>
                    <w:jc w:val="center"/>
                    <w:rPr>
                      <w:color w:val="auto"/>
                      <w:sz w:val="21"/>
                      <w:szCs w:val="21"/>
                    </w:rPr>
                  </w:pPr>
                  <w:r>
                    <w:rPr>
                      <w:color w:val="auto"/>
                      <w:sz w:val="21"/>
                      <w:szCs w:val="21"/>
                    </w:rPr>
                    <w:t>NO</w:t>
                  </w:r>
                  <w:r>
                    <w:rPr>
                      <w:color w:val="auto"/>
                      <w:sz w:val="21"/>
                      <w:szCs w:val="21"/>
                      <w:vertAlign w:val="subscript"/>
                    </w:rPr>
                    <w:t>2</w:t>
                  </w:r>
                </w:p>
              </w:tc>
              <w:tc>
                <w:tcPr>
                  <w:tcW w:w="1534" w:type="pct"/>
                  <w:tcBorders>
                    <w:tl2br w:val="nil"/>
                    <w:tr2bl w:val="nil"/>
                  </w:tcBorders>
                  <w:shd w:val="clear" w:color="auto" w:fill="auto"/>
                  <w:vAlign w:val="center"/>
                </w:tcPr>
                <w:p w14:paraId="14568099">
                  <w:pPr>
                    <w:jc w:val="center"/>
                    <w:rPr>
                      <w:color w:val="auto"/>
                      <w:sz w:val="21"/>
                      <w:szCs w:val="21"/>
                    </w:rPr>
                  </w:pPr>
                  <w:r>
                    <w:rPr>
                      <w:color w:val="auto"/>
                      <w:sz w:val="21"/>
                      <w:szCs w:val="21"/>
                    </w:rPr>
                    <w:t>年平均浓度</w:t>
                  </w:r>
                </w:p>
              </w:tc>
              <w:tc>
                <w:tcPr>
                  <w:tcW w:w="766" w:type="pct"/>
                  <w:tcBorders>
                    <w:tl2br w:val="nil"/>
                    <w:tr2bl w:val="nil"/>
                  </w:tcBorders>
                  <w:vAlign w:val="center"/>
                </w:tcPr>
                <w:p w14:paraId="559021BC">
                  <w:pPr>
                    <w:jc w:val="center"/>
                    <w:rPr>
                      <w:color w:val="auto"/>
                      <w:sz w:val="21"/>
                      <w:szCs w:val="21"/>
                    </w:rPr>
                  </w:pPr>
                  <w:r>
                    <w:rPr>
                      <w:rFonts w:hint="eastAsia"/>
                      <w:color w:val="auto"/>
                      <w:sz w:val="21"/>
                      <w:szCs w:val="21"/>
                    </w:rPr>
                    <w:t>7</w:t>
                  </w:r>
                  <w:r>
                    <w:rPr>
                      <w:color w:val="auto"/>
                      <w:sz w:val="21"/>
                      <w:szCs w:val="21"/>
                    </w:rPr>
                    <w:t>µg/m</w:t>
                  </w:r>
                  <w:r>
                    <w:rPr>
                      <w:color w:val="auto"/>
                      <w:sz w:val="21"/>
                      <w:szCs w:val="21"/>
                      <w:vertAlign w:val="superscript"/>
                    </w:rPr>
                    <w:t>3</w:t>
                  </w:r>
                </w:p>
              </w:tc>
              <w:tc>
                <w:tcPr>
                  <w:tcW w:w="995" w:type="pct"/>
                  <w:tcBorders>
                    <w:tl2br w:val="nil"/>
                    <w:tr2bl w:val="nil"/>
                  </w:tcBorders>
                  <w:vAlign w:val="center"/>
                </w:tcPr>
                <w:p w14:paraId="156AFB54">
                  <w:pPr>
                    <w:jc w:val="center"/>
                    <w:rPr>
                      <w:color w:val="auto"/>
                      <w:sz w:val="21"/>
                      <w:szCs w:val="21"/>
                    </w:rPr>
                  </w:pPr>
                  <w:r>
                    <w:rPr>
                      <w:color w:val="auto"/>
                      <w:sz w:val="21"/>
                      <w:szCs w:val="21"/>
                    </w:rPr>
                    <w:t>40µg/m</w:t>
                  </w:r>
                  <w:r>
                    <w:rPr>
                      <w:color w:val="auto"/>
                      <w:sz w:val="21"/>
                      <w:szCs w:val="21"/>
                      <w:vertAlign w:val="superscript"/>
                    </w:rPr>
                    <w:t>3</w:t>
                  </w:r>
                </w:p>
              </w:tc>
              <w:tc>
                <w:tcPr>
                  <w:tcW w:w="617" w:type="pct"/>
                  <w:tcBorders>
                    <w:tl2br w:val="nil"/>
                    <w:tr2bl w:val="nil"/>
                  </w:tcBorders>
                  <w:vAlign w:val="center"/>
                </w:tcPr>
                <w:p w14:paraId="44387CE3">
                  <w:pPr>
                    <w:jc w:val="center"/>
                    <w:rPr>
                      <w:color w:val="auto"/>
                      <w:sz w:val="21"/>
                      <w:szCs w:val="21"/>
                    </w:rPr>
                  </w:pPr>
                  <w:r>
                    <w:rPr>
                      <w:rFonts w:hint="eastAsia"/>
                      <w:color w:val="auto"/>
                      <w:sz w:val="21"/>
                      <w:szCs w:val="21"/>
                    </w:rPr>
                    <w:t>17.50</w:t>
                  </w:r>
                  <w:r>
                    <w:rPr>
                      <w:color w:val="auto"/>
                      <w:sz w:val="21"/>
                      <w:szCs w:val="21"/>
                    </w:rPr>
                    <w:t>%</w:t>
                  </w:r>
                </w:p>
              </w:tc>
              <w:tc>
                <w:tcPr>
                  <w:tcW w:w="628" w:type="pct"/>
                  <w:tcBorders>
                    <w:tl2br w:val="nil"/>
                    <w:tr2bl w:val="nil"/>
                  </w:tcBorders>
                  <w:vAlign w:val="center"/>
                </w:tcPr>
                <w:p w14:paraId="461BF338">
                  <w:pPr>
                    <w:jc w:val="center"/>
                    <w:rPr>
                      <w:color w:val="auto"/>
                      <w:sz w:val="21"/>
                      <w:szCs w:val="21"/>
                    </w:rPr>
                  </w:pPr>
                  <w:r>
                    <w:rPr>
                      <w:color w:val="auto"/>
                      <w:sz w:val="21"/>
                      <w:szCs w:val="21"/>
                    </w:rPr>
                    <w:t>达标</w:t>
                  </w:r>
                </w:p>
              </w:tc>
            </w:tr>
            <w:tr w14:paraId="3BE1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vAlign w:val="center"/>
                </w:tcPr>
                <w:p w14:paraId="16A8531C">
                  <w:pPr>
                    <w:jc w:val="center"/>
                    <w:rPr>
                      <w:color w:val="auto"/>
                      <w:sz w:val="21"/>
                      <w:szCs w:val="21"/>
                    </w:rPr>
                  </w:pPr>
                  <w:r>
                    <w:rPr>
                      <w:color w:val="auto"/>
                      <w:sz w:val="21"/>
                      <w:szCs w:val="21"/>
                    </w:rPr>
                    <w:t>CO</w:t>
                  </w:r>
                </w:p>
              </w:tc>
              <w:tc>
                <w:tcPr>
                  <w:tcW w:w="1534" w:type="pct"/>
                  <w:tcBorders>
                    <w:tl2br w:val="nil"/>
                    <w:tr2bl w:val="nil"/>
                  </w:tcBorders>
                  <w:shd w:val="clear" w:color="auto" w:fill="auto"/>
                  <w:vAlign w:val="center"/>
                </w:tcPr>
                <w:p w14:paraId="52890741">
                  <w:pPr>
                    <w:jc w:val="center"/>
                    <w:rPr>
                      <w:color w:val="auto"/>
                      <w:sz w:val="21"/>
                      <w:szCs w:val="21"/>
                    </w:rPr>
                  </w:pPr>
                  <w:r>
                    <w:rPr>
                      <w:color w:val="auto"/>
                      <w:sz w:val="21"/>
                      <w:szCs w:val="21"/>
                    </w:rPr>
                    <w:t>24小时平均第95百分位数</w:t>
                  </w:r>
                </w:p>
              </w:tc>
              <w:tc>
                <w:tcPr>
                  <w:tcW w:w="766" w:type="pct"/>
                  <w:tcBorders>
                    <w:tl2br w:val="nil"/>
                    <w:tr2bl w:val="nil"/>
                  </w:tcBorders>
                  <w:vAlign w:val="center"/>
                </w:tcPr>
                <w:p w14:paraId="6DE81749">
                  <w:pPr>
                    <w:jc w:val="center"/>
                    <w:rPr>
                      <w:color w:val="auto"/>
                      <w:sz w:val="21"/>
                      <w:szCs w:val="21"/>
                    </w:rPr>
                  </w:pPr>
                  <w:r>
                    <w:rPr>
                      <w:rFonts w:hint="eastAsia"/>
                      <w:color w:val="auto"/>
                      <w:sz w:val="21"/>
                      <w:szCs w:val="21"/>
                    </w:rPr>
                    <w:t>1</w:t>
                  </w:r>
                  <w:r>
                    <w:rPr>
                      <w:color w:val="auto"/>
                      <w:sz w:val="21"/>
                      <w:szCs w:val="21"/>
                    </w:rPr>
                    <w:t>mg/m</w:t>
                  </w:r>
                  <w:r>
                    <w:rPr>
                      <w:color w:val="auto"/>
                      <w:sz w:val="21"/>
                      <w:szCs w:val="21"/>
                      <w:vertAlign w:val="superscript"/>
                    </w:rPr>
                    <w:t>3</w:t>
                  </w:r>
                </w:p>
              </w:tc>
              <w:tc>
                <w:tcPr>
                  <w:tcW w:w="995" w:type="pct"/>
                  <w:tcBorders>
                    <w:tl2br w:val="nil"/>
                    <w:tr2bl w:val="nil"/>
                  </w:tcBorders>
                  <w:vAlign w:val="center"/>
                </w:tcPr>
                <w:p w14:paraId="7BD24114">
                  <w:pPr>
                    <w:jc w:val="center"/>
                    <w:rPr>
                      <w:color w:val="auto"/>
                      <w:sz w:val="21"/>
                      <w:szCs w:val="21"/>
                    </w:rPr>
                  </w:pPr>
                  <w:r>
                    <w:rPr>
                      <w:color w:val="auto"/>
                      <w:sz w:val="21"/>
                      <w:szCs w:val="21"/>
                    </w:rPr>
                    <w:t>4mg/m</w:t>
                  </w:r>
                  <w:r>
                    <w:rPr>
                      <w:color w:val="auto"/>
                      <w:sz w:val="21"/>
                      <w:szCs w:val="21"/>
                      <w:vertAlign w:val="superscript"/>
                    </w:rPr>
                    <w:t>3</w:t>
                  </w:r>
                </w:p>
              </w:tc>
              <w:tc>
                <w:tcPr>
                  <w:tcW w:w="617" w:type="pct"/>
                  <w:tcBorders>
                    <w:tl2br w:val="nil"/>
                    <w:tr2bl w:val="nil"/>
                  </w:tcBorders>
                  <w:vAlign w:val="center"/>
                </w:tcPr>
                <w:p w14:paraId="4C179C51">
                  <w:pPr>
                    <w:jc w:val="center"/>
                    <w:rPr>
                      <w:color w:val="auto"/>
                      <w:sz w:val="21"/>
                      <w:szCs w:val="21"/>
                    </w:rPr>
                  </w:pPr>
                  <w:r>
                    <w:rPr>
                      <w:rFonts w:hint="eastAsia"/>
                      <w:color w:val="auto"/>
                      <w:sz w:val="21"/>
                      <w:szCs w:val="21"/>
                    </w:rPr>
                    <w:t>25.00</w:t>
                  </w:r>
                  <w:r>
                    <w:rPr>
                      <w:color w:val="auto"/>
                      <w:sz w:val="21"/>
                      <w:szCs w:val="21"/>
                    </w:rPr>
                    <w:t>%</w:t>
                  </w:r>
                </w:p>
              </w:tc>
              <w:tc>
                <w:tcPr>
                  <w:tcW w:w="628" w:type="pct"/>
                  <w:tcBorders>
                    <w:tl2br w:val="nil"/>
                    <w:tr2bl w:val="nil"/>
                  </w:tcBorders>
                  <w:vAlign w:val="center"/>
                </w:tcPr>
                <w:p w14:paraId="40D4B999">
                  <w:pPr>
                    <w:jc w:val="center"/>
                    <w:rPr>
                      <w:color w:val="auto"/>
                      <w:sz w:val="21"/>
                      <w:szCs w:val="21"/>
                    </w:rPr>
                  </w:pPr>
                  <w:r>
                    <w:rPr>
                      <w:color w:val="auto"/>
                      <w:sz w:val="21"/>
                      <w:szCs w:val="21"/>
                    </w:rPr>
                    <w:t>达标</w:t>
                  </w:r>
                </w:p>
              </w:tc>
            </w:tr>
            <w:tr w14:paraId="765A4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vAlign w:val="center"/>
                </w:tcPr>
                <w:p w14:paraId="4376D36E">
                  <w:pPr>
                    <w:jc w:val="center"/>
                    <w:rPr>
                      <w:color w:val="auto"/>
                      <w:sz w:val="21"/>
                      <w:szCs w:val="21"/>
                    </w:rPr>
                  </w:pPr>
                  <w:r>
                    <w:rPr>
                      <w:color w:val="auto"/>
                      <w:sz w:val="21"/>
                      <w:szCs w:val="21"/>
                    </w:rPr>
                    <w:t>O</w:t>
                  </w:r>
                  <w:r>
                    <w:rPr>
                      <w:color w:val="auto"/>
                      <w:sz w:val="21"/>
                      <w:szCs w:val="21"/>
                      <w:vertAlign w:val="subscript"/>
                    </w:rPr>
                    <w:t>3</w:t>
                  </w:r>
                </w:p>
              </w:tc>
              <w:tc>
                <w:tcPr>
                  <w:tcW w:w="1534" w:type="pct"/>
                  <w:tcBorders>
                    <w:tl2br w:val="nil"/>
                    <w:tr2bl w:val="nil"/>
                  </w:tcBorders>
                  <w:shd w:val="clear" w:color="auto" w:fill="auto"/>
                  <w:vAlign w:val="center"/>
                </w:tcPr>
                <w:p w14:paraId="4099F622">
                  <w:pPr>
                    <w:jc w:val="center"/>
                    <w:rPr>
                      <w:color w:val="auto"/>
                      <w:sz w:val="21"/>
                      <w:szCs w:val="21"/>
                    </w:rPr>
                  </w:pPr>
                  <w:r>
                    <w:rPr>
                      <w:color w:val="auto"/>
                      <w:sz w:val="21"/>
                      <w:szCs w:val="21"/>
                    </w:rPr>
                    <w:t>8小时</w:t>
                  </w:r>
                  <w:r>
                    <w:rPr>
                      <w:rFonts w:hint="eastAsia"/>
                      <w:color w:val="auto"/>
                      <w:sz w:val="21"/>
                      <w:szCs w:val="21"/>
                    </w:rPr>
                    <w:t>滑动</w:t>
                  </w:r>
                  <w:r>
                    <w:rPr>
                      <w:color w:val="auto"/>
                      <w:sz w:val="21"/>
                      <w:szCs w:val="21"/>
                    </w:rPr>
                    <w:t>平均第9</w:t>
                  </w:r>
                  <w:r>
                    <w:rPr>
                      <w:rFonts w:hint="eastAsia"/>
                      <w:color w:val="auto"/>
                      <w:sz w:val="21"/>
                      <w:szCs w:val="21"/>
                    </w:rPr>
                    <w:t>0</w:t>
                  </w:r>
                  <w:r>
                    <w:rPr>
                      <w:color w:val="auto"/>
                      <w:sz w:val="21"/>
                      <w:szCs w:val="21"/>
                    </w:rPr>
                    <w:t>百分位数</w:t>
                  </w:r>
                </w:p>
              </w:tc>
              <w:tc>
                <w:tcPr>
                  <w:tcW w:w="766" w:type="pct"/>
                  <w:tcBorders>
                    <w:tl2br w:val="nil"/>
                    <w:tr2bl w:val="nil"/>
                  </w:tcBorders>
                  <w:vAlign w:val="center"/>
                </w:tcPr>
                <w:p w14:paraId="6D8441A7">
                  <w:pPr>
                    <w:jc w:val="center"/>
                    <w:rPr>
                      <w:color w:val="auto"/>
                      <w:sz w:val="21"/>
                      <w:szCs w:val="21"/>
                    </w:rPr>
                  </w:pPr>
                  <w:r>
                    <w:rPr>
                      <w:color w:val="auto"/>
                      <w:sz w:val="21"/>
                      <w:szCs w:val="21"/>
                    </w:rPr>
                    <w:t>1</w:t>
                  </w:r>
                  <w:r>
                    <w:rPr>
                      <w:rFonts w:hint="eastAsia"/>
                      <w:color w:val="auto"/>
                      <w:sz w:val="21"/>
                      <w:szCs w:val="21"/>
                    </w:rPr>
                    <w:t>09</w:t>
                  </w:r>
                  <w:r>
                    <w:rPr>
                      <w:color w:val="auto"/>
                      <w:sz w:val="21"/>
                      <w:szCs w:val="21"/>
                    </w:rPr>
                    <w:t>µg/m</w:t>
                  </w:r>
                  <w:r>
                    <w:rPr>
                      <w:color w:val="auto"/>
                      <w:sz w:val="21"/>
                      <w:szCs w:val="21"/>
                      <w:vertAlign w:val="superscript"/>
                    </w:rPr>
                    <w:t>3</w:t>
                  </w:r>
                </w:p>
              </w:tc>
              <w:tc>
                <w:tcPr>
                  <w:tcW w:w="995" w:type="pct"/>
                  <w:tcBorders>
                    <w:tl2br w:val="nil"/>
                    <w:tr2bl w:val="nil"/>
                  </w:tcBorders>
                  <w:vAlign w:val="center"/>
                </w:tcPr>
                <w:p w14:paraId="05D79291">
                  <w:pPr>
                    <w:jc w:val="center"/>
                    <w:rPr>
                      <w:color w:val="auto"/>
                      <w:sz w:val="21"/>
                      <w:szCs w:val="21"/>
                    </w:rPr>
                  </w:pPr>
                  <w:r>
                    <w:rPr>
                      <w:color w:val="auto"/>
                      <w:sz w:val="21"/>
                      <w:szCs w:val="21"/>
                    </w:rPr>
                    <w:t>160µg/m</w:t>
                  </w:r>
                  <w:r>
                    <w:rPr>
                      <w:color w:val="auto"/>
                      <w:sz w:val="21"/>
                      <w:szCs w:val="21"/>
                      <w:vertAlign w:val="superscript"/>
                    </w:rPr>
                    <w:t>3</w:t>
                  </w:r>
                </w:p>
              </w:tc>
              <w:tc>
                <w:tcPr>
                  <w:tcW w:w="617" w:type="pct"/>
                  <w:tcBorders>
                    <w:tl2br w:val="nil"/>
                    <w:tr2bl w:val="nil"/>
                  </w:tcBorders>
                  <w:vAlign w:val="center"/>
                </w:tcPr>
                <w:p w14:paraId="3A1E718F">
                  <w:pPr>
                    <w:jc w:val="center"/>
                    <w:rPr>
                      <w:color w:val="auto"/>
                      <w:sz w:val="21"/>
                      <w:szCs w:val="21"/>
                    </w:rPr>
                  </w:pPr>
                  <w:r>
                    <w:rPr>
                      <w:color w:val="auto"/>
                      <w:sz w:val="21"/>
                      <w:szCs w:val="21"/>
                    </w:rPr>
                    <w:t>68.</w:t>
                  </w:r>
                  <w:r>
                    <w:rPr>
                      <w:rFonts w:hint="eastAsia"/>
                      <w:color w:val="auto"/>
                      <w:sz w:val="21"/>
                      <w:szCs w:val="21"/>
                    </w:rPr>
                    <w:t>13</w:t>
                  </w:r>
                  <w:r>
                    <w:rPr>
                      <w:color w:val="auto"/>
                      <w:sz w:val="21"/>
                      <w:szCs w:val="21"/>
                    </w:rPr>
                    <w:t>%</w:t>
                  </w:r>
                </w:p>
              </w:tc>
              <w:tc>
                <w:tcPr>
                  <w:tcW w:w="628" w:type="pct"/>
                  <w:tcBorders>
                    <w:tl2br w:val="nil"/>
                    <w:tr2bl w:val="nil"/>
                  </w:tcBorders>
                  <w:vAlign w:val="center"/>
                </w:tcPr>
                <w:p w14:paraId="3CF74D39">
                  <w:pPr>
                    <w:jc w:val="center"/>
                    <w:rPr>
                      <w:color w:val="auto"/>
                      <w:sz w:val="21"/>
                      <w:szCs w:val="21"/>
                    </w:rPr>
                  </w:pPr>
                  <w:r>
                    <w:rPr>
                      <w:color w:val="auto"/>
                      <w:sz w:val="21"/>
                      <w:szCs w:val="21"/>
                    </w:rPr>
                    <w:t>达标</w:t>
                  </w:r>
                </w:p>
              </w:tc>
            </w:tr>
            <w:tr w14:paraId="4150C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shd w:val="clear" w:color="auto" w:fill="auto"/>
                  <w:vAlign w:val="center"/>
                </w:tcPr>
                <w:p w14:paraId="008D7A86">
                  <w:pPr>
                    <w:jc w:val="center"/>
                    <w:rPr>
                      <w:color w:val="auto"/>
                      <w:sz w:val="21"/>
                      <w:szCs w:val="21"/>
                    </w:rPr>
                  </w:pPr>
                  <w:r>
                    <w:rPr>
                      <w:color w:val="auto"/>
                      <w:sz w:val="21"/>
                      <w:szCs w:val="21"/>
                    </w:rPr>
                    <w:t>PM</w:t>
                  </w:r>
                  <w:r>
                    <w:rPr>
                      <w:color w:val="auto"/>
                      <w:sz w:val="21"/>
                      <w:szCs w:val="21"/>
                      <w:vertAlign w:val="subscript"/>
                    </w:rPr>
                    <w:t>10</w:t>
                  </w:r>
                </w:p>
              </w:tc>
              <w:tc>
                <w:tcPr>
                  <w:tcW w:w="1534" w:type="pct"/>
                  <w:tcBorders>
                    <w:tl2br w:val="nil"/>
                    <w:tr2bl w:val="nil"/>
                  </w:tcBorders>
                  <w:shd w:val="clear" w:color="auto" w:fill="auto"/>
                  <w:vAlign w:val="center"/>
                </w:tcPr>
                <w:p w14:paraId="4EA20F11">
                  <w:pPr>
                    <w:jc w:val="center"/>
                    <w:rPr>
                      <w:color w:val="auto"/>
                      <w:sz w:val="21"/>
                      <w:szCs w:val="21"/>
                    </w:rPr>
                  </w:pPr>
                  <w:r>
                    <w:rPr>
                      <w:rFonts w:hint="eastAsia"/>
                      <w:color w:val="auto"/>
                      <w:sz w:val="21"/>
                      <w:szCs w:val="21"/>
                    </w:rPr>
                    <w:t>年</w:t>
                  </w:r>
                  <w:r>
                    <w:rPr>
                      <w:color w:val="auto"/>
                      <w:sz w:val="21"/>
                      <w:szCs w:val="21"/>
                    </w:rPr>
                    <w:t>平均浓度</w:t>
                  </w:r>
                </w:p>
              </w:tc>
              <w:tc>
                <w:tcPr>
                  <w:tcW w:w="766" w:type="pct"/>
                  <w:tcBorders>
                    <w:tl2br w:val="nil"/>
                    <w:tr2bl w:val="nil"/>
                  </w:tcBorders>
                  <w:shd w:val="clear" w:color="auto" w:fill="auto"/>
                  <w:vAlign w:val="center"/>
                </w:tcPr>
                <w:p w14:paraId="3A28D558">
                  <w:pPr>
                    <w:jc w:val="center"/>
                    <w:rPr>
                      <w:color w:val="auto"/>
                      <w:sz w:val="21"/>
                      <w:szCs w:val="21"/>
                    </w:rPr>
                  </w:pPr>
                  <w:r>
                    <w:rPr>
                      <w:color w:val="auto"/>
                      <w:sz w:val="21"/>
                      <w:szCs w:val="21"/>
                    </w:rPr>
                    <w:t>3</w:t>
                  </w:r>
                  <w:r>
                    <w:rPr>
                      <w:rFonts w:hint="eastAsia"/>
                      <w:color w:val="auto"/>
                      <w:sz w:val="21"/>
                      <w:szCs w:val="21"/>
                    </w:rPr>
                    <w:t>9</w:t>
                  </w:r>
                  <w:r>
                    <w:rPr>
                      <w:color w:val="auto"/>
                      <w:sz w:val="21"/>
                      <w:szCs w:val="21"/>
                    </w:rPr>
                    <w:t>µg/m</w:t>
                  </w:r>
                  <w:r>
                    <w:rPr>
                      <w:color w:val="auto"/>
                      <w:sz w:val="21"/>
                      <w:szCs w:val="21"/>
                      <w:vertAlign w:val="superscript"/>
                    </w:rPr>
                    <w:t>3</w:t>
                  </w:r>
                </w:p>
              </w:tc>
              <w:tc>
                <w:tcPr>
                  <w:tcW w:w="995" w:type="pct"/>
                  <w:tcBorders>
                    <w:tl2br w:val="nil"/>
                    <w:tr2bl w:val="nil"/>
                  </w:tcBorders>
                  <w:shd w:val="clear" w:color="auto" w:fill="auto"/>
                  <w:vAlign w:val="center"/>
                </w:tcPr>
                <w:p w14:paraId="4B8D71ED">
                  <w:pPr>
                    <w:jc w:val="center"/>
                    <w:rPr>
                      <w:color w:val="auto"/>
                      <w:sz w:val="21"/>
                      <w:szCs w:val="21"/>
                    </w:rPr>
                  </w:pPr>
                  <w:r>
                    <w:rPr>
                      <w:color w:val="auto"/>
                      <w:sz w:val="21"/>
                      <w:szCs w:val="21"/>
                    </w:rPr>
                    <w:t>60µg/m</w:t>
                  </w:r>
                  <w:r>
                    <w:rPr>
                      <w:color w:val="auto"/>
                      <w:sz w:val="21"/>
                      <w:szCs w:val="21"/>
                      <w:vertAlign w:val="superscript"/>
                    </w:rPr>
                    <w:t>3</w:t>
                  </w:r>
                </w:p>
              </w:tc>
              <w:tc>
                <w:tcPr>
                  <w:tcW w:w="617" w:type="pct"/>
                  <w:tcBorders>
                    <w:tl2br w:val="nil"/>
                    <w:tr2bl w:val="nil"/>
                  </w:tcBorders>
                  <w:shd w:val="clear" w:color="auto" w:fill="auto"/>
                  <w:vAlign w:val="center"/>
                </w:tcPr>
                <w:p w14:paraId="0C586C97">
                  <w:pPr>
                    <w:jc w:val="center"/>
                    <w:rPr>
                      <w:color w:val="auto"/>
                      <w:sz w:val="21"/>
                      <w:szCs w:val="21"/>
                    </w:rPr>
                  </w:pPr>
                  <w:r>
                    <w:rPr>
                      <w:rFonts w:hint="eastAsia"/>
                      <w:color w:val="auto"/>
                      <w:sz w:val="21"/>
                      <w:szCs w:val="21"/>
                    </w:rPr>
                    <w:t>65.00</w:t>
                  </w:r>
                  <w:r>
                    <w:rPr>
                      <w:color w:val="auto"/>
                      <w:sz w:val="21"/>
                      <w:szCs w:val="21"/>
                    </w:rPr>
                    <w:t>%</w:t>
                  </w:r>
                </w:p>
              </w:tc>
              <w:tc>
                <w:tcPr>
                  <w:tcW w:w="628" w:type="pct"/>
                  <w:tcBorders>
                    <w:tl2br w:val="nil"/>
                    <w:tr2bl w:val="nil"/>
                  </w:tcBorders>
                  <w:shd w:val="clear" w:color="auto" w:fill="auto"/>
                  <w:vAlign w:val="center"/>
                </w:tcPr>
                <w:p w14:paraId="374A8804">
                  <w:pPr>
                    <w:jc w:val="center"/>
                    <w:rPr>
                      <w:color w:val="auto"/>
                      <w:sz w:val="21"/>
                      <w:szCs w:val="21"/>
                    </w:rPr>
                  </w:pPr>
                  <w:r>
                    <w:rPr>
                      <w:color w:val="auto"/>
                      <w:sz w:val="21"/>
                      <w:szCs w:val="21"/>
                    </w:rPr>
                    <w:t>达标</w:t>
                  </w:r>
                </w:p>
              </w:tc>
            </w:tr>
            <w:tr w14:paraId="05FC9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atLeast"/>
              </w:trPr>
              <w:tc>
                <w:tcPr>
                  <w:tcW w:w="457" w:type="pct"/>
                  <w:tcBorders>
                    <w:tl2br w:val="nil"/>
                    <w:tr2bl w:val="nil"/>
                  </w:tcBorders>
                  <w:shd w:val="clear" w:color="auto" w:fill="auto"/>
                  <w:vAlign w:val="center"/>
                </w:tcPr>
                <w:p w14:paraId="53D1B6BF">
                  <w:pPr>
                    <w:jc w:val="center"/>
                    <w:rPr>
                      <w:color w:val="auto"/>
                      <w:sz w:val="21"/>
                      <w:szCs w:val="21"/>
                    </w:rPr>
                  </w:pPr>
                  <w:r>
                    <w:rPr>
                      <w:color w:val="auto"/>
                      <w:sz w:val="21"/>
                      <w:szCs w:val="21"/>
                    </w:rPr>
                    <w:t>PM</w:t>
                  </w:r>
                  <w:r>
                    <w:rPr>
                      <w:color w:val="auto"/>
                      <w:sz w:val="21"/>
                      <w:szCs w:val="21"/>
                      <w:vertAlign w:val="subscript"/>
                    </w:rPr>
                    <w:t>2.5</w:t>
                  </w:r>
                </w:p>
              </w:tc>
              <w:tc>
                <w:tcPr>
                  <w:tcW w:w="1534" w:type="pct"/>
                  <w:tcBorders>
                    <w:tl2br w:val="nil"/>
                    <w:tr2bl w:val="nil"/>
                  </w:tcBorders>
                  <w:shd w:val="clear" w:color="auto" w:fill="auto"/>
                  <w:vAlign w:val="center"/>
                </w:tcPr>
                <w:p w14:paraId="2F5CAEC1">
                  <w:pPr>
                    <w:jc w:val="center"/>
                    <w:rPr>
                      <w:color w:val="auto"/>
                      <w:sz w:val="21"/>
                      <w:szCs w:val="21"/>
                    </w:rPr>
                  </w:pPr>
                  <w:r>
                    <w:rPr>
                      <w:color w:val="auto"/>
                      <w:sz w:val="21"/>
                      <w:szCs w:val="21"/>
                    </w:rPr>
                    <w:t>年平均浓度</w:t>
                  </w:r>
                </w:p>
              </w:tc>
              <w:tc>
                <w:tcPr>
                  <w:tcW w:w="766" w:type="pct"/>
                  <w:tcBorders>
                    <w:tl2br w:val="nil"/>
                    <w:tr2bl w:val="nil"/>
                  </w:tcBorders>
                  <w:shd w:val="clear" w:color="auto" w:fill="auto"/>
                  <w:vAlign w:val="center"/>
                </w:tcPr>
                <w:p w14:paraId="11A8F523">
                  <w:pPr>
                    <w:jc w:val="center"/>
                    <w:rPr>
                      <w:color w:val="auto"/>
                      <w:sz w:val="21"/>
                      <w:szCs w:val="21"/>
                    </w:rPr>
                  </w:pPr>
                  <w:r>
                    <w:rPr>
                      <w:color w:val="auto"/>
                      <w:sz w:val="21"/>
                      <w:szCs w:val="21"/>
                    </w:rPr>
                    <w:t>2</w:t>
                  </w:r>
                  <w:r>
                    <w:rPr>
                      <w:rFonts w:hint="eastAsia"/>
                      <w:color w:val="auto"/>
                      <w:sz w:val="21"/>
                      <w:szCs w:val="21"/>
                    </w:rPr>
                    <w:t>8</w:t>
                  </w:r>
                  <w:r>
                    <w:rPr>
                      <w:color w:val="auto"/>
                      <w:sz w:val="21"/>
                      <w:szCs w:val="21"/>
                    </w:rPr>
                    <w:t>µg/m</w:t>
                  </w:r>
                  <w:r>
                    <w:rPr>
                      <w:color w:val="auto"/>
                      <w:sz w:val="21"/>
                      <w:szCs w:val="21"/>
                      <w:vertAlign w:val="superscript"/>
                    </w:rPr>
                    <w:t>3</w:t>
                  </w:r>
                </w:p>
              </w:tc>
              <w:tc>
                <w:tcPr>
                  <w:tcW w:w="995" w:type="pct"/>
                  <w:tcBorders>
                    <w:tl2br w:val="nil"/>
                    <w:tr2bl w:val="nil"/>
                  </w:tcBorders>
                  <w:shd w:val="clear" w:color="auto" w:fill="auto"/>
                  <w:vAlign w:val="center"/>
                </w:tcPr>
                <w:p w14:paraId="19D0FD15">
                  <w:pPr>
                    <w:jc w:val="center"/>
                    <w:rPr>
                      <w:color w:val="auto"/>
                      <w:sz w:val="21"/>
                      <w:szCs w:val="21"/>
                    </w:rPr>
                  </w:pPr>
                  <w:r>
                    <w:rPr>
                      <w:color w:val="auto"/>
                      <w:sz w:val="21"/>
                      <w:szCs w:val="21"/>
                    </w:rPr>
                    <w:t>30µg/m</w:t>
                  </w:r>
                  <w:r>
                    <w:rPr>
                      <w:color w:val="auto"/>
                      <w:sz w:val="21"/>
                      <w:szCs w:val="21"/>
                      <w:vertAlign w:val="superscript"/>
                    </w:rPr>
                    <w:t>3</w:t>
                  </w:r>
                </w:p>
              </w:tc>
              <w:tc>
                <w:tcPr>
                  <w:tcW w:w="617" w:type="pct"/>
                  <w:tcBorders>
                    <w:tl2br w:val="nil"/>
                    <w:tr2bl w:val="nil"/>
                  </w:tcBorders>
                  <w:shd w:val="clear" w:color="auto" w:fill="auto"/>
                  <w:vAlign w:val="center"/>
                </w:tcPr>
                <w:p w14:paraId="0189DF68">
                  <w:pPr>
                    <w:jc w:val="center"/>
                    <w:rPr>
                      <w:color w:val="auto"/>
                      <w:sz w:val="21"/>
                      <w:szCs w:val="21"/>
                    </w:rPr>
                  </w:pPr>
                  <w:r>
                    <w:rPr>
                      <w:rFonts w:hint="eastAsia"/>
                      <w:color w:val="auto"/>
                      <w:sz w:val="21"/>
                      <w:szCs w:val="21"/>
                    </w:rPr>
                    <w:t>93.33</w:t>
                  </w:r>
                  <w:r>
                    <w:rPr>
                      <w:color w:val="auto"/>
                      <w:sz w:val="21"/>
                      <w:szCs w:val="21"/>
                    </w:rPr>
                    <w:t>%</w:t>
                  </w:r>
                </w:p>
              </w:tc>
              <w:tc>
                <w:tcPr>
                  <w:tcW w:w="628" w:type="pct"/>
                  <w:tcBorders>
                    <w:tl2br w:val="nil"/>
                    <w:tr2bl w:val="nil"/>
                  </w:tcBorders>
                  <w:shd w:val="clear" w:color="auto" w:fill="auto"/>
                  <w:vAlign w:val="center"/>
                </w:tcPr>
                <w:p w14:paraId="214C44EB">
                  <w:pPr>
                    <w:jc w:val="center"/>
                    <w:rPr>
                      <w:color w:val="auto"/>
                      <w:sz w:val="21"/>
                      <w:szCs w:val="21"/>
                    </w:rPr>
                  </w:pPr>
                  <w:r>
                    <w:rPr>
                      <w:color w:val="auto"/>
                      <w:sz w:val="21"/>
                      <w:szCs w:val="21"/>
                    </w:rPr>
                    <w:t>达标</w:t>
                  </w:r>
                </w:p>
              </w:tc>
            </w:tr>
          </w:tbl>
          <w:p w14:paraId="4752A8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2.2其他污染物环境质量现状补充监测</w:t>
            </w:r>
          </w:p>
          <w:p w14:paraId="4926D1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本次评价引用</w:t>
            </w:r>
            <w:bookmarkStart w:id="25" w:name="_Hlk104046783"/>
            <w:r>
              <w:rPr>
                <w:rFonts w:hint="eastAsia"/>
              </w:rPr>
              <w:t>《广西柳城北区块伏虎西页岩气资源评价与选区研究(桂融地4井勘探项目)》</w:t>
            </w:r>
            <w:bookmarkEnd w:id="25"/>
            <w:r>
              <w:rPr>
                <w:rFonts w:hint="eastAsia"/>
              </w:rPr>
              <w:t>中大气环境质量TSP、硫化氢补充监测结果进行评价，监测时间为2025年12月2日至2025年12月4日。补充监测结果如下表。根据补充监测结果，TSP达到《环境空气质量标准》（GB3095-2026）二级标准，硫化氢</w:t>
            </w:r>
            <w:r>
              <w:t>达到《环境影响评价技术导则大气环境》（HJ2.2-2018）附录D其他污染物空气质量浓度参考限值要求</w:t>
            </w:r>
            <w:r>
              <w:rPr>
                <w:rFonts w:hint="eastAsia"/>
              </w:rPr>
              <w:t>。</w:t>
            </w:r>
          </w:p>
          <w:p w14:paraId="71332A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表3-2 项目环境空气质量现状引用补充监测结果</w:t>
            </w:r>
          </w:p>
          <w:tbl>
            <w:tblPr>
              <w:tblStyle w:val="2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1127"/>
              <w:gridCol w:w="759"/>
              <w:gridCol w:w="968"/>
              <w:gridCol w:w="1093"/>
              <w:gridCol w:w="1294"/>
              <w:gridCol w:w="1114"/>
              <w:gridCol w:w="667"/>
            </w:tblGrid>
            <w:tr w14:paraId="4A71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Align w:val="center"/>
                </w:tcPr>
                <w:p w14:paraId="52F61077">
                  <w:pPr>
                    <w:jc w:val="center"/>
                    <w:rPr>
                      <w:b/>
                      <w:bCs/>
                      <w:sz w:val="21"/>
                      <w:szCs w:val="21"/>
                    </w:rPr>
                  </w:pPr>
                  <w:r>
                    <w:rPr>
                      <w:rFonts w:hint="eastAsia"/>
                      <w:b/>
                      <w:bCs/>
                      <w:sz w:val="21"/>
                      <w:szCs w:val="21"/>
                    </w:rPr>
                    <w:t>监测点位</w:t>
                  </w:r>
                </w:p>
              </w:tc>
              <w:tc>
                <w:tcPr>
                  <w:tcW w:w="701" w:type="pct"/>
                  <w:vAlign w:val="center"/>
                </w:tcPr>
                <w:p w14:paraId="44E279D3">
                  <w:pPr>
                    <w:jc w:val="center"/>
                    <w:rPr>
                      <w:b/>
                      <w:bCs/>
                      <w:sz w:val="21"/>
                      <w:szCs w:val="21"/>
                    </w:rPr>
                  </w:pPr>
                  <w:r>
                    <w:rPr>
                      <w:rFonts w:hint="eastAsia"/>
                      <w:b/>
                      <w:bCs/>
                      <w:sz w:val="21"/>
                      <w:szCs w:val="21"/>
                    </w:rPr>
                    <w:t>与项目相对位置</w:t>
                  </w:r>
                </w:p>
              </w:tc>
              <w:tc>
                <w:tcPr>
                  <w:tcW w:w="472" w:type="pct"/>
                  <w:vAlign w:val="center"/>
                </w:tcPr>
                <w:p w14:paraId="3F687044">
                  <w:pPr>
                    <w:jc w:val="center"/>
                    <w:rPr>
                      <w:b/>
                      <w:bCs/>
                      <w:sz w:val="21"/>
                      <w:szCs w:val="21"/>
                    </w:rPr>
                  </w:pPr>
                  <w:r>
                    <w:rPr>
                      <w:rFonts w:hint="eastAsia"/>
                      <w:b/>
                      <w:bCs/>
                      <w:sz w:val="21"/>
                      <w:szCs w:val="21"/>
                    </w:rPr>
                    <w:t>监测项目</w:t>
                  </w:r>
                </w:p>
              </w:tc>
              <w:tc>
                <w:tcPr>
                  <w:tcW w:w="602" w:type="pct"/>
                  <w:vAlign w:val="center"/>
                </w:tcPr>
                <w:p w14:paraId="24A7A7AA">
                  <w:pPr>
                    <w:jc w:val="center"/>
                    <w:rPr>
                      <w:b/>
                      <w:bCs/>
                      <w:sz w:val="21"/>
                      <w:szCs w:val="21"/>
                    </w:rPr>
                  </w:pPr>
                  <w:r>
                    <w:rPr>
                      <w:b/>
                      <w:bCs/>
                      <w:sz w:val="21"/>
                      <w:szCs w:val="21"/>
                    </w:rPr>
                    <w:t>平均时间</w:t>
                  </w:r>
                </w:p>
              </w:tc>
              <w:tc>
                <w:tcPr>
                  <w:tcW w:w="680" w:type="pct"/>
                  <w:vAlign w:val="center"/>
                </w:tcPr>
                <w:p w14:paraId="4ED7D8C2">
                  <w:pPr>
                    <w:jc w:val="center"/>
                    <w:rPr>
                      <w:b/>
                      <w:bCs/>
                      <w:sz w:val="21"/>
                      <w:szCs w:val="21"/>
                    </w:rPr>
                  </w:pPr>
                  <w:r>
                    <w:rPr>
                      <w:b/>
                      <w:bCs/>
                      <w:sz w:val="21"/>
                      <w:szCs w:val="21"/>
                    </w:rPr>
                    <w:t>评价标准</w:t>
                  </w:r>
                </w:p>
              </w:tc>
              <w:tc>
                <w:tcPr>
                  <w:tcW w:w="805" w:type="pct"/>
                  <w:vAlign w:val="center"/>
                </w:tcPr>
                <w:p w14:paraId="49A36690">
                  <w:pPr>
                    <w:jc w:val="center"/>
                    <w:rPr>
                      <w:b/>
                      <w:bCs/>
                      <w:sz w:val="21"/>
                      <w:szCs w:val="21"/>
                    </w:rPr>
                  </w:pPr>
                  <w:r>
                    <w:rPr>
                      <w:b/>
                      <w:bCs/>
                      <w:sz w:val="21"/>
                      <w:szCs w:val="21"/>
                    </w:rPr>
                    <w:t>监测浓度范围</w:t>
                  </w:r>
                </w:p>
              </w:tc>
              <w:tc>
                <w:tcPr>
                  <w:tcW w:w="693" w:type="pct"/>
                  <w:vAlign w:val="center"/>
                </w:tcPr>
                <w:p w14:paraId="1CA28538">
                  <w:pPr>
                    <w:jc w:val="center"/>
                    <w:rPr>
                      <w:b/>
                      <w:bCs/>
                      <w:sz w:val="21"/>
                      <w:szCs w:val="21"/>
                    </w:rPr>
                  </w:pPr>
                  <w:r>
                    <w:rPr>
                      <w:b/>
                      <w:bCs/>
                      <w:sz w:val="21"/>
                      <w:szCs w:val="21"/>
                    </w:rPr>
                    <w:t>最大浓度占标率/%</w:t>
                  </w:r>
                </w:p>
              </w:tc>
              <w:tc>
                <w:tcPr>
                  <w:tcW w:w="415" w:type="pct"/>
                  <w:vAlign w:val="center"/>
                </w:tcPr>
                <w:p w14:paraId="21DD8632">
                  <w:pPr>
                    <w:jc w:val="center"/>
                    <w:rPr>
                      <w:b/>
                      <w:bCs/>
                      <w:sz w:val="21"/>
                      <w:szCs w:val="21"/>
                    </w:rPr>
                  </w:pPr>
                  <w:r>
                    <w:rPr>
                      <w:b/>
                      <w:bCs/>
                      <w:sz w:val="21"/>
                      <w:szCs w:val="21"/>
                    </w:rPr>
                    <w:t>达标情况</w:t>
                  </w:r>
                </w:p>
              </w:tc>
            </w:tr>
            <w:tr w14:paraId="4C45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restart"/>
                  <w:vAlign w:val="center"/>
                </w:tcPr>
                <w:p w14:paraId="0D8F08E6">
                  <w:pPr>
                    <w:jc w:val="center"/>
                    <w:rPr>
                      <w:sz w:val="21"/>
                      <w:szCs w:val="21"/>
                    </w:rPr>
                  </w:pPr>
                  <w:r>
                    <w:rPr>
                      <w:sz w:val="21"/>
                      <w:szCs w:val="21"/>
                    </w:rPr>
                    <w:t>1</w:t>
                  </w:r>
                  <w:r>
                    <w:rPr>
                      <w:rFonts w:hint="eastAsia"/>
                      <w:sz w:val="21"/>
                      <w:szCs w:val="21"/>
                    </w:rPr>
                    <w:t>#伏虎华侨农场二队</w:t>
                  </w:r>
                </w:p>
              </w:tc>
              <w:tc>
                <w:tcPr>
                  <w:tcW w:w="701" w:type="pct"/>
                  <w:vMerge w:val="restart"/>
                  <w:vAlign w:val="center"/>
                </w:tcPr>
                <w:p w14:paraId="43552730">
                  <w:pPr>
                    <w:jc w:val="center"/>
                    <w:rPr>
                      <w:sz w:val="21"/>
                      <w:szCs w:val="21"/>
                    </w:rPr>
                  </w:pPr>
                  <w:r>
                    <w:rPr>
                      <w:rFonts w:hint="eastAsia"/>
                      <w:sz w:val="21"/>
                      <w:szCs w:val="21"/>
                    </w:rPr>
                    <w:t>位于项目西南方145m处</w:t>
                  </w:r>
                </w:p>
              </w:tc>
              <w:tc>
                <w:tcPr>
                  <w:tcW w:w="472" w:type="pct"/>
                  <w:vAlign w:val="center"/>
                </w:tcPr>
                <w:p w14:paraId="34CD28CA">
                  <w:pPr>
                    <w:jc w:val="center"/>
                    <w:rPr>
                      <w:sz w:val="21"/>
                      <w:szCs w:val="21"/>
                    </w:rPr>
                  </w:pPr>
                  <w:r>
                    <w:rPr>
                      <w:sz w:val="21"/>
                      <w:szCs w:val="21"/>
                    </w:rPr>
                    <w:t>TSP</w:t>
                  </w:r>
                </w:p>
              </w:tc>
              <w:tc>
                <w:tcPr>
                  <w:tcW w:w="602" w:type="pct"/>
                  <w:vAlign w:val="center"/>
                </w:tcPr>
                <w:p w14:paraId="3DA2AABE">
                  <w:pPr>
                    <w:jc w:val="center"/>
                    <w:rPr>
                      <w:sz w:val="21"/>
                      <w:szCs w:val="21"/>
                    </w:rPr>
                  </w:pPr>
                  <w:r>
                    <w:rPr>
                      <w:sz w:val="21"/>
                      <w:szCs w:val="21"/>
                    </w:rPr>
                    <w:t>日均值</w:t>
                  </w:r>
                </w:p>
              </w:tc>
              <w:tc>
                <w:tcPr>
                  <w:tcW w:w="680" w:type="pct"/>
                  <w:vAlign w:val="center"/>
                </w:tcPr>
                <w:p w14:paraId="247D214D">
                  <w:pPr>
                    <w:jc w:val="center"/>
                    <w:rPr>
                      <w:sz w:val="21"/>
                      <w:szCs w:val="21"/>
                    </w:rPr>
                  </w:pPr>
                  <w:r>
                    <w:rPr>
                      <w:sz w:val="21"/>
                      <w:szCs w:val="21"/>
                    </w:rPr>
                    <w:t>300μg/m</w:t>
                  </w:r>
                  <w:r>
                    <w:rPr>
                      <w:sz w:val="21"/>
                      <w:szCs w:val="21"/>
                      <w:vertAlign w:val="superscript"/>
                    </w:rPr>
                    <w:t>3</w:t>
                  </w:r>
                </w:p>
              </w:tc>
              <w:tc>
                <w:tcPr>
                  <w:tcW w:w="805" w:type="pct"/>
                  <w:vAlign w:val="center"/>
                </w:tcPr>
                <w:p w14:paraId="6F735E7D">
                  <w:pPr>
                    <w:jc w:val="center"/>
                    <w:rPr>
                      <w:sz w:val="21"/>
                      <w:szCs w:val="21"/>
                    </w:rPr>
                  </w:pPr>
                  <w:r>
                    <w:rPr>
                      <w:rFonts w:hint="eastAsia" w:ascii="Times New Roman" w:hAnsi="Times New Roman" w:eastAsia="宋体" w:cs="Times New Roman"/>
                      <w:b w:val="0"/>
                      <w:bCs w:val="0"/>
                      <w:color w:val="auto"/>
                      <w:sz w:val="21"/>
                      <w:szCs w:val="21"/>
                      <w:highlight w:val="none"/>
                      <w:lang w:val="en-US" w:eastAsia="zh-CN"/>
                    </w:rPr>
                    <w:t>***</w:t>
                  </w:r>
                  <w:r>
                    <w:rPr>
                      <w:sz w:val="21"/>
                      <w:szCs w:val="21"/>
                    </w:rPr>
                    <w:t>μg/m</w:t>
                  </w:r>
                  <w:r>
                    <w:rPr>
                      <w:sz w:val="21"/>
                      <w:szCs w:val="21"/>
                      <w:vertAlign w:val="superscript"/>
                    </w:rPr>
                    <w:t>3</w:t>
                  </w:r>
                </w:p>
              </w:tc>
              <w:tc>
                <w:tcPr>
                  <w:tcW w:w="693" w:type="pct"/>
                  <w:vAlign w:val="center"/>
                </w:tcPr>
                <w:p w14:paraId="37FCC13F">
                  <w:pPr>
                    <w:jc w:val="center"/>
                    <w:rPr>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415" w:type="pct"/>
                  <w:vAlign w:val="center"/>
                </w:tcPr>
                <w:p w14:paraId="768E4DA6">
                  <w:pPr>
                    <w:jc w:val="center"/>
                    <w:rPr>
                      <w:sz w:val="21"/>
                      <w:szCs w:val="21"/>
                    </w:rPr>
                  </w:pPr>
                  <w:r>
                    <w:rPr>
                      <w:rFonts w:hint="eastAsia"/>
                      <w:sz w:val="21"/>
                      <w:szCs w:val="21"/>
                    </w:rPr>
                    <w:t>达标</w:t>
                  </w:r>
                </w:p>
              </w:tc>
            </w:tr>
            <w:tr w14:paraId="1CDE3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8" w:type="pct"/>
                  <w:vMerge w:val="continue"/>
                  <w:vAlign w:val="center"/>
                </w:tcPr>
                <w:p w14:paraId="2C465E1D">
                  <w:pPr>
                    <w:jc w:val="center"/>
                    <w:rPr>
                      <w:sz w:val="21"/>
                      <w:szCs w:val="21"/>
                    </w:rPr>
                  </w:pPr>
                </w:p>
              </w:tc>
              <w:tc>
                <w:tcPr>
                  <w:tcW w:w="701" w:type="pct"/>
                  <w:vMerge w:val="continue"/>
                  <w:vAlign w:val="center"/>
                </w:tcPr>
                <w:p w14:paraId="22954B6A">
                  <w:pPr>
                    <w:jc w:val="center"/>
                    <w:rPr>
                      <w:sz w:val="21"/>
                      <w:szCs w:val="21"/>
                    </w:rPr>
                  </w:pPr>
                </w:p>
              </w:tc>
              <w:tc>
                <w:tcPr>
                  <w:tcW w:w="472" w:type="pct"/>
                  <w:vAlign w:val="center"/>
                </w:tcPr>
                <w:p w14:paraId="547AE2EB">
                  <w:pPr>
                    <w:jc w:val="center"/>
                    <w:rPr>
                      <w:sz w:val="21"/>
                      <w:szCs w:val="21"/>
                    </w:rPr>
                  </w:pPr>
                  <w:r>
                    <w:rPr>
                      <w:rFonts w:hint="eastAsia"/>
                      <w:sz w:val="21"/>
                      <w:szCs w:val="21"/>
                    </w:rPr>
                    <w:t>硫化氢</w:t>
                  </w:r>
                </w:p>
              </w:tc>
              <w:tc>
                <w:tcPr>
                  <w:tcW w:w="602" w:type="pct"/>
                  <w:vAlign w:val="center"/>
                </w:tcPr>
                <w:p w14:paraId="0960412B">
                  <w:pPr>
                    <w:jc w:val="center"/>
                    <w:rPr>
                      <w:sz w:val="21"/>
                      <w:szCs w:val="21"/>
                    </w:rPr>
                  </w:pPr>
                  <w:r>
                    <w:rPr>
                      <w:rFonts w:hint="eastAsia"/>
                      <w:sz w:val="21"/>
                      <w:szCs w:val="21"/>
                    </w:rPr>
                    <w:t>小时平均值</w:t>
                  </w:r>
                </w:p>
              </w:tc>
              <w:tc>
                <w:tcPr>
                  <w:tcW w:w="680" w:type="pct"/>
                  <w:vAlign w:val="center"/>
                </w:tcPr>
                <w:p w14:paraId="4CB0C265">
                  <w:pPr>
                    <w:jc w:val="center"/>
                    <w:rPr>
                      <w:sz w:val="21"/>
                      <w:szCs w:val="21"/>
                    </w:rPr>
                  </w:pPr>
                  <w:r>
                    <w:rPr>
                      <w:rFonts w:hint="eastAsia"/>
                      <w:sz w:val="21"/>
                      <w:szCs w:val="21"/>
                    </w:rPr>
                    <w:t>10</w:t>
                  </w:r>
                  <w:r>
                    <w:rPr>
                      <w:sz w:val="21"/>
                      <w:szCs w:val="21"/>
                    </w:rPr>
                    <w:t>μg/m</w:t>
                  </w:r>
                  <w:r>
                    <w:rPr>
                      <w:sz w:val="21"/>
                      <w:szCs w:val="21"/>
                      <w:vertAlign w:val="superscript"/>
                    </w:rPr>
                    <w:t>3</w:t>
                  </w:r>
                </w:p>
              </w:tc>
              <w:tc>
                <w:tcPr>
                  <w:tcW w:w="805" w:type="pct"/>
                  <w:vAlign w:val="center"/>
                </w:tcPr>
                <w:p w14:paraId="341E8A3D">
                  <w:pPr>
                    <w:jc w:val="center"/>
                    <w:rPr>
                      <w:sz w:val="21"/>
                      <w:szCs w:val="21"/>
                    </w:rPr>
                  </w:pPr>
                  <w:r>
                    <w:rPr>
                      <w:rFonts w:hint="eastAsia" w:ascii="Times New Roman" w:hAnsi="Times New Roman" w:eastAsia="宋体" w:cs="Times New Roman"/>
                      <w:b w:val="0"/>
                      <w:bCs w:val="0"/>
                      <w:color w:val="auto"/>
                      <w:sz w:val="21"/>
                      <w:szCs w:val="21"/>
                      <w:highlight w:val="none"/>
                      <w:lang w:val="en-US" w:eastAsia="zh-CN"/>
                    </w:rPr>
                    <w:t>***</w:t>
                  </w:r>
                  <w:r>
                    <w:rPr>
                      <w:sz w:val="21"/>
                      <w:szCs w:val="21"/>
                    </w:rPr>
                    <w:t>μg/m</w:t>
                  </w:r>
                  <w:r>
                    <w:rPr>
                      <w:sz w:val="21"/>
                      <w:szCs w:val="21"/>
                      <w:vertAlign w:val="superscript"/>
                    </w:rPr>
                    <w:t>3</w:t>
                  </w:r>
                </w:p>
              </w:tc>
              <w:tc>
                <w:tcPr>
                  <w:tcW w:w="693" w:type="pct"/>
                  <w:vAlign w:val="center"/>
                </w:tcPr>
                <w:p w14:paraId="12AA0F12">
                  <w:pPr>
                    <w:jc w:val="center"/>
                    <w:rPr>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415" w:type="pct"/>
                  <w:vAlign w:val="center"/>
                </w:tcPr>
                <w:p w14:paraId="2110CEE7">
                  <w:pPr>
                    <w:jc w:val="center"/>
                    <w:rPr>
                      <w:sz w:val="21"/>
                      <w:szCs w:val="21"/>
                    </w:rPr>
                  </w:pPr>
                  <w:r>
                    <w:rPr>
                      <w:rFonts w:hint="eastAsia"/>
                      <w:sz w:val="21"/>
                      <w:szCs w:val="21"/>
                    </w:rPr>
                    <w:t>达标</w:t>
                  </w:r>
                </w:p>
              </w:tc>
            </w:tr>
          </w:tbl>
          <w:p w14:paraId="13210DC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sz w:val="21"/>
                <w:szCs w:val="21"/>
              </w:rPr>
            </w:pPr>
            <w:r>
              <w:rPr>
                <w:rFonts w:hint="eastAsia"/>
                <w:sz w:val="21"/>
                <w:szCs w:val="21"/>
              </w:rPr>
              <w:t>未检出以“ND”表示。</w:t>
            </w:r>
          </w:p>
          <w:p w14:paraId="761A4D4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3、水环境质量现状</w:t>
            </w:r>
          </w:p>
          <w:p w14:paraId="6A1484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项目周边地表河流为融江，根据广西柳州市生态环境局网站公布的《2025年柳州市生态环境状况公报》，2025年柳州市国控断面10个，区断面2个，市控断面6个。其中10个国控断面中，年均评价为Ⅰ类水质的断面6个、Ⅱ类水质的断面4个。所测融江的5个断面水质年均评价均达到或优于《地表水环境质量标准》（GB3838-2002）Ⅱ类水质标准。因此项目周边地表河流（融江）水质满足《地表水环境质量标准》（GB3838-2002）Ⅱ类水质标准。</w:t>
            </w:r>
          </w:p>
          <w:p w14:paraId="301E855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4、声环境质量现状</w:t>
            </w:r>
          </w:p>
          <w:p w14:paraId="1DEE24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本项目厂界外周边50m范围内不存在声环境保护目标，因此无需监测声环境质量现状。</w:t>
            </w:r>
          </w:p>
          <w:p w14:paraId="5406061D">
            <w:pPr>
              <w:spacing w:line="360" w:lineRule="auto"/>
              <w:rPr>
                <w:b/>
                <w:bCs/>
                <w:color w:val="auto"/>
              </w:rPr>
            </w:pPr>
            <w:r>
              <w:rPr>
                <w:rFonts w:hint="eastAsia"/>
                <w:b/>
                <w:bCs/>
                <w:color w:val="auto"/>
              </w:rPr>
              <w:t>5、土壤环境现状</w:t>
            </w:r>
          </w:p>
          <w:p w14:paraId="062571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根据《环境影响评级导则 土壤环境》（HJ964-2018），本项目为专业技术服务业，属于Ⅳ类项目，不需要做土壤环境现状补充监测和调查。本项目钻井过程中钻井液用到的化学药剂及柴油可能会对土壤环境造成影响，本次评价引用《广西柳城北区块伏虎西页岩气资源评价与选区研究(桂融地4井勘探项目)》的监测结果对土壤环境质量现状进行评价，监测时间为2025年12月2日，在项目范围内布设1个表层样点。监测布点情况和结果见下表。</w:t>
            </w:r>
          </w:p>
          <w:p w14:paraId="6575D7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表3-3 土壤监测布点情况一览表</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77"/>
              <w:gridCol w:w="2677"/>
              <w:gridCol w:w="2683"/>
            </w:tblGrid>
            <w:tr w14:paraId="03E05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65" w:type="pct"/>
                  <w:vAlign w:val="center"/>
                </w:tcPr>
                <w:p w14:paraId="74D729A5">
                  <w:pPr>
                    <w:jc w:val="center"/>
                    <w:rPr>
                      <w:b/>
                      <w:bCs/>
                      <w:color w:val="auto"/>
                      <w:sz w:val="21"/>
                      <w:szCs w:val="21"/>
                    </w:rPr>
                  </w:pPr>
                  <w:r>
                    <w:rPr>
                      <w:b/>
                      <w:bCs/>
                      <w:color w:val="auto"/>
                      <w:sz w:val="21"/>
                      <w:szCs w:val="21"/>
                    </w:rPr>
                    <w:t>监测点位</w:t>
                  </w:r>
                </w:p>
              </w:tc>
              <w:tc>
                <w:tcPr>
                  <w:tcW w:w="1665" w:type="pct"/>
                  <w:vAlign w:val="center"/>
                </w:tcPr>
                <w:p w14:paraId="7D659B18">
                  <w:pPr>
                    <w:jc w:val="center"/>
                    <w:rPr>
                      <w:b/>
                      <w:bCs/>
                      <w:color w:val="auto"/>
                      <w:sz w:val="21"/>
                      <w:szCs w:val="21"/>
                    </w:rPr>
                  </w:pPr>
                  <w:r>
                    <w:rPr>
                      <w:b/>
                      <w:bCs/>
                      <w:color w:val="auto"/>
                      <w:sz w:val="21"/>
                      <w:szCs w:val="21"/>
                    </w:rPr>
                    <w:t>监测位置</w:t>
                  </w:r>
                </w:p>
              </w:tc>
              <w:tc>
                <w:tcPr>
                  <w:tcW w:w="1668" w:type="pct"/>
                  <w:vAlign w:val="center"/>
                </w:tcPr>
                <w:p w14:paraId="3DFBE72C">
                  <w:pPr>
                    <w:jc w:val="center"/>
                    <w:rPr>
                      <w:b/>
                      <w:bCs/>
                      <w:color w:val="auto"/>
                      <w:sz w:val="21"/>
                      <w:szCs w:val="21"/>
                    </w:rPr>
                  </w:pPr>
                  <w:r>
                    <w:rPr>
                      <w:b/>
                      <w:bCs/>
                      <w:color w:val="auto"/>
                      <w:sz w:val="21"/>
                      <w:szCs w:val="21"/>
                    </w:rPr>
                    <w:t>备注</w:t>
                  </w:r>
                </w:p>
              </w:tc>
            </w:tr>
            <w:tr w14:paraId="7EED3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5" w:type="pct"/>
                  <w:vAlign w:val="center"/>
                </w:tcPr>
                <w:p w14:paraId="512D9E22">
                  <w:pPr>
                    <w:jc w:val="center"/>
                    <w:rPr>
                      <w:color w:val="auto"/>
                      <w:sz w:val="21"/>
                      <w:szCs w:val="21"/>
                    </w:rPr>
                  </w:pPr>
                  <w:r>
                    <w:rPr>
                      <w:color w:val="auto"/>
                      <w:sz w:val="21"/>
                      <w:szCs w:val="21"/>
                    </w:rPr>
                    <w:t>1#</w:t>
                  </w:r>
                </w:p>
              </w:tc>
              <w:tc>
                <w:tcPr>
                  <w:tcW w:w="1665" w:type="pct"/>
                  <w:vAlign w:val="center"/>
                </w:tcPr>
                <w:p w14:paraId="5E186B12">
                  <w:pPr>
                    <w:jc w:val="center"/>
                    <w:rPr>
                      <w:color w:val="auto"/>
                      <w:sz w:val="21"/>
                      <w:szCs w:val="21"/>
                    </w:rPr>
                  </w:pPr>
                  <w:r>
                    <w:rPr>
                      <w:rFonts w:hint="eastAsia"/>
                      <w:color w:val="auto"/>
                      <w:sz w:val="21"/>
                      <w:szCs w:val="21"/>
                    </w:rPr>
                    <w:t>项目西南面地块</w:t>
                  </w:r>
                </w:p>
              </w:tc>
              <w:tc>
                <w:tcPr>
                  <w:tcW w:w="1668" w:type="pct"/>
                  <w:vAlign w:val="center"/>
                </w:tcPr>
                <w:p w14:paraId="69D080E1">
                  <w:pPr>
                    <w:jc w:val="center"/>
                    <w:rPr>
                      <w:color w:val="auto"/>
                      <w:sz w:val="21"/>
                      <w:szCs w:val="21"/>
                    </w:rPr>
                  </w:pPr>
                  <w:r>
                    <w:rPr>
                      <w:rFonts w:hint="eastAsia"/>
                      <w:color w:val="auto"/>
                      <w:sz w:val="21"/>
                      <w:szCs w:val="21"/>
                    </w:rPr>
                    <w:t>采样深度0~0.2m</w:t>
                  </w:r>
                </w:p>
              </w:tc>
            </w:tr>
          </w:tbl>
          <w:p w14:paraId="6D0F2F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表3-4 1#土壤监测结果 单位：mg/kg</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1374"/>
              <w:gridCol w:w="2512"/>
              <w:gridCol w:w="1175"/>
              <w:gridCol w:w="1083"/>
            </w:tblGrid>
            <w:tr w14:paraId="2AD18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76" w:type="pct"/>
                  <w:vAlign w:val="center"/>
                </w:tcPr>
                <w:p w14:paraId="7AA406AF">
                  <w:pPr>
                    <w:jc w:val="center"/>
                    <w:rPr>
                      <w:b w:val="0"/>
                      <w:bCs w:val="0"/>
                      <w:color w:val="auto"/>
                      <w:sz w:val="21"/>
                      <w:szCs w:val="21"/>
                    </w:rPr>
                  </w:pPr>
                  <w:r>
                    <w:rPr>
                      <w:rFonts w:hint="eastAsia"/>
                      <w:b w:val="0"/>
                      <w:bCs w:val="0"/>
                      <w:color w:val="auto"/>
                      <w:sz w:val="21"/>
                      <w:szCs w:val="21"/>
                    </w:rPr>
                    <w:t>监测项目</w:t>
                  </w:r>
                </w:p>
              </w:tc>
              <w:tc>
                <w:tcPr>
                  <w:tcW w:w="855" w:type="pct"/>
                  <w:vAlign w:val="center"/>
                </w:tcPr>
                <w:p w14:paraId="01A172DF">
                  <w:pPr>
                    <w:jc w:val="center"/>
                    <w:rPr>
                      <w:b w:val="0"/>
                      <w:bCs w:val="0"/>
                      <w:color w:val="auto"/>
                      <w:sz w:val="21"/>
                      <w:szCs w:val="21"/>
                    </w:rPr>
                  </w:pPr>
                  <w:r>
                    <w:rPr>
                      <w:rFonts w:hint="eastAsia"/>
                      <w:b w:val="0"/>
                      <w:bCs w:val="0"/>
                      <w:color w:val="auto"/>
                      <w:sz w:val="21"/>
                      <w:szCs w:val="21"/>
                    </w:rPr>
                    <w:t>风险筛选值</w:t>
                  </w:r>
                </w:p>
              </w:tc>
              <w:tc>
                <w:tcPr>
                  <w:tcW w:w="1563" w:type="pct"/>
                  <w:vAlign w:val="center"/>
                </w:tcPr>
                <w:p w14:paraId="08232CC3">
                  <w:pPr>
                    <w:jc w:val="center"/>
                    <w:rPr>
                      <w:rFonts w:hint="eastAsia"/>
                      <w:b w:val="0"/>
                      <w:bCs w:val="0"/>
                      <w:color w:val="auto"/>
                      <w:sz w:val="21"/>
                      <w:szCs w:val="21"/>
                    </w:rPr>
                  </w:pPr>
                  <w:r>
                    <w:rPr>
                      <w:rFonts w:hint="eastAsia" w:cs="Times New Roman"/>
                      <w:b w:val="0"/>
                      <w:bCs w:val="0"/>
                      <w:caps w:val="0"/>
                      <w:smallCaps w:val="0"/>
                      <w:color w:val="auto"/>
                      <w:kern w:val="0"/>
                      <w:sz w:val="21"/>
                      <w:szCs w:val="21"/>
                      <w:highlight w:val="none"/>
                      <w:u w:val="none" w:color="auto"/>
                      <w:lang w:val="en-US" w:eastAsia="zh-CN"/>
                    </w:rPr>
                    <w:t>风险管制值</w:t>
                  </w:r>
                </w:p>
              </w:tc>
              <w:tc>
                <w:tcPr>
                  <w:tcW w:w="731" w:type="pct"/>
                  <w:vAlign w:val="center"/>
                </w:tcPr>
                <w:p w14:paraId="29C07BE7">
                  <w:pPr>
                    <w:jc w:val="center"/>
                    <w:rPr>
                      <w:b w:val="0"/>
                      <w:bCs w:val="0"/>
                      <w:color w:val="auto"/>
                      <w:sz w:val="21"/>
                      <w:szCs w:val="21"/>
                    </w:rPr>
                  </w:pPr>
                  <w:r>
                    <w:rPr>
                      <w:rFonts w:hint="eastAsia"/>
                      <w:b w:val="0"/>
                      <w:bCs w:val="0"/>
                      <w:color w:val="auto"/>
                      <w:sz w:val="21"/>
                      <w:szCs w:val="21"/>
                    </w:rPr>
                    <w:t>监测结果</w:t>
                  </w:r>
                </w:p>
              </w:tc>
              <w:tc>
                <w:tcPr>
                  <w:tcW w:w="674" w:type="pct"/>
                  <w:vAlign w:val="center"/>
                </w:tcPr>
                <w:p w14:paraId="585E0ACF">
                  <w:pPr>
                    <w:jc w:val="center"/>
                    <w:rPr>
                      <w:b w:val="0"/>
                      <w:bCs w:val="0"/>
                      <w:color w:val="auto"/>
                      <w:sz w:val="21"/>
                      <w:szCs w:val="21"/>
                    </w:rPr>
                  </w:pPr>
                  <w:r>
                    <w:rPr>
                      <w:rFonts w:hint="eastAsia"/>
                      <w:b w:val="0"/>
                      <w:bCs w:val="0"/>
                      <w:color w:val="auto"/>
                      <w:sz w:val="21"/>
                      <w:szCs w:val="21"/>
                    </w:rPr>
                    <w:t>达标情况</w:t>
                  </w:r>
                </w:p>
              </w:tc>
            </w:tr>
            <w:tr w14:paraId="36519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1CDA59B3">
                  <w:pPr>
                    <w:jc w:val="center"/>
                    <w:rPr>
                      <w:color w:val="auto"/>
                      <w:sz w:val="21"/>
                      <w:szCs w:val="21"/>
                    </w:rPr>
                  </w:pPr>
                  <w:r>
                    <w:rPr>
                      <w:rFonts w:hint="eastAsia"/>
                      <w:color w:val="auto"/>
                      <w:sz w:val="21"/>
                      <w:szCs w:val="21"/>
                    </w:rPr>
                    <w:t>pH值（无量纲）</w:t>
                  </w:r>
                </w:p>
              </w:tc>
              <w:tc>
                <w:tcPr>
                  <w:tcW w:w="855" w:type="pct"/>
                  <w:vAlign w:val="center"/>
                </w:tcPr>
                <w:p w14:paraId="7FAFFBA5">
                  <w:pPr>
                    <w:jc w:val="center"/>
                    <w:rPr>
                      <w:color w:val="auto"/>
                      <w:sz w:val="21"/>
                      <w:szCs w:val="21"/>
                    </w:rPr>
                  </w:pPr>
                  <w:r>
                    <w:rPr>
                      <w:rFonts w:hint="eastAsia"/>
                      <w:color w:val="auto"/>
                      <w:sz w:val="21"/>
                      <w:szCs w:val="21"/>
                    </w:rPr>
                    <w:t>5.5&lt;pH≤6.5</w:t>
                  </w:r>
                </w:p>
              </w:tc>
              <w:tc>
                <w:tcPr>
                  <w:tcW w:w="1563" w:type="pct"/>
                  <w:vAlign w:val="center"/>
                </w:tcPr>
                <w:p w14:paraId="5315A094">
                  <w:pPr>
                    <w:jc w:val="center"/>
                    <w:rPr>
                      <w:rFonts w:hint="eastAsia" w:ascii="Times New Roman" w:hAnsi="Times New Roman" w:eastAsia="宋体" w:cs="Times New Roman"/>
                      <w:b w:val="0"/>
                      <w:bCs w:val="0"/>
                      <w:color w:val="auto"/>
                      <w:sz w:val="21"/>
                      <w:szCs w:val="21"/>
                      <w:highlight w:val="none"/>
                      <w:lang w:val="en-US" w:eastAsia="zh-CN"/>
                    </w:rPr>
                  </w:pPr>
                  <w:r>
                    <w:rPr>
                      <w:rFonts w:hint="eastAsia" w:ascii="Times New Roman" w:hAnsi="Times New Roman" w:eastAsia="宋体" w:cs="Times New Roman"/>
                      <w:b w:val="0"/>
                      <w:bCs w:val="0"/>
                      <w:caps w:val="0"/>
                      <w:smallCaps w:val="0"/>
                      <w:color w:val="auto"/>
                      <w:kern w:val="0"/>
                      <w:sz w:val="21"/>
                      <w:szCs w:val="21"/>
                      <w:highlight w:val="none"/>
                      <w:u w:val="none" w:color="auto"/>
                      <w:lang w:val="en-US" w:eastAsia="zh-CN"/>
                    </w:rPr>
                    <w:t>5.5＜pH≤6.5</w:t>
                  </w:r>
                </w:p>
              </w:tc>
              <w:tc>
                <w:tcPr>
                  <w:tcW w:w="731" w:type="pct"/>
                  <w:vAlign w:val="center"/>
                </w:tcPr>
                <w:p w14:paraId="1D55DE0F">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vAlign w:val="center"/>
                </w:tcPr>
                <w:p w14:paraId="02349555">
                  <w:pPr>
                    <w:jc w:val="center"/>
                    <w:rPr>
                      <w:color w:val="auto"/>
                      <w:sz w:val="21"/>
                      <w:szCs w:val="21"/>
                    </w:rPr>
                  </w:pPr>
                  <w:r>
                    <w:rPr>
                      <w:rFonts w:hint="eastAsia"/>
                      <w:color w:val="auto"/>
                      <w:sz w:val="21"/>
                      <w:szCs w:val="21"/>
                    </w:rPr>
                    <w:t>/</w:t>
                  </w:r>
                </w:p>
              </w:tc>
            </w:tr>
            <w:tr w14:paraId="3D3E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72A6BD34">
                  <w:pPr>
                    <w:jc w:val="center"/>
                    <w:rPr>
                      <w:color w:val="auto"/>
                      <w:sz w:val="21"/>
                      <w:szCs w:val="21"/>
                    </w:rPr>
                  </w:pPr>
                  <w:r>
                    <w:rPr>
                      <w:rFonts w:hint="eastAsia"/>
                      <w:color w:val="auto"/>
                      <w:sz w:val="21"/>
                      <w:szCs w:val="21"/>
                    </w:rPr>
                    <w:t>镉</w:t>
                  </w:r>
                </w:p>
              </w:tc>
              <w:tc>
                <w:tcPr>
                  <w:tcW w:w="855" w:type="pct"/>
                  <w:vAlign w:val="center"/>
                </w:tcPr>
                <w:p w14:paraId="01B56D81">
                  <w:pPr>
                    <w:jc w:val="center"/>
                    <w:rPr>
                      <w:color w:val="auto"/>
                      <w:sz w:val="21"/>
                      <w:szCs w:val="21"/>
                    </w:rPr>
                  </w:pPr>
                  <w:r>
                    <w:rPr>
                      <w:rFonts w:hint="eastAsia"/>
                      <w:color w:val="auto"/>
                      <w:sz w:val="21"/>
                      <w:szCs w:val="21"/>
                    </w:rPr>
                    <w:t>0.3</w:t>
                  </w:r>
                </w:p>
              </w:tc>
              <w:tc>
                <w:tcPr>
                  <w:tcW w:w="1563" w:type="pct"/>
                  <w:shd w:val="clear" w:color="auto" w:fill="auto"/>
                  <w:vAlign w:val="center"/>
                </w:tcPr>
                <w:p w14:paraId="3EF17E7D">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2.0</w:t>
                  </w:r>
                </w:p>
              </w:tc>
              <w:tc>
                <w:tcPr>
                  <w:tcW w:w="731" w:type="pct"/>
                  <w:vAlign w:val="center"/>
                </w:tcPr>
                <w:p w14:paraId="283699D9">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vAlign w:val="center"/>
                </w:tcPr>
                <w:p w14:paraId="51B8E536">
                  <w:pPr>
                    <w:jc w:val="center"/>
                    <w:rPr>
                      <w:color w:val="auto"/>
                      <w:sz w:val="21"/>
                      <w:szCs w:val="21"/>
                    </w:rPr>
                  </w:pPr>
                  <w:r>
                    <w:rPr>
                      <w:rFonts w:hint="eastAsia"/>
                      <w:color w:val="auto"/>
                      <w:sz w:val="21"/>
                      <w:szCs w:val="21"/>
                    </w:rPr>
                    <w:t>超标</w:t>
                  </w:r>
                </w:p>
              </w:tc>
            </w:tr>
            <w:tr w14:paraId="1D37F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15A27E53">
                  <w:pPr>
                    <w:jc w:val="center"/>
                    <w:rPr>
                      <w:color w:val="auto"/>
                      <w:sz w:val="21"/>
                      <w:szCs w:val="21"/>
                    </w:rPr>
                  </w:pPr>
                  <w:r>
                    <w:rPr>
                      <w:rFonts w:hint="eastAsia"/>
                      <w:color w:val="auto"/>
                      <w:sz w:val="21"/>
                      <w:szCs w:val="21"/>
                    </w:rPr>
                    <w:t>汞</w:t>
                  </w:r>
                </w:p>
              </w:tc>
              <w:tc>
                <w:tcPr>
                  <w:tcW w:w="855" w:type="pct"/>
                  <w:vAlign w:val="center"/>
                </w:tcPr>
                <w:p w14:paraId="15D4E343">
                  <w:pPr>
                    <w:jc w:val="center"/>
                    <w:rPr>
                      <w:color w:val="auto"/>
                      <w:sz w:val="21"/>
                      <w:szCs w:val="21"/>
                    </w:rPr>
                  </w:pPr>
                  <w:r>
                    <w:rPr>
                      <w:rFonts w:hint="eastAsia"/>
                      <w:color w:val="auto"/>
                      <w:sz w:val="21"/>
                      <w:szCs w:val="21"/>
                    </w:rPr>
                    <w:t>1.8</w:t>
                  </w:r>
                </w:p>
              </w:tc>
              <w:tc>
                <w:tcPr>
                  <w:tcW w:w="1563" w:type="pct"/>
                  <w:shd w:val="clear" w:color="auto" w:fill="auto"/>
                  <w:vAlign w:val="center"/>
                </w:tcPr>
                <w:p w14:paraId="74E250D7">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2.5</w:t>
                  </w:r>
                </w:p>
              </w:tc>
              <w:tc>
                <w:tcPr>
                  <w:tcW w:w="731" w:type="pct"/>
                  <w:vAlign w:val="center"/>
                </w:tcPr>
                <w:p w14:paraId="231F4228">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vAlign w:val="center"/>
                </w:tcPr>
                <w:p w14:paraId="0139B095">
                  <w:pPr>
                    <w:jc w:val="center"/>
                    <w:rPr>
                      <w:color w:val="auto"/>
                      <w:sz w:val="21"/>
                      <w:szCs w:val="21"/>
                    </w:rPr>
                  </w:pPr>
                  <w:r>
                    <w:rPr>
                      <w:rFonts w:hint="eastAsia"/>
                      <w:color w:val="auto"/>
                      <w:sz w:val="21"/>
                      <w:szCs w:val="21"/>
                    </w:rPr>
                    <w:t>达标</w:t>
                  </w:r>
                </w:p>
              </w:tc>
            </w:tr>
            <w:tr w14:paraId="2974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065F4FC8">
                  <w:pPr>
                    <w:jc w:val="center"/>
                    <w:rPr>
                      <w:color w:val="auto"/>
                      <w:sz w:val="21"/>
                      <w:szCs w:val="21"/>
                    </w:rPr>
                  </w:pPr>
                  <w:r>
                    <w:rPr>
                      <w:rFonts w:hint="eastAsia"/>
                      <w:color w:val="auto"/>
                      <w:sz w:val="21"/>
                      <w:szCs w:val="21"/>
                    </w:rPr>
                    <w:t>砷</w:t>
                  </w:r>
                </w:p>
              </w:tc>
              <w:tc>
                <w:tcPr>
                  <w:tcW w:w="855" w:type="pct"/>
                  <w:vAlign w:val="center"/>
                </w:tcPr>
                <w:p w14:paraId="11844F83">
                  <w:pPr>
                    <w:jc w:val="center"/>
                    <w:rPr>
                      <w:color w:val="auto"/>
                      <w:sz w:val="21"/>
                      <w:szCs w:val="21"/>
                    </w:rPr>
                  </w:pPr>
                  <w:r>
                    <w:rPr>
                      <w:rFonts w:hint="eastAsia"/>
                      <w:color w:val="auto"/>
                      <w:sz w:val="21"/>
                      <w:szCs w:val="21"/>
                    </w:rPr>
                    <w:t>40</w:t>
                  </w:r>
                </w:p>
              </w:tc>
              <w:tc>
                <w:tcPr>
                  <w:tcW w:w="1563" w:type="pct"/>
                  <w:shd w:val="clear" w:color="auto" w:fill="auto"/>
                  <w:vAlign w:val="center"/>
                </w:tcPr>
                <w:p w14:paraId="259F51B0">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150</w:t>
                  </w:r>
                </w:p>
              </w:tc>
              <w:tc>
                <w:tcPr>
                  <w:tcW w:w="731" w:type="pct"/>
                  <w:vAlign w:val="center"/>
                </w:tcPr>
                <w:p w14:paraId="1BEB17FE">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25041A5E">
                  <w:pPr>
                    <w:jc w:val="center"/>
                    <w:rPr>
                      <w:color w:val="auto"/>
                      <w:sz w:val="21"/>
                      <w:szCs w:val="21"/>
                    </w:rPr>
                  </w:pPr>
                  <w:r>
                    <w:rPr>
                      <w:rFonts w:hint="eastAsia"/>
                      <w:color w:val="auto"/>
                      <w:sz w:val="21"/>
                      <w:szCs w:val="21"/>
                    </w:rPr>
                    <w:t>达标</w:t>
                  </w:r>
                </w:p>
              </w:tc>
            </w:tr>
            <w:tr w14:paraId="32DB5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6EED3F04">
                  <w:pPr>
                    <w:jc w:val="center"/>
                    <w:rPr>
                      <w:color w:val="auto"/>
                      <w:sz w:val="21"/>
                      <w:szCs w:val="21"/>
                    </w:rPr>
                  </w:pPr>
                  <w:r>
                    <w:rPr>
                      <w:rFonts w:hint="eastAsia"/>
                      <w:color w:val="auto"/>
                      <w:sz w:val="21"/>
                      <w:szCs w:val="21"/>
                    </w:rPr>
                    <w:t>铅</w:t>
                  </w:r>
                </w:p>
              </w:tc>
              <w:tc>
                <w:tcPr>
                  <w:tcW w:w="855" w:type="pct"/>
                  <w:vAlign w:val="center"/>
                </w:tcPr>
                <w:p w14:paraId="1E97817E">
                  <w:pPr>
                    <w:jc w:val="center"/>
                    <w:rPr>
                      <w:color w:val="auto"/>
                      <w:sz w:val="21"/>
                      <w:szCs w:val="21"/>
                    </w:rPr>
                  </w:pPr>
                  <w:r>
                    <w:rPr>
                      <w:rFonts w:hint="eastAsia"/>
                      <w:color w:val="auto"/>
                      <w:sz w:val="21"/>
                      <w:szCs w:val="21"/>
                    </w:rPr>
                    <w:t>90</w:t>
                  </w:r>
                </w:p>
              </w:tc>
              <w:tc>
                <w:tcPr>
                  <w:tcW w:w="1563" w:type="pct"/>
                  <w:shd w:val="clear" w:color="auto" w:fill="auto"/>
                  <w:vAlign w:val="center"/>
                </w:tcPr>
                <w:p w14:paraId="48F91764">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500</w:t>
                  </w:r>
                </w:p>
              </w:tc>
              <w:tc>
                <w:tcPr>
                  <w:tcW w:w="731" w:type="pct"/>
                  <w:vAlign w:val="center"/>
                </w:tcPr>
                <w:p w14:paraId="354F7266">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43E492AA">
                  <w:pPr>
                    <w:jc w:val="center"/>
                    <w:rPr>
                      <w:color w:val="auto"/>
                      <w:sz w:val="21"/>
                      <w:szCs w:val="21"/>
                    </w:rPr>
                  </w:pPr>
                  <w:r>
                    <w:rPr>
                      <w:rFonts w:hint="eastAsia"/>
                      <w:color w:val="auto"/>
                      <w:sz w:val="21"/>
                      <w:szCs w:val="21"/>
                    </w:rPr>
                    <w:t>达标</w:t>
                  </w:r>
                </w:p>
              </w:tc>
            </w:tr>
            <w:tr w14:paraId="33D5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23551742">
                  <w:pPr>
                    <w:jc w:val="center"/>
                    <w:rPr>
                      <w:color w:val="auto"/>
                      <w:sz w:val="21"/>
                      <w:szCs w:val="21"/>
                    </w:rPr>
                  </w:pPr>
                  <w:r>
                    <w:rPr>
                      <w:rFonts w:hint="eastAsia"/>
                      <w:color w:val="auto"/>
                      <w:sz w:val="21"/>
                      <w:szCs w:val="21"/>
                    </w:rPr>
                    <w:t>铬</w:t>
                  </w:r>
                </w:p>
              </w:tc>
              <w:tc>
                <w:tcPr>
                  <w:tcW w:w="855" w:type="pct"/>
                  <w:vAlign w:val="center"/>
                </w:tcPr>
                <w:p w14:paraId="126A03B0">
                  <w:pPr>
                    <w:jc w:val="center"/>
                    <w:rPr>
                      <w:color w:val="auto"/>
                      <w:sz w:val="21"/>
                      <w:szCs w:val="21"/>
                    </w:rPr>
                  </w:pPr>
                  <w:r>
                    <w:rPr>
                      <w:rFonts w:hint="eastAsia"/>
                      <w:color w:val="auto"/>
                      <w:sz w:val="21"/>
                      <w:szCs w:val="21"/>
                    </w:rPr>
                    <w:t>150</w:t>
                  </w:r>
                </w:p>
              </w:tc>
              <w:tc>
                <w:tcPr>
                  <w:tcW w:w="1563" w:type="pct"/>
                  <w:shd w:val="clear" w:color="auto" w:fill="auto"/>
                  <w:vAlign w:val="center"/>
                </w:tcPr>
                <w:p w14:paraId="7C66DB28">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850</w:t>
                  </w:r>
                </w:p>
              </w:tc>
              <w:tc>
                <w:tcPr>
                  <w:tcW w:w="731" w:type="pct"/>
                  <w:vAlign w:val="center"/>
                </w:tcPr>
                <w:p w14:paraId="081C4012">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3ED2B0CE">
                  <w:pPr>
                    <w:jc w:val="center"/>
                    <w:rPr>
                      <w:color w:val="auto"/>
                      <w:sz w:val="21"/>
                      <w:szCs w:val="21"/>
                    </w:rPr>
                  </w:pPr>
                  <w:r>
                    <w:rPr>
                      <w:rFonts w:hint="eastAsia"/>
                      <w:color w:val="auto"/>
                      <w:sz w:val="21"/>
                      <w:szCs w:val="21"/>
                    </w:rPr>
                    <w:t>达标</w:t>
                  </w:r>
                </w:p>
              </w:tc>
            </w:tr>
            <w:tr w14:paraId="2108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26616A46">
                  <w:pPr>
                    <w:jc w:val="center"/>
                    <w:rPr>
                      <w:color w:val="auto"/>
                      <w:sz w:val="21"/>
                      <w:szCs w:val="21"/>
                    </w:rPr>
                  </w:pPr>
                  <w:r>
                    <w:rPr>
                      <w:rFonts w:hint="eastAsia"/>
                      <w:color w:val="auto"/>
                      <w:sz w:val="21"/>
                      <w:szCs w:val="21"/>
                    </w:rPr>
                    <w:t>铜</w:t>
                  </w:r>
                </w:p>
              </w:tc>
              <w:tc>
                <w:tcPr>
                  <w:tcW w:w="855" w:type="pct"/>
                  <w:vAlign w:val="center"/>
                </w:tcPr>
                <w:p w14:paraId="0236B6E1">
                  <w:pPr>
                    <w:jc w:val="center"/>
                    <w:rPr>
                      <w:color w:val="auto"/>
                      <w:sz w:val="21"/>
                      <w:szCs w:val="21"/>
                    </w:rPr>
                  </w:pPr>
                  <w:r>
                    <w:rPr>
                      <w:rFonts w:hint="eastAsia"/>
                      <w:color w:val="auto"/>
                      <w:sz w:val="21"/>
                      <w:szCs w:val="21"/>
                    </w:rPr>
                    <w:t>50</w:t>
                  </w:r>
                </w:p>
              </w:tc>
              <w:tc>
                <w:tcPr>
                  <w:tcW w:w="1563" w:type="pct"/>
                  <w:shd w:val="clear" w:color="auto" w:fill="auto"/>
                  <w:vAlign w:val="center"/>
                </w:tcPr>
                <w:p w14:paraId="027C73CC">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bCs/>
                      <w:caps w:val="0"/>
                      <w:smallCaps w:val="0"/>
                      <w:color w:val="auto"/>
                      <w:kern w:val="0"/>
                      <w:sz w:val="21"/>
                      <w:szCs w:val="21"/>
                      <w:highlight w:val="none"/>
                      <w:u w:val="none" w:color="auto"/>
                      <w:lang w:val="en-US" w:eastAsia="zh-CN"/>
                    </w:rPr>
                    <w:t>/</w:t>
                  </w:r>
                </w:p>
              </w:tc>
              <w:tc>
                <w:tcPr>
                  <w:tcW w:w="731" w:type="pct"/>
                  <w:vAlign w:val="center"/>
                </w:tcPr>
                <w:p w14:paraId="0812991A">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4C88393D">
                  <w:pPr>
                    <w:jc w:val="center"/>
                    <w:rPr>
                      <w:color w:val="auto"/>
                      <w:sz w:val="21"/>
                      <w:szCs w:val="21"/>
                    </w:rPr>
                  </w:pPr>
                  <w:r>
                    <w:rPr>
                      <w:rFonts w:hint="eastAsia"/>
                      <w:color w:val="auto"/>
                      <w:sz w:val="21"/>
                      <w:szCs w:val="21"/>
                    </w:rPr>
                    <w:t>达标</w:t>
                  </w:r>
                </w:p>
              </w:tc>
            </w:tr>
            <w:tr w14:paraId="5661B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64B668F2">
                  <w:pPr>
                    <w:jc w:val="center"/>
                    <w:rPr>
                      <w:color w:val="auto"/>
                      <w:sz w:val="21"/>
                      <w:szCs w:val="21"/>
                    </w:rPr>
                  </w:pPr>
                  <w:r>
                    <w:rPr>
                      <w:rFonts w:hint="eastAsia"/>
                      <w:color w:val="auto"/>
                      <w:sz w:val="21"/>
                      <w:szCs w:val="21"/>
                    </w:rPr>
                    <w:t>镍</w:t>
                  </w:r>
                </w:p>
              </w:tc>
              <w:tc>
                <w:tcPr>
                  <w:tcW w:w="855" w:type="pct"/>
                  <w:vAlign w:val="center"/>
                </w:tcPr>
                <w:p w14:paraId="44E4EB13">
                  <w:pPr>
                    <w:jc w:val="center"/>
                    <w:rPr>
                      <w:color w:val="auto"/>
                      <w:sz w:val="21"/>
                      <w:szCs w:val="21"/>
                    </w:rPr>
                  </w:pPr>
                  <w:r>
                    <w:rPr>
                      <w:rFonts w:hint="eastAsia"/>
                      <w:color w:val="auto"/>
                      <w:sz w:val="21"/>
                      <w:szCs w:val="21"/>
                    </w:rPr>
                    <w:t>70</w:t>
                  </w:r>
                </w:p>
              </w:tc>
              <w:tc>
                <w:tcPr>
                  <w:tcW w:w="1563" w:type="pct"/>
                  <w:shd w:val="clear" w:color="auto" w:fill="auto"/>
                  <w:vAlign w:val="center"/>
                </w:tcPr>
                <w:p w14:paraId="033AB1CF">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w:t>
                  </w:r>
                </w:p>
              </w:tc>
              <w:tc>
                <w:tcPr>
                  <w:tcW w:w="731" w:type="pct"/>
                  <w:vAlign w:val="center"/>
                </w:tcPr>
                <w:p w14:paraId="1D1B059B">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30B2CCA6">
                  <w:pPr>
                    <w:jc w:val="center"/>
                    <w:rPr>
                      <w:color w:val="auto"/>
                      <w:sz w:val="21"/>
                      <w:szCs w:val="21"/>
                    </w:rPr>
                  </w:pPr>
                  <w:r>
                    <w:rPr>
                      <w:rFonts w:hint="eastAsia"/>
                      <w:color w:val="auto"/>
                      <w:sz w:val="21"/>
                      <w:szCs w:val="21"/>
                    </w:rPr>
                    <w:t>达标</w:t>
                  </w:r>
                </w:p>
              </w:tc>
            </w:tr>
            <w:tr w14:paraId="53002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6" w:type="pct"/>
                  <w:vAlign w:val="center"/>
                </w:tcPr>
                <w:p w14:paraId="7EE04376">
                  <w:pPr>
                    <w:jc w:val="center"/>
                    <w:rPr>
                      <w:color w:val="auto"/>
                      <w:sz w:val="21"/>
                      <w:szCs w:val="21"/>
                    </w:rPr>
                  </w:pPr>
                  <w:r>
                    <w:rPr>
                      <w:rFonts w:hint="eastAsia"/>
                      <w:color w:val="auto"/>
                      <w:sz w:val="21"/>
                      <w:szCs w:val="21"/>
                    </w:rPr>
                    <w:t>锌</w:t>
                  </w:r>
                </w:p>
              </w:tc>
              <w:tc>
                <w:tcPr>
                  <w:tcW w:w="855" w:type="pct"/>
                  <w:vAlign w:val="center"/>
                </w:tcPr>
                <w:p w14:paraId="7C88F309">
                  <w:pPr>
                    <w:jc w:val="center"/>
                    <w:rPr>
                      <w:color w:val="auto"/>
                      <w:sz w:val="21"/>
                      <w:szCs w:val="21"/>
                    </w:rPr>
                  </w:pPr>
                  <w:r>
                    <w:rPr>
                      <w:rFonts w:hint="eastAsia"/>
                      <w:color w:val="auto"/>
                      <w:sz w:val="21"/>
                      <w:szCs w:val="21"/>
                    </w:rPr>
                    <w:t>200</w:t>
                  </w:r>
                </w:p>
              </w:tc>
              <w:tc>
                <w:tcPr>
                  <w:tcW w:w="1563" w:type="pct"/>
                  <w:shd w:val="clear" w:color="auto" w:fill="auto"/>
                  <w:vAlign w:val="center"/>
                </w:tcPr>
                <w:p w14:paraId="62EC6082">
                  <w:pPr>
                    <w:keepNext w:val="0"/>
                    <w:keepLines w:val="0"/>
                    <w:pageBreakBefore w:val="0"/>
                    <w:widowControl/>
                    <w:suppressLineNumbers w:val="0"/>
                    <w:kinsoku/>
                    <w:wordWrap/>
                    <w:overflowPunct/>
                    <w:topLinePunct w:val="0"/>
                    <w:autoSpaceDE/>
                    <w:autoSpaceDN/>
                    <w:bidi w:val="0"/>
                    <w:adjustRightInd/>
                    <w:snapToGrid w:val="0"/>
                    <w:spacing w:line="240" w:lineRule="atLeast"/>
                    <w:jc w:val="center"/>
                    <w:textAlignment w:val="cente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pPr>
                  <w:r>
                    <w:rPr>
                      <w:rFonts w:hint="eastAsia" w:ascii="Times New Roman" w:hAnsi="Times New Roman" w:eastAsia="宋体" w:cs="Times New Roman"/>
                      <w:i w:val="0"/>
                      <w:caps w:val="0"/>
                      <w:smallCaps w:val="0"/>
                      <w:color w:val="auto"/>
                      <w:kern w:val="0"/>
                      <w:sz w:val="21"/>
                      <w:szCs w:val="21"/>
                      <w:highlight w:val="none"/>
                      <w:u w:val="none" w:color="auto"/>
                      <w:lang w:val="en-US" w:eastAsia="zh-CN" w:bidi="ar"/>
                    </w:rPr>
                    <w:t>/</w:t>
                  </w:r>
                </w:p>
              </w:tc>
              <w:tc>
                <w:tcPr>
                  <w:tcW w:w="731" w:type="pct"/>
                  <w:vAlign w:val="center"/>
                </w:tcPr>
                <w:p w14:paraId="2CE09323">
                  <w:pPr>
                    <w:jc w:val="center"/>
                    <w:rPr>
                      <w:color w:val="auto"/>
                      <w:sz w:val="21"/>
                      <w:szCs w:val="21"/>
                    </w:rPr>
                  </w:pPr>
                  <w:r>
                    <w:rPr>
                      <w:rFonts w:hint="eastAsia" w:ascii="Times New Roman" w:hAnsi="Times New Roman" w:eastAsia="宋体" w:cs="Times New Roman"/>
                      <w:b w:val="0"/>
                      <w:bCs w:val="0"/>
                      <w:color w:val="auto"/>
                      <w:sz w:val="21"/>
                      <w:szCs w:val="21"/>
                      <w:highlight w:val="none"/>
                      <w:lang w:val="en-US" w:eastAsia="zh-CN"/>
                    </w:rPr>
                    <w:t>***</w:t>
                  </w:r>
                </w:p>
              </w:tc>
              <w:tc>
                <w:tcPr>
                  <w:tcW w:w="674" w:type="pct"/>
                  <w:shd w:val="clear" w:color="auto" w:fill="auto"/>
                  <w:vAlign w:val="center"/>
                </w:tcPr>
                <w:p w14:paraId="3E796AB9">
                  <w:pPr>
                    <w:jc w:val="center"/>
                    <w:rPr>
                      <w:color w:val="auto"/>
                      <w:sz w:val="21"/>
                      <w:szCs w:val="21"/>
                    </w:rPr>
                  </w:pPr>
                  <w:r>
                    <w:rPr>
                      <w:rFonts w:hint="eastAsia"/>
                      <w:color w:val="auto"/>
                      <w:sz w:val="21"/>
                      <w:szCs w:val="21"/>
                    </w:rPr>
                    <w:t>达标</w:t>
                  </w:r>
                </w:p>
              </w:tc>
            </w:tr>
          </w:tbl>
          <w:p w14:paraId="46E08BC3">
            <w:pPr>
              <w:spacing w:line="360" w:lineRule="auto"/>
              <w:ind w:firstLine="420" w:firstLineChars="200"/>
              <w:rPr>
                <w:color w:val="auto"/>
                <w:sz w:val="21"/>
                <w:szCs w:val="21"/>
              </w:rPr>
            </w:pPr>
            <w:r>
              <w:rPr>
                <w:rFonts w:hint="eastAsia"/>
                <w:color w:val="auto"/>
                <w:sz w:val="21"/>
                <w:szCs w:val="21"/>
              </w:rPr>
              <w:t>注：“检出限ND”代表未检出。</w:t>
            </w:r>
          </w:p>
          <w:p w14:paraId="2F5E9101">
            <w:pPr>
              <w:adjustRightInd w:val="0"/>
              <w:snapToGrid w:val="0"/>
              <w:spacing w:line="360" w:lineRule="auto"/>
              <w:ind w:firstLine="480" w:firstLineChars="200"/>
              <w:rPr>
                <w:color w:val="auto"/>
              </w:rPr>
            </w:pPr>
            <w:r>
              <w:rPr>
                <w:rFonts w:hint="eastAsia"/>
                <w:color w:val="auto"/>
              </w:rPr>
              <w:t>由上表可知，土壤中镉的含量超出《土壤环境质量 农用地土壤污染风险管控标准（试行）》（GB15618-2018）表1风险筛选值，其余各监测因子均满足《土壤环境质量 农用地土壤污染风险管控标准（试行）》（GB15618-2018）表1中的标准。</w:t>
            </w:r>
          </w:p>
          <w:p w14:paraId="59EDB30C">
            <w:pPr>
              <w:adjustRightInd w:val="0"/>
              <w:snapToGrid w:val="0"/>
              <w:spacing w:line="360" w:lineRule="auto"/>
              <w:ind w:firstLine="480" w:firstLineChars="200"/>
              <w:rPr>
                <w:color w:val="auto"/>
              </w:rPr>
            </w:pPr>
            <w:r>
              <w:rPr>
                <w:rFonts w:hint="eastAsia"/>
                <w:color w:val="auto"/>
              </w:rPr>
              <w:t>根据《柳州市地方标准 土壤环境背景值》（DB 4502/T 0052-2022），项目所在地位于融水县中部区域，根据标准表A.4，土壤中镉的含量呈现偏态分布，项目区域土壤镉背景值取中镉95%分位值2.6mg/kg，项目所在地土壤镉的背景值超标。</w:t>
            </w:r>
          </w:p>
          <w:p w14:paraId="0EFAAB7A">
            <w:pPr>
              <w:adjustRightInd w:val="0"/>
              <w:snapToGrid w:val="0"/>
              <w:spacing w:line="360" w:lineRule="auto"/>
              <w:ind w:firstLine="480" w:firstLineChars="200"/>
              <w:rPr>
                <w:color w:val="auto"/>
              </w:rPr>
            </w:pPr>
            <w:r>
              <w:rPr>
                <w:rFonts w:hint="eastAsia"/>
                <w:color w:val="auto"/>
              </w:rPr>
              <w:t>根据调差，项目所在地</w:t>
            </w:r>
            <w:r>
              <w:rPr>
                <w:rFonts w:hint="eastAsia"/>
                <w:color w:val="auto"/>
                <w:kern w:val="0"/>
              </w:rPr>
              <w:t>历史上无工业生产遗留环境问题，用地主要为旱地、园地。监测补充结果显示1#监测点中的镉低于区域土壤镉背景值。项目为页岩气勘察项目，施工过程中严格做好地面及各池体防渗措施，施工过程中不会对区域土壤造成重金属污染，项目本身施工过程不会影响区域土壤环境现状质量。</w:t>
            </w:r>
          </w:p>
        </w:tc>
      </w:tr>
      <w:tr w14:paraId="27B4E8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894" w:type="dxa"/>
            <w:vAlign w:val="center"/>
          </w:tcPr>
          <w:p w14:paraId="7A3EAD6E">
            <w:pPr>
              <w:adjustRightInd w:val="0"/>
              <w:snapToGrid w:val="0"/>
              <w:jc w:val="center"/>
              <w:rPr>
                <w:rFonts w:ascii="宋体" w:hAnsi="宋体" w:cs="宋体"/>
                <w:color w:val="auto"/>
                <w:kern w:val="0"/>
                <w:szCs w:val="21"/>
              </w:rPr>
            </w:pPr>
            <w:r>
              <w:rPr>
                <w:rFonts w:hint="eastAsia" w:ascii="宋体" w:hAnsi="宋体"/>
                <w:bCs/>
                <w:color w:val="auto"/>
                <w:szCs w:val="21"/>
              </w:rPr>
              <w:t>与项目有关的原有环境污染和生态破坏问题</w:t>
            </w:r>
          </w:p>
        </w:tc>
        <w:tc>
          <w:tcPr>
            <w:tcW w:w="8263" w:type="dxa"/>
            <w:vAlign w:val="center"/>
          </w:tcPr>
          <w:p w14:paraId="519040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1、现有项目情况</w:t>
            </w:r>
          </w:p>
          <w:p w14:paraId="2617E0E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rPr>
            </w:pPr>
            <w:r>
              <w:rPr>
                <w:rFonts w:hint="eastAsia"/>
              </w:rPr>
              <w:t>广西页岩气勘探开发有限公司于2026年1月委托广西柳环环保技术有限公司编制完成了《广西柳城北区块伏虎西页岩气资源评价与选区研究(桂融地4井勘探项目)》，并于2026年2月9日获得了</w:t>
            </w:r>
            <w:r>
              <w:rPr>
                <w:rFonts w:hint="eastAsia"/>
                <w:lang w:val="en-US" w:eastAsia="zh-CN"/>
              </w:rPr>
              <w:t>融水苗族自治县行政审批局</w:t>
            </w:r>
            <w:r>
              <w:rPr>
                <w:rFonts w:hint="eastAsia"/>
              </w:rPr>
              <w:t>（融水审环审字〔2026〕2号）的批复，见</w:t>
            </w:r>
            <w:r>
              <w:rPr>
                <w:rFonts w:hint="eastAsia"/>
                <w:b/>
                <w:bCs/>
              </w:rPr>
              <w:t>附件11</w:t>
            </w:r>
            <w:r>
              <w:rPr>
                <w:rFonts w:hint="eastAsia"/>
              </w:rPr>
              <w:t>。</w:t>
            </w:r>
          </w:p>
          <w:p w14:paraId="7D1C9E3D">
            <w:pPr>
              <w:keepNext w:val="0"/>
              <w:keepLines w:val="0"/>
              <w:pageBreakBefore w:val="0"/>
              <w:widowControl w:val="0"/>
              <w:kinsoku/>
              <w:wordWrap/>
              <w:overflowPunct/>
              <w:topLinePunct w:val="0"/>
              <w:autoSpaceDE/>
              <w:autoSpaceDN/>
              <w:bidi w:val="0"/>
              <w:adjustRightInd/>
              <w:snapToGrid/>
              <w:spacing w:line="360" w:lineRule="auto"/>
              <w:textAlignment w:val="auto"/>
              <w:rPr>
                <w:b/>
                <w:bCs/>
              </w:rPr>
            </w:pPr>
            <w:r>
              <w:rPr>
                <w:rFonts w:hint="eastAsia"/>
                <w:b/>
                <w:bCs/>
              </w:rPr>
              <w:t>2、项目建设工程内容</w:t>
            </w:r>
          </w:p>
          <w:p w14:paraId="4DEF88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项目现已完成钻前工程施工，井场、生活营区等建设完成，同时桂融页4-1HF井完成导管、一开和二开次。</w:t>
            </w:r>
          </w:p>
          <w:p w14:paraId="7956E6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b/>
                <w:bCs/>
              </w:rPr>
            </w:pPr>
            <w:r>
              <w:rPr>
                <w:rFonts w:hint="eastAsia"/>
                <w:b/>
                <w:bCs/>
              </w:rPr>
              <w:t>表3</w:t>
            </w:r>
            <w:r>
              <w:rPr>
                <w:b/>
                <w:bCs/>
              </w:rPr>
              <w:t>-5</w:t>
            </w:r>
            <w:r>
              <w:rPr>
                <w:rFonts w:hint="eastAsia"/>
                <w:b/>
                <w:bCs/>
              </w:rPr>
              <w:t xml:space="preserve"> 现有项目建设内容一览表</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6"/>
              <w:gridCol w:w="1264"/>
              <w:gridCol w:w="4581"/>
              <w:gridCol w:w="1336"/>
            </w:tblGrid>
            <w:tr w14:paraId="49352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17" w:type="pct"/>
                  <w:gridSpan w:val="3"/>
                  <w:vAlign w:val="center"/>
                </w:tcPr>
                <w:p w14:paraId="15DACB64">
                  <w:pPr>
                    <w:jc w:val="center"/>
                    <w:rPr>
                      <w:b/>
                      <w:bCs/>
                      <w:color w:val="auto"/>
                      <w:sz w:val="21"/>
                      <w:szCs w:val="21"/>
                    </w:rPr>
                  </w:pPr>
                  <w:r>
                    <w:rPr>
                      <w:b/>
                      <w:bCs/>
                      <w:color w:val="auto"/>
                      <w:sz w:val="21"/>
                      <w:szCs w:val="21"/>
                    </w:rPr>
                    <w:t>组成</w:t>
                  </w:r>
                </w:p>
              </w:tc>
              <w:tc>
                <w:tcPr>
                  <w:tcW w:w="2851" w:type="pct"/>
                  <w:vMerge w:val="restart"/>
                  <w:vAlign w:val="center"/>
                </w:tcPr>
                <w:p w14:paraId="05B97C98">
                  <w:pPr>
                    <w:jc w:val="center"/>
                    <w:rPr>
                      <w:b/>
                      <w:bCs/>
                      <w:color w:val="auto"/>
                      <w:sz w:val="21"/>
                      <w:szCs w:val="21"/>
                    </w:rPr>
                  </w:pPr>
                  <w:r>
                    <w:rPr>
                      <w:b/>
                      <w:bCs/>
                      <w:color w:val="auto"/>
                      <w:sz w:val="21"/>
                      <w:szCs w:val="21"/>
                    </w:rPr>
                    <w:t>项目内容</w:t>
                  </w:r>
                </w:p>
              </w:tc>
              <w:tc>
                <w:tcPr>
                  <w:tcW w:w="831" w:type="pct"/>
                  <w:vMerge w:val="restart"/>
                  <w:vAlign w:val="center"/>
                </w:tcPr>
                <w:p w14:paraId="28AEAAF4">
                  <w:pPr>
                    <w:jc w:val="center"/>
                    <w:rPr>
                      <w:b/>
                      <w:bCs/>
                      <w:color w:val="auto"/>
                      <w:sz w:val="21"/>
                      <w:szCs w:val="21"/>
                    </w:rPr>
                  </w:pPr>
                  <w:r>
                    <w:rPr>
                      <w:rFonts w:hint="eastAsia"/>
                      <w:b/>
                      <w:bCs/>
                      <w:color w:val="auto"/>
                      <w:sz w:val="21"/>
                      <w:szCs w:val="21"/>
                    </w:rPr>
                    <w:t>备注</w:t>
                  </w:r>
                </w:p>
              </w:tc>
            </w:tr>
            <w:tr w14:paraId="1641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Align w:val="center"/>
                </w:tcPr>
                <w:p w14:paraId="2F88BE80">
                  <w:pPr>
                    <w:jc w:val="center"/>
                    <w:rPr>
                      <w:b/>
                      <w:bCs/>
                      <w:color w:val="auto"/>
                      <w:sz w:val="21"/>
                      <w:szCs w:val="21"/>
                    </w:rPr>
                  </w:pPr>
                  <w:r>
                    <w:rPr>
                      <w:b/>
                      <w:bCs/>
                      <w:color w:val="auto"/>
                      <w:sz w:val="21"/>
                      <w:szCs w:val="21"/>
                    </w:rPr>
                    <w:t>类别</w:t>
                  </w:r>
                </w:p>
              </w:tc>
              <w:tc>
                <w:tcPr>
                  <w:tcW w:w="1051" w:type="pct"/>
                  <w:gridSpan w:val="2"/>
                  <w:vAlign w:val="center"/>
                </w:tcPr>
                <w:p w14:paraId="2C00FAEF">
                  <w:pPr>
                    <w:jc w:val="center"/>
                    <w:rPr>
                      <w:b/>
                      <w:bCs/>
                      <w:color w:val="auto"/>
                      <w:sz w:val="21"/>
                      <w:szCs w:val="21"/>
                    </w:rPr>
                  </w:pPr>
                  <w:r>
                    <w:rPr>
                      <w:b/>
                      <w:bCs/>
                      <w:color w:val="auto"/>
                      <w:sz w:val="21"/>
                      <w:szCs w:val="21"/>
                    </w:rPr>
                    <w:t>工程名称</w:t>
                  </w:r>
                </w:p>
              </w:tc>
              <w:tc>
                <w:tcPr>
                  <w:tcW w:w="2851" w:type="pct"/>
                  <w:vMerge w:val="continue"/>
                  <w:vAlign w:val="center"/>
                </w:tcPr>
                <w:p w14:paraId="3CA772C6">
                  <w:pPr>
                    <w:jc w:val="left"/>
                    <w:rPr>
                      <w:b/>
                      <w:bCs/>
                      <w:color w:val="auto"/>
                      <w:sz w:val="21"/>
                      <w:szCs w:val="21"/>
                    </w:rPr>
                  </w:pPr>
                </w:p>
              </w:tc>
              <w:tc>
                <w:tcPr>
                  <w:tcW w:w="831" w:type="pct"/>
                  <w:vMerge w:val="continue"/>
                  <w:vAlign w:val="center"/>
                </w:tcPr>
                <w:p w14:paraId="1374AC8D">
                  <w:pPr>
                    <w:jc w:val="center"/>
                    <w:rPr>
                      <w:b/>
                      <w:bCs/>
                      <w:color w:val="auto"/>
                      <w:sz w:val="21"/>
                      <w:szCs w:val="21"/>
                    </w:rPr>
                  </w:pPr>
                </w:p>
              </w:tc>
            </w:tr>
            <w:tr w14:paraId="20E36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5" w:type="pct"/>
                  <w:vMerge w:val="restart"/>
                  <w:vAlign w:val="center"/>
                </w:tcPr>
                <w:p w14:paraId="14E656C9">
                  <w:pPr>
                    <w:jc w:val="center"/>
                    <w:rPr>
                      <w:color w:val="auto"/>
                      <w:sz w:val="21"/>
                      <w:szCs w:val="21"/>
                    </w:rPr>
                  </w:pPr>
                  <w:r>
                    <w:rPr>
                      <w:color w:val="auto"/>
                      <w:sz w:val="21"/>
                      <w:szCs w:val="21"/>
                    </w:rPr>
                    <w:t>主体工程</w:t>
                  </w:r>
                </w:p>
              </w:tc>
              <w:tc>
                <w:tcPr>
                  <w:tcW w:w="265" w:type="pct"/>
                  <w:vMerge w:val="restart"/>
                  <w:vAlign w:val="center"/>
                </w:tcPr>
                <w:p w14:paraId="639C203A">
                  <w:pPr>
                    <w:jc w:val="center"/>
                    <w:rPr>
                      <w:color w:val="auto"/>
                      <w:sz w:val="21"/>
                      <w:szCs w:val="21"/>
                    </w:rPr>
                  </w:pPr>
                  <w:r>
                    <w:rPr>
                      <w:color w:val="auto"/>
                      <w:sz w:val="21"/>
                      <w:szCs w:val="21"/>
                    </w:rPr>
                    <w:t>钻前工程</w:t>
                  </w:r>
                </w:p>
              </w:tc>
              <w:tc>
                <w:tcPr>
                  <w:tcW w:w="786" w:type="pct"/>
                  <w:vAlign w:val="center"/>
                </w:tcPr>
                <w:p w14:paraId="778D4EA6">
                  <w:pPr>
                    <w:jc w:val="center"/>
                    <w:rPr>
                      <w:color w:val="auto"/>
                      <w:sz w:val="21"/>
                      <w:szCs w:val="21"/>
                    </w:rPr>
                  </w:pPr>
                  <w:r>
                    <w:rPr>
                      <w:color w:val="auto"/>
                      <w:sz w:val="21"/>
                      <w:szCs w:val="21"/>
                    </w:rPr>
                    <w:t>井场</w:t>
                  </w:r>
                </w:p>
              </w:tc>
              <w:tc>
                <w:tcPr>
                  <w:tcW w:w="2851" w:type="pct"/>
                  <w:shd w:val="clear" w:color="auto" w:fill="auto"/>
                  <w:vAlign w:val="center"/>
                </w:tcPr>
                <w:p w14:paraId="030F20A2">
                  <w:pPr>
                    <w:jc w:val="left"/>
                    <w:rPr>
                      <w:color w:val="auto"/>
                      <w:sz w:val="21"/>
                      <w:szCs w:val="21"/>
                    </w:rPr>
                  </w:pPr>
                  <w:r>
                    <w:rPr>
                      <w:rFonts w:hint="eastAsia"/>
                      <w:color w:val="auto"/>
                      <w:sz w:val="21"/>
                      <w:szCs w:val="21"/>
                    </w:rPr>
                    <w:t>一座井场占地面积约</w:t>
                  </w:r>
                  <w:r>
                    <w:rPr>
                      <w:color w:val="auto"/>
                      <w:sz w:val="21"/>
                      <w:szCs w:val="21"/>
                    </w:rPr>
                    <w:t>8700</w:t>
                  </w:r>
                  <w:r>
                    <w:rPr>
                      <w:rFonts w:hint="eastAsia"/>
                      <w:color w:val="auto"/>
                      <w:sz w:val="21"/>
                      <w:szCs w:val="21"/>
                    </w:rPr>
                    <w:t>m</w:t>
                  </w:r>
                  <w:r>
                    <w:rPr>
                      <w:rFonts w:hint="eastAsia"/>
                      <w:color w:val="auto"/>
                      <w:sz w:val="21"/>
                      <w:szCs w:val="21"/>
                      <w:vertAlign w:val="superscript"/>
                    </w:rPr>
                    <w:t>2</w:t>
                  </w:r>
                  <w:r>
                    <w:rPr>
                      <w:rFonts w:hint="eastAsia"/>
                      <w:color w:val="auto"/>
                      <w:sz w:val="21"/>
                      <w:szCs w:val="21"/>
                    </w:rPr>
                    <w:t>，井场尺寸长约90m、宽约70m，设置一座方井</w:t>
                  </w:r>
                  <w:r>
                    <w:rPr>
                      <w:color w:val="auto"/>
                      <w:sz w:val="21"/>
                      <w:szCs w:val="21"/>
                    </w:rPr>
                    <w:t>井口</w:t>
                  </w:r>
                  <w:r>
                    <w:rPr>
                      <w:rFonts w:hint="eastAsia"/>
                      <w:color w:val="auto"/>
                      <w:sz w:val="21"/>
                      <w:szCs w:val="21"/>
                    </w:rPr>
                    <w:t>，一口长4000mm×宽4000mm×深3500mm砖砌混凝土方井，留排水沟，以便安装套管头和井控装置，同时设置钻井摆放区。钻井井型为直井。</w:t>
                  </w:r>
                </w:p>
              </w:tc>
              <w:tc>
                <w:tcPr>
                  <w:tcW w:w="831" w:type="pct"/>
                  <w:shd w:val="clear" w:color="auto" w:fill="auto"/>
                  <w:vAlign w:val="center"/>
                </w:tcPr>
                <w:p w14:paraId="5D8DEB91">
                  <w:pPr>
                    <w:jc w:val="center"/>
                    <w:rPr>
                      <w:color w:val="auto"/>
                      <w:sz w:val="21"/>
                      <w:szCs w:val="21"/>
                    </w:rPr>
                  </w:pPr>
                  <w:r>
                    <w:rPr>
                      <w:rFonts w:hint="eastAsia"/>
                      <w:color w:val="auto"/>
                      <w:sz w:val="21"/>
                      <w:szCs w:val="21"/>
                    </w:rPr>
                    <w:t>已建成</w:t>
                  </w:r>
                </w:p>
              </w:tc>
            </w:tr>
            <w:tr w14:paraId="4223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64B46ABE">
                  <w:pPr>
                    <w:jc w:val="center"/>
                    <w:rPr>
                      <w:color w:val="auto"/>
                      <w:sz w:val="21"/>
                      <w:szCs w:val="21"/>
                    </w:rPr>
                  </w:pPr>
                </w:p>
              </w:tc>
              <w:tc>
                <w:tcPr>
                  <w:tcW w:w="265" w:type="pct"/>
                  <w:vMerge w:val="continue"/>
                  <w:vAlign w:val="center"/>
                </w:tcPr>
                <w:p w14:paraId="786FE1E6">
                  <w:pPr>
                    <w:jc w:val="center"/>
                    <w:rPr>
                      <w:color w:val="auto"/>
                      <w:sz w:val="21"/>
                      <w:szCs w:val="21"/>
                    </w:rPr>
                  </w:pPr>
                </w:p>
              </w:tc>
              <w:tc>
                <w:tcPr>
                  <w:tcW w:w="786" w:type="pct"/>
                  <w:vAlign w:val="center"/>
                </w:tcPr>
                <w:p w14:paraId="773A1D74">
                  <w:pPr>
                    <w:jc w:val="center"/>
                    <w:rPr>
                      <w:color w:val="auto"/>
                      <w:sz w:val="21"/>
                      <w:szCs w:val="21"/>
                    </w:rPr>
                  </w:pPr>
                  <w:r>
                    <w:rPr>
                      <w:color w:val="auto"/>
                      <w:sz w:val="21"/>
                      <w:szCs w:val="21"/>
                    </w:rPr>
                    <w:t>清洁操作平台岩屑暂存区</w:t>
                  </w:r>
                </w:p>
              </w:tc>
              <w:tc>
                <w:tcPr>
                  <w:tcW w:w="2851" w:type="pct"/>
                  <w:shd w:val="clear" w:color="auto" w:fill="auto"/>
                  <w:vAlign w:val="center"/>
                </w:tcPr>
                <w:p w14:paraId="0B88D05F">
                  <w:pPr>
                    <w:jc w:val="left"/>
                    <w:rPr>
                      <w:color w:val="auto"/>
                      <w:sz w:val="21"/>
                      <w:szCs w:val="21"/>
                    </w:rPr>
                  </w:pPr>
                  <w:r>
                    <w:rPr>
                      <w:rFonts w:hint="eastAsia"/>
                      <w:color w:val="auto"/>
                      <w:sz w:val="21"/>
                      <w:szCs w:val="21"/>
                    </w:rPr>
                    <w:t>清洁化操作平台岩屑暂存区面积为50m</w:t>
                  </w:r>
                  <w:r>
                    <w:rPr>
                      <w:rFonts w:hint="eastAsia"/>
                      <w:color w:val="auto"/>
                      <w:sz w:val="21"/>
                      <w:szCs w:val="21"/>
                      <w:vertAlign w:val="superscript"/>
                    </w:rPr>
                    <w:t>2</w:t>
                  </w:r>
                  <w:r>
                    <w:rPr>
                      <w:rFonts w:hint="eastAsia"/>
                      <w:color w:val="auto"/>
                      <w:sz w:val="21"/>
                      <w:szCs w:val="21"/>
                    </w:rPr>
                    <w:t>。</w:t>
                  </w:r>
                </w:p>
              </w:tc>
              <w:tc>
                <w:tcPr>
                  <w:tcW w:w="831" w:type="pct"/>
                  <w:shd w:val="clear" w:color="auto" w:fill="auto"/>
                  <w:vAlign w:val="center"/>
                </w:tcPr>
                <w:p w14:paraId="5960F7FB">
                  <w:pPr>
                    <w:jc w:val="center"/>
                    <w:rPr>
                      <w:color w:val="auto"/>
                      <w:sz w:val="21"/>
                      <w:szCs w:val="21"/>
                    </w:rPr>
                  </w:pPr>
                  <w:r>
                    <w:rPr>
                      <w:rFonts w:hint="eastAsia"/>
                      <w:color w:val="auto"/>
                      <w:sz w:val="21"/>
                      <w:szCs w:val="21"/>
                    </w:rPr>
                    <w:t>已建成</w:t>
                  </w:r>
                </w:p>
              </w:tc>
            </w:tr>
            <w:tr w14:paraId="67F8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35BB4433">
                  <w:pPr>
                    <w:jc w:val="center"/>
                    <w:rPr>
                      <w:color w:val="auto"/>
                      <w:sz w:val="21"/>
                      <w:szCs w:val="21"/>
                    </w:rPr>
                  </w:pPr>
                </w:p>
              </w:tc>
              <w:tc>
                <w:tcPr>
                  <w:tcW w:w="265" w:type="pct"/>
                  <w:vMerge w:val="continue"/>
                  <w:vAlign w:val="center"/>
                </w:tcPr>
                <w:p w14:paraId="6C343536">
                  <w:pPr>
                    <w:jc w:val="center"/>
                    <w:rPr>
                      <w:color w:val="auto"/>
                      <w:sz w:val="21"/>
                      <w:szCs w:val="21"/>
                    </w:rPr>
                  </w:pPr>
                </w:p>
              </w:tc>
              <w:tc>
                <w:tcPr>
                  <w:tcW w:w="786" w:type="pct"/>
                  <w:vAlign w:val="center"/>
                </w:tcPr>
                <w:p w14:paraId="29EA4CE8">
                  <w:pPr>
                    <w:jc w:val="center"/>
                    <w:rPr>
                      <w:color w:val="auto"/>
                      <w:sz w:val="21"/>
                      <w:szCs w:val="21"/>
                    </w:rPr>
                  </w:pPr>
                  <w:r>
                    <w:rPr>
                      <w:color w:val="auto"/>
                      <w:sz w:val="21"/>
                      <w:szCs w:val="21"/>
                    </w:rPr>
                    <w:t>清水池</w:t>
                  </w:r>
                </w:p>
              </w:tc>
              <w:tc>
                <w:tcPr>
                  <w:tcW w:w="2851" w:type="pct"/>
                  <w:shd w:val="clear" w:color="auto" w:fill="auto"/>
                  <w:vAlign w:val="center"/>
                </w:tcPr>
                <w:p w14:paraId="1C953687">
                  <w:pPr>
                    <w:jc w:val="left"/>
                    <w:rPr>
                      <w:color w:val="auto"/>
                      <w:sz w:val="21"/>
                      <w:szCs w:val="21"/>
                    </w:rPr>
                  </w:pPr>
                  <w:r>
                    <w:rPr>
                      <w:rFonts w:hint="eastAsia"/>
                      <w:color w:val="auto"/>
                      <w:sz w:val="21"/>
                      <w:szCs w:val="21"/>
                    </w:rPr>
                    <w:t>容积为200m</w:t>
                  </w:r>
                  <w:r>
                    <w:rPr>
                      <w:rFonts w:hint="eastAsia"/>
                      <w:color w:val="auto"/>
                      <w:sz w:val="21"/>
                      <w:szCs w:val="21"/>
                      <w:vertAlign w:val="superscript"/>
                    </w:rPr>
                    <w:t>3</w:t>
                  </w:r>
                  <w:r>
                    <w:rPr>
                      <w:rFonts w:hint="eastAsia"/>
                      <w:color w:val="auto"/>
                      <w:sz w:val="21"/>
                      <w:szCs w:val="21"/>
                    </w:rPr>
                    <w:t>，尺寸为：长10m、宽8m、深2.5m，用于存储生产用水。</w:t>
                  </w:r>
                </w:p>
              </w:tc>
              <w:tc>
                <w:tcPr>
                  <w:tcW w:w="831" w:type="pct"/>
                  <w:shd w:val="clear" w:color="auto" w:fill="auto"/>
                  <w:vAlign w:val="center"/>
                </w:tcPr>
                <w:p w14:paraId="0BA46F02">
                  <w:pPr>
                    <w:jc w:val="center"/>
                    <w:rPr>
                      <w:color w:val="auto"/>
                      <w:sz w:val="21"/>
                      <w:szCs w:val="21"/>
                    </w:rPr>
                  </w:pPr>
                  <w:r>
                    <w:rPr>
                      <w:rFonts w:hint="eastAsia"/>
                      <w:color w:val="auto"/>
                      <w:sz w:val="21"/>
                      <w:szCs w:val="21"/>
                    </w:rPr>
                    <w:t>已建成</w:t>
                  </w:r>
                </w:p>
              </w:tc>
            </w:tr>
            <w:tr w14:paraId="7059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5" w:type="pct"/>
                  <w:vMerge w:val="continue"/>
                  <w:vAlign w:val="center"/>
                </w:tcPr>
                <w:p w14:paraId="3DD53776">
                  <w:pPr>
                    <w:jc w:val="center"/>
                    <w:rPr>
                      <w:color w:val="auto"/>
                      <w:sz w:val="21"/>
                      <w:szCs w:val="21"/>
                    </w:rPr>
                  </w:pPr>
                </w:p>
              </w:tc>
              <w:tc>
                <w:tcPr>
                  <w:tcW w:w="265" w:type="pct"/>
                  <w:vMerge w:val="continue"/>
                  <w:vAlign w:val="center"/>
                </w:tcPr>
                <w:p w14:paraId="37BD8C79">
                  <w:pPr>
                    <w:jc w:val="center"/>
                    <w:rPr>
                      <w:color w:val="auto"/>
                      <w:sz w:val="21"/>
                      <w:szCs w:val="21"/>
                    </w:rPr>
                  </w:pPr>
                </w:p>
              </w:tc>
              <w:tc>
                <w:tcPr>
                  <w:tcW w:w="786" w:type="pct"/>
                  <w:vAlign w:val="center"/>
                </w:tcPr>
                <w:p w14:paraId="7DC2D94B">
                  <w:pPr>
                    <w:jc w:val="center"/>
                    <w:rPr>
                      <w:color w:val="auto"/>
                      <w:sz w:val="21"/>
                      <w:szCs w:val="21"/>
                    </w:rPr>
                  </w:pPr>
                  <w:r>
                    <w:rPr>
                      <w:color w:val="auto"/>
                      <w:sz w:val="21"/>
                      <w:szCs w:val="21"/>
                    </w:rPr>
                    <w:t>污水池</w:t>
                  </w:r>
                </w:p>
              </w:tc>
              <w:tc>
                <w:tcPr>
                  <w:tcW w:w="2851" w:type="pct"/>
                  <w:shd w:val="clear" w:color="auto" w:fill="auto"/>
                  <w:vAlign w:val="center"/>
                </w:tcPr>
                <w:p w14:paraId="3716FC32">
                  <w:pPr>
                    <w:jc w:val="left"/>
                    <w:rPr>
                      <w:color w:val="auto"/>
                      <w:sz w:val="21"/>
                      <w:szCs w:val="21"/>
                    </w:rPr>
                  </w:pPr>
                  <w:r>
                    <w:rPr>
                      <w:rFonts w:hint="eastAsia"/>
                      <w:color w:val="auto"/>
                      <w:sz w:val="21"/>
                      <w:szCs w:val="21"/>
                    </w:rPr>
                    <w:t>容积为300m</w:t>
                  </w:r>
                  <w:r>
                    <w:rPr>
                      <w:rFonts w:hint="eastAsia"/>
                      <w:color w:val="auto"/>
                      <w:sz w:val="21"/>
                      <w:szCs w:val="21"/>
                      <w:vertAlign w:val="superscript"/>
                    </w:rPr>
                    <w:t>3</w:t>
                  </w:r>
                  <w:r>
                    <w:rPr>
                      <w:rFonts w:hint="eastAsia"/>
                      <w:color w:val="auto"/>
                      <w:sz w:val="21"/>
                      <w:szCs w:val="21"/>
                    </w:rPr>
                    <w:t>，尺寸为：长12m、宽10m、深2.5m，用于存储洗井废水等生产废水。</w:t>
                  </w:r>
                </w:p>
              </w:tc>
              <w:tc>
                <w:tcPr>
                  <w:tcW w:w="831" w:type="pct"/>
                  <w:shd w:val="clear" w:color="auto" w:fill="auto"/>
                  <w:vAlign w:val="center"/>
                </w:tcPr>
                <w:p w14:paraId="0F655E61">
                  <w:pPr>
                    <w:jc w:val="center"/>
                    <w:rPr>
                      <w:color w:val="auto"/>
                      <w:sz w:val="21"/>
                      <w:szCs w:val="21"/>
                    </w:rPr>
                  </w:pPr>
                  <w:r>
                    <w:rPr>
                      <w:rFonts w:hint="eastAsia"/>
                      <w:color w:val="auto"/>
                      <w:sz w:val="21"/>
                      <w:szCs w:val="21"/>
                    </w:rPr>
                    <w:t>已建成</w:t>
                  </w:r>
                </w:p>
              </w:tc>
            </w:tr>
            <w:tr w14:paraId="27816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32B2D662">
                  <w:pPr>
                    <w:jc w:val="center"/>
                    <w:rPr>
                      <w:color w:val="auto"/>
                      <w:sz w:val="21"/>
                      <w:szCs w:val="21"/>
                    </w:rPr>
                  </w:pPr>
                </w:p>
              </w:tc>
              <w:tc>
                <w:tcPr>
                  <w:tcW w:w="265" w:type="pct"/>
                  <w:vMerge w:val="continue"/>
                  <w:vAlign w:val="center"/>
                </w:tcPr>
                <w:p w14:paraId="11D73769">
                  <w:pPr>
                    <w:jc w:val="center"/>
                    <w:rPr>
                      <w:color w:val="auto"/>
                      <w:sz w:val="21"/>
                      <w:szCs w:val="21"/>
                    </w:rPr>
                  </w:pPr>
                </w:p>
              </w:tc>
              <w:tc>
                <w:tcPr>
                  <w:tcW w:w="786" w:type="pct"/>
                  <w:vAlign w:val="center"/>
                </w:tcPr>
                <w:p w14:paraId="08756767">
                  <w:pPr>
                    <w:jc w:val="center"/>
                    <w:rPr>
                      <w:color w:val="auto"/>
                      <w:sz w:val="21"/>
                      <w:szCs w:val="21"/>
                    </w:rPr>
                  </w:pPr>
                  <w:r>
                    <w:rPr>
                      <w:color w:val="auto"/>
                      <w:sz w:val="21"/>
                      <w:szCs w:val="21"/>
                    </w:rPr>
                    <w:t>放喷池</w:t>
                  </w:r>
                </w:p>
              </w:tc>
              <w:tc>
                <w:tcPr>
                  <w:tcW w:w="2851" w:type="pct"/>
                  <w:shd w:val="clear" w:color="auto" w:fill="auto"/>
                  <w:vAlign w:val="center"/>
                </w:tcPr>
                <w:p w14:paraId="1B0C8CFF">
                  <w:pPr>
                    <w:jc w:val="left"/>
                    <w:rPr>
                      <w:color w:val="auto"/>
                      <w:sz w:val="21"/>
                      <w:szCs w:val="21"/>
                    </w:rPr>
                  </w:pPr>
                  <w:r>
                    <w:rPr>
                      <w:rFonts w:hint="eastAsia"/>
                      <w:color w:val="auto"/>
                      <w:sz w:val="21"/>
                      <w:szCs w:val="21"/>
                    </w:rPr>
                    <w:t>池子容积为75m</w:t>
                  </w:r>
                  <w:r>
                    <w:rPr>
                      <w:rFonts w:hint="eastAsia"/>
                      <w:color w:val="auto"/>
                      <w:sz w:val="21"/>
                      <w:szCs w:val="21"/>
                      <w:vertAlign w:val="superscript"/>
                    </w:rPr>
                    <w:t>3</w:t>
                  </w:r>
                  <w:r>
                    <w:rPr>
                      <w:rFonts w:hint="eastAsia"/>
                      <w:color w:val="auto"/>
                      <w:sz w:val="21"/>
                      <w:szCs w:val="21"/>
                    </w:rPr>
                    <w:t>，尺寸为：长15m、宽5m、深1m，设置在井场左侧和井场后方。距井口距离大于60m，池体为现浇钢筋混凝土结构，将池体埋至于地下，放喷器两侧、对面设有挡火墙，挡火墙用耐火砖砌筑。</w:t>
                  </w:r>
                </w:p>
              </w:tc>
              <w:tc>
                <w:tcPr>
                  <w:tcW w:w="831" w:type="pct"/>
                  <w:shd w:val="clear" w:color="auto" w:fill="auto"/>
                  <w:vAlign w:val="center"/>
                </w:tcPr>
                <w:p w14:paraId="6335F191">
                  <w:pPr>
                    <w:jc w:val="center"/>
                    <w:rPr>
                      <w:color w:val="auto"/>
                      <w:sz w:val="21"/>
                      <w:szCs w:val="21"/>
                    </w:rPr>
                  </w:pPr>
                  <w:r>
                    <w:rPr>
                      <w:rFonts w:hint="eastAsia"/>
                      <w:color w:val="auto"/>
                      <w:sz w:val="21"/>
                      <w:szCs w:val="21"/>
                    </w:rPr>
                    <w:t>已建成</w:t>
                  </w:r>
                </w:p>
              </w:tc>
            </w:tr>
            <w:tr w14:paraId="011B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03000FFE">
                  <w:pPr>
                    <w:jc w:val="center"/>
                    <w:rPr>
                      <w:color w:val="auto"/>
                      <w:sz w:val="21"/>
                      <w:szCs w:val="21"/>
                    </w:rPr>
                  </w:pPr>
                </w:p>
              </w:tc>
              <w:tc>
                <w:tcPr>
                  <w:tcW w:w="265" w:type="pct"/>
                  <w:vMerge w:val="continue"/>
                  <w:vAlign w:val="center"/>
                </w:tcPr>
                <w:p w14:paraId="347226A4">
                  <w:pPr>
                    <w:jc w:val="center"/>
                    <w:rPr>
                      <w:color w:val="auto"/>
                      <w:sz w:val="21"/>
                      <w:szCs w:val="21"/>
                    </w:rPr>
                  </w:pPr>
                </w:p>
              </w:tc>
              <w:tc>
                <w:tcPr>
                  <w:tcW w:w="786" w:type="pct"/>
                  <w:vAlign w:val="center"/>
                </w:tcPr>
                <w:p w14:paraId="1A41313B">
                  <w:pPr>
                    <w:jc w:val="center"/>
                    <w:rPr>
                      <w:color w:val="auto"/>
                      <w:sz w:val="21"/>
                      <w:szCs w:val="21"/>
                    </w:rPr>
                  </w:pPr>
                  <w:r>
                    <w:rPr>
                      <w:color w:val="auto"/>
                      <w:sz w:val="21"/>
                      <w:szCs w:val="21"/>
                    </w:rPr>
                    <w:t>垃圾池</w:t>
                  </w:r>
                </w:p>
              </w:tc>
              <w:tc>
                <w:tcPr>
                  <w:tcW w:w="2851" w:type="pct"/>
                  <w:shd w:val="clear" w:color="auto" w:fill="auto"/>
                  <w:vAlign w:val="center"/>
                </w:tcPr>
                <w:p w14:paraId="520A7222">
                  <w:pPr>
                    <w:jc w:val="left"/>
                    <w:rPr>
                      <w:color w:val="auto"/>
                      <w:sz w:val="21"/>
                      <w:szCs w:val="21"/>
                    </w:rPr>
                  </w:pPr>
                  <w:r>
                    <w:rPr>
                      <w:rFonts w:hint="eastAsia"/>
                      <w:color w:val="auto"/>
                      <w:sz w:val="21"/>
                      <w:szCs w:val="21"/>
                    </w:rPr>
                    <w:t>一座垃圾池，设置在井场南侧，占地面积7m</w:t>
                  </w:r>
                  <w:r>
                    <w:rPr>
                      <w:rFonts w:hint="eastAsia"/>
                      <w:color w:val="auto"/>
                      <w:sz w:val="21"/>
                      <w:szCs w:val="21"/>
                      <w:vertAlign w:val="superscript"/>
                    </w:rPr>
                    <w:t>2</w:t>
                  </w:r>
                  <w:r>
                    <w:rPr>
                      <w:rFonts w:hint="eastAsia"/>
                      <w:color w:val="auto"/>
                      <w:sz w:val="21"/>
                      <w:szCs w:val="21"/>
                    </w:rPr>
                    <w:t>。</w:t>
                  </w:r>
                </w:p>
              </w:tc>
              <w:tc>
                <w:tcPr>
                  <w:tcW w:w="831" w:type="pct"/>
                  <w:shd w:val="clear" w:color="auto" w:fill="auto"/>
                  <w:vAlign w:val="center"/>
                </w:tcPr>
                <w:p w14:paraId="23B08AB5">
                  <w:pPr>
                    <w:jc w:val="center"/>
                    <w:rPr>
                      <w:color w:val="auto"/>
                      <w:sz w:val="21"/>
                      <w:szCs w:val="21"/>
                    </w:rPr>
                  </w:pPr>
                  <w:r>
                    <w:rPr>
                      <w:rFonts w:hint="eastAsia"/>
                      <w:color w:val="auto"/>
                      <w:sz w:val="21"/>
                      <w:szCs w:val="21"/>
                    </w:rPr>
                    <w:t>已建成</w:t>
                  </w:r>
                </w:p>
              </w:tc>
            </w:tr>
            <w:tr w14:paraId="49D0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4AF65D8C">
                  <w:pPr>
                    <w:jc w:val="center"/>
                    <w:rPr>
                      <w:color w:val="auto"/>
                      <w:sz w:val="21"/>
                      <w:szCs w:val="21"/>
                    </w:rPr>
                  </w:pPr>
                </w:p>
              </w:tc>
              <w:tc>
                <w:tcPr>
                  <w:tcW w:w="265" w:type="pct"/>
                  <w:vMerge w:val="restart"/>
                  <w:vAlign w:val="center"/>
                </w:tcPr>
                <w:p w14:paraId="686FA231">
                  <w:pPr>
                    <w:jc w:val="center"/>
                    <w:rPr>
                      <w:color w:val="auto"/>
                      <w:sz w:val="21"/>
                      <w:szCs w:val="21"/>
                    </w:rPr>
                  </w:pPr>
                  <w:r>
                    <w:rPr>
                      <w:color w:val="auto"/>
                      <w:sz w:val="21"/>
                      <w:szCs w:val="21"/>
                    </w:rPr>
                    <w:t>钻井工程</w:t>
                  </w:r>
                </w:p>
              </w:tc>
              <w:tc>
                <w:tcPr>
                  <w:tcW w:w="786" w:type="pct"/>
                  <w:vAlign w:val="center"/>
                </w:tcPr>
                <w:p w14:paraId="1DAE25F1">
                  <w:pPr>
                    <w:jc w:val="center"/>
                    <w:rPr>
                      <w:color w:val="auto"/>
                      <w:sz w:val="21"/>
                      <w:szCs w:val="21"/>
                    </w:rPr>
                  </w:pPr>
                  <w:r>
                    <w:rPr>
                      <w:color w:val="auto"/>
                      <w:sz w:val="21"/>
                      <w:szCs w:val="21"/>
                    </w:rPr>
                    <w:t>钻井设备安装</w:t>
                  </w:r>
                </w:p>
              </w:tc>
              <w:tc>
                <w:tcPr>
                  <w:tcW w:w="2851" w:type="pct"/>
                  <w:shd w:val="clear" w:color="auto" w:fill="auto"/>
                  <w:vAlign w:val="center"/>
                </w:tcPr>
                <w:p w14:paraId="3CF256DB">
                  <w:pPr>
                    <w:jc w:val="left"/>
                    <w:rPr>
                      <w:color w:val="auto"/>
                      <w:sz w:val="21"/>
                      <w:szCs w:val="21"/>
                    </w:rPr>
                  </w:pPr>
                  <w:r>
                    <w:rPr>
                      <w:color w:val="auto"/>
                      <w:sz w:val="21"/>
                      <w:szCs w:val="21"/>
                    </w:rPr>
                    <w:t>ZJ30型钻机成套设备搬运、安装、调试。</w:t>
                  </w:r>
                </w:p>
              </w:tc>
              <w:tc>
                <w:tcPr>
                  <w:tcW w:w="831" w:type="pct"/>
                  <w:shd w:val="clear" w:color="auto" w:fill="auto"/>
                  <w:vAlign w:val="center"/>
                </w:tcPr>
                <w:p w14:paraId="4EB70225">
                  <w:pPr>
                    <w:jc w:val="center"/>
                    <w:rPr>
                      <w:color w:val="auto"/>
                      <w:sz w:val="21"/>
                      <w:szCs w:val="21"/>
                    </w:rPr>
                  </w:pPr>
                  <w:r>
                    <w:rPr>
                      <w:rFonts w:hint="eastAsia"/>
                      <w:color w:val="auto"/>
                      <w:sz w:val="21"/>
                      <w:szCs w:val="21"/>
                    </w:rPr>
                    <w:t>已建成</w:t>
                  </w:r>
                </w:p>
              </w:tc>
            </w:tr>
            <w:tr w14:paraId="3FF1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31798CFA">
                  <w:pPr>
                    <w:jc w:val="center"/>
                    <w:rPr>
                      <w:color w:val="auto"/>
                      <w:sz w:val="21"/>
                      <w:szCs w:val="21"/>
                    </w:rPr>
                  </w:pPr>
                </w:p>
              </w:tc>
              <w:tc>
                <w:tcPr>
                  <w:tcW w:w="265" w:type="pct"/>
                  <w:vMerge w:val="continue"/>
                  <w:vAlign w:val="center"/>
                </w:tcPr>
                <w:p w14:paraId="1F22161C">
                  <w:pPr>
                    <w:jc w:val="center"/>
                    <w:rPr>
                      <w:color w:val="auto"/>
                      <w:sz w:val="21"/>
                      <w:szCs w:val="21"/>
                    </w:rPr>
                  </w:pPr>
                </w:p>
              </w:tc>
              <w:tc>
                <w:tcPr>
                  <w:tcW w:w="786" w:type="pct"/>
                  <w:vAlign w:val="center"/>
                </w:tcPr>
                <w:p w14:paraId="79B6E7FE">
                  <w:pPr>
                    <w:jc w:val="center"/>
                    <w:rPr>
                      <w:color w:val="auto"/>
                      <w:sz w:val="21"/>
                      <w:szCs w:val="21"/>
                    </w:rPr>
                  </w:pPr>
                  <w:r>
                    <w:rPr>
                      <w:color w:val="auto"/>
                      <w:sz w:val="21"/>
                      <w:szCs w:val="21"/>
                    </w:rPr>
                    <w:t>钻井作业</w:t>
                  </w:r>
                </w:p>
              </w:tc>
              <w:tc>
                <w:tcPr>
                  <w:tcW w:w="2851" w:type="pct"/>
                  <w:shd w:val="clear" w:color="auto" w:fill="auto"/>
                  <w:vAlign w:val="center"/>
                </w:tcPr>
                <w:p w14:paraId="78EEE179">
                  <w:pPr>
                    <w:jc w:val="left"/>
                    <w:rPr>
                      <w:color w:val="auto"/>
                      <w:sz w:val="21"/>
                      <w:szCs w:val="21"/>
                    </w:rPr>
                  </w:pPr>
                  <w:r>
                    <w:rPr>
                      <w:rFonts w:hint="eastAsia"/>
                      <w:color w:val="auto"/>
                      <w:sz w:val="21"/>
                      <w:szCs w:val="21"/>
                    </w:rPr>
                    <w:t>桂融地4井设计探井为直井，完钻井深2100m，同步开展录井、测井及钻井评价等配套工作。本井导眼采用清水钻进，一开采用清水+膨润土浆钻进，二开采用钙钾基聚合物钻井液体系钻进。</w:t>
                  </w:r>
                </w:p>
              </w:tc>
              <w:tc>
                <w:tcPr>
                  <w:tcW w:w="831" w:type="pct"/>
                  <w:shd w:val="clear" w:color="auto" w:fill="auto"/>
                  <w:vAlign w:val="center"/>
                </w:tcPr>
                <w:p w14:paraId="589372AF">
                  <w:pPr>
                    <w:jc w:val="center"/>
                    <w:rPr>
                      <w:color w:val="auto"/>
                      <w:sz w:val="21"/>
                      <w:szCs w:val="21"/>
                    </w:rPr>
                  </w:pPr>
                  <w:r>
                    <w:rPr>
                      <w:rFonts w:hint="eastAsia"/>
                      <w:color w:val="auto"/>
                      <w:sz w:val="21"/>
                      <w:szCs w:val="21"/>
                    </w:rPr>
                    <w:t>已建成</w:t>
                  </w:r>
                </w:p>
              </w:tc>
            </w:tr>
            <w:tr w14:paraId="2232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 w:type="pct"/>
                  <w:vMerge w:val="continue"/>
                  <w:vAlign w:val="center"/>
                </w:tcPr>
                <w:p w14:paraId="41B589AE">
                  <w:pPr>
                    <w:jc w:val="center"/>
                    <w:rPr>
                      <w:color w:val="auto"/>
                      <w:sz w:val="21"/>
                      <w:szCs w:val="21"/>
                    </w:rPr>
                  </w:pPr>
                </w:p>
              </w:tc>
              <w:tc>
                <w:tcPr>
                  <w:tcW w:w="265" w:type="pct"/>
                  <w:vMerge w:val="continue"/>
                  <w:vAlign w:val="center"/>
                </w:tcPr>
                <w:p w14:paraId="6C6F9E91">
                  <w:pPr>
                    <w:jc w:val="center"/>
                    <w:rPr>
                      <w:color w:val="auto"/>
                      <w:sz w:val="21"/>
                      <w:szCs w:val="21"/>
                    </w:rPr>
                  </w:pPr>
                </w:p>
              </w:tc>
              <w:tc>
                <w:tcPr>
                  <w:tcW w:w="786" w:type="pct"/>
                  <w:vAlign w:val="center"/>
                </w:tcPr>
                <w:p w14:paraId="11231006">
                  <w:pPr>
                    <w:jc w:val="center"/>
                    <w:rPr>
                      <w:color w:val="auto"/>
                      <w:sz w:val="21"/>
                      <w:szCs w:val="21"/>
                    </w:rPr>
                  </w:pPr>
                  <w:r>
                    <w:rPr>
                      <w:color w:val="auto"/>
                      <w:sz w:val="21"/>
                      <w:szCs w:val="21"/>
                    </w:rPr>
                    <w:t>井控工程</w:t>
                  </w:r>
                </w:p>
              </w:tc>
              <w:tc>
                <w:tcPr>
                  <w:tcW w:w="2851" w:type="pct"/>
                  <w:shd w:val="clear" w:color="auto" w:fill="auto"/>
                  <w:vAlign w:val="center"/>
                </w:tcPr>
                <w:p w14:paraId="092A66A9">
                  <w:pPr>
                    <w:jc w:val="left"/>
                    <w:rPr>
                      <w:color w:val="auto"/>
                      <w:sz w:val="21"/>
                      <w:szCs w:val="21"/>
                    </w:rPr>
                  </w:pPr>
                  <w:r>
                    <w:rPr>
                      <w:rFonts w:hint="eastAsia"/>
                      <w:color w:val="auto"/>
                      <w:sz w:val="21"/>
                      <w:szCs w:val="21"/>
                    </w:rPr>
                    <w:t>设置于桂融页4-1HF井的</w:t>
                  </w:r>
                  <w:r>
                    <w:rPr>
                      <w:color w:val="auto"/>
                      <w:sz w:val="21"/>
                      <w:szCs w:val="21"/>
                    </w:rPr>
                    <w:t>井控装置：防喷器和井口设备。</w:t>
                  </w:r>
                </w:p>
              </w:tc>
              <w:tc>
                <w:tcPr>
                  <w:tcW w:w="831" w:type="pct"/>
                  <w:shd w:val="clear" w:color="auto" w:fill="auto"/>
                  <w:vAlign w:val="center"/>
                </w:tcPr>
                <w:p w14:paraId="3D3D568A">
                  <w:pPr>
                    <w:jc w:val="center"/>
                    <w:rPr>
                      <w:color w:val="auto"/>
                      <w:sz w:val="21"/>
                      <w:szCs w:val="21"/>
                    </w:rPr>
                  </w:pPr>
                  <w:r>
                    <w:rPr>
                      <w:rFonts w:hint="eastAsia"/>
                      <w:color w:val="auto"/>
                      <w:sz w:val="21"/>
                      <w:szCs w:val="21"/>
                    </w:rPr>
                    <w:t>已建成</w:t>
                  </w:r>
                </w:p>
              </w:tc>
            </w:tr>
            <w:tr w14:paraId="054D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restart"/>
                  <w:vAlign w:val="center"/>
                </w:tcPr>
                <w:p w14:paraId="3979FE27">
                  <w:pPr>
                    <w:jc w:val="center"/>
                    <w:rPr>
                      <w:color w:val="auto"/>
                      <w:sz w:val="21"/>
                      <w:szCs w:val="21"/>
                    </w:rPr>
                  </w:pPr>
                  <w:r>
                    <w:rPr>
                      <w:color w:val="auto"/>
                      <w:sz w:val="21"/>
                      <w:szCs w:val="21"/>
                    </w:rPr>
                    <w:t>辅助工程</w:t>
                  </w:r>
                </w:p>
              </w:tc>
              <w:tc>
                <w:tcPr>
                  <w:tcW w:w="786" w:type="pct"/>
                  <w:vAlign w:val="center"/>
                </w:tcPr>
                <w:p w14:paraId="181803C6">
                  <w:pPr>
                    <w:jc w:val="center"/>
                    <w:rPr>
                      <w:color w:val="auto"/>
                      <w:sz w:val="21"/>
                      <w:szCs w:val="21"/>
                    </w:rPr>
                  </w:pPr>
                  <w:r>
                    <w:rPr>
                      <w:color w:val="auto"/>
                      <w:sz w:val="21"/>
                      <w:szCs w:val="21"/>
                    </w:rPr>
                    <w:t>钻井泥浆循环系统30-40</w:t>
                  </w:r>
                </w:p>
              </w:tc>
              <w:tc>
                <w:tcPr>
                  <w:tcW w:w="2851" w:type="pct"/>
                  <w:shd w:val="clear" w:color="auto" w:fill="auto"/>
                  <w:vAlign w:val="center"/>
                </w:tcPr>
                <w:p w14:paraId="6C558218">
                  <w:pPr>
                    <w:jc w:val="left"/>
                    <w:rPr>
                      <w:color w:val="auto"/>
                      <w:sz w:val="21"/>
                      <w:szCs w:val="21"/>
                    </w:rPr>
                  </w:pPr>
                  <w:r>
                    <w:rPr>
                      <w:color w:val="auto"/>
                      <w:sz w:val="21"/>
                      <w:szCs w:val="21"/>
                    </w:rPr>
                    <w:t>包括储备80m</w:t>
                  </w:r>
                  <w:r>
                    <w:rPr>
                      <w:color w:val="auto"/>
                      <w:sz w:val="21"/>
                      <w:szCs w:val="21"/>
                      <w:vertAlign w:val="superscript"/>
                    </w:rPr>
                    <w:t>3</w:t>
                  </w:r>
                  <w:r>
                    <w:rPr>
                      <w:color w:val="auto"/>
                      <w:sz w:val="21"/>
                      <w:szCs w:val="21"/>
                    </w:rPr>
                    <w:t>钻井液量并带有搅拌器的储备罐和带有大功率的配制泵（必须配备电动加重泵）、混合漏斗的配浆罐。储备罐也可随时作为循环罐和配制罐使用。还包含两套振动筛，一台除砂器，一台除泥器，一台离心机、一台除气器等设备。</w:t>
                  </w:r>
                </w:p>
              </w:tc>
              <w:tc>
                <w:tcPr>
                  <w:tcW w:w="831" w:type="pct"/>
                  <w:shd w:val="clear" w:color="auto" w:fill="auto"/>
                  <w:vAlign w:val="center"/>
                </w:tcPr>
                <w:p w14:paraId="34F618E2">
                  <w:pPr>
                    <w:jc w:val="center"/>
                    <w:rPr>
                      <w:color w:val="auto"/>
                      <w:sz w:val="21"/>
                      <w:szCs w:val="21"/>
                    </w:rPr>
                  </w:pPr>
                  <w:r>
                    <w:rPr>
                      <w:rFonts w:hint="eastAsia"/>
                      <w:color w:val="auto"/>
                      <w:sz w:val="21"/>
                      <w:szCs w:val="21"/>
                    </w:rPr>
                    <w:t>已建成</w:t>
                  </w:r>
                </w:p>
              </w:tc>
            </w:tr>
            <w:tr w14:paraId="73F95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0FD9D3A0">
                  <w:pPr>
                    <w:jc w:val="center"/>
                    <w:rPr>
                      <w:color w:val="auto"/>
                      <w:sz w:val="21"/>
                      <w:szCs w:val="21"/>
                    </w:rPr>
                  </w:pPr>
                </w:p>
              </w:tc>
              <w:tc>
                <w:tcPr>
                  <w:tcW w:w="786" w:type="pct"/>
                  <w:vAlign w:val="center"/>
                </w:tcPr>
                <w:p w14:paraId="32986B01">
                  <w:pPr>
                    <w:jc w:val="center"/>
                    <w:rPr>
                      <w:color w:val="auto"/>
                      <w:sz w:val="21"/>
                      <w:szCs w:val="21"/>
                    </w:rPr>
                  </w:pPr>
                  <w:r>
                    <w:rPr>
                      <w:color w:val="auto"/>
                      <w:sz w:val="21"/>
                      <w:szCs w:val="21"/>
                    </w:rPr>
                    <w:t>钻井参数测定系统</w:t>
                  </w:r>
                </w:p>
              </w:tc>
              <w:tc>
                <w:tcPr>
                  <w:tcW w:w="2851" w:type="pct"/>
                  <w:shd w:val="clear" w:color="auto" w:fill="auto"/>
                  <w:vAlign w:val="center"/>
                </w:tcPr>
                <w:p w14:paraId="1C4DE2F4">
                  <w:pPr>
                    <w:jc w:val="left"/>
                    <w:rPr>
                      <w:color w:val="auto"/>
                      <w:sz w:val="21"/>
                      <w:szCs w:val="21"/>
                    </w:rPr>
                  </w:pPr>
                  <w:r>
                    <w:rPr>
                      <w:color w:val="auto"/>
                      <w:sz w:val="21"/>
                      <w:szCs w:val="21"/>
                    </w:rPr>
                    <w:t>设置1套钻井参数测定系统，对钻压、扭矩、转速、泵压、泵冲、悬重、泥浆体积等参数测定。</w:t>
                  </w:r>
                </w:p>
              </w:tc>
              <w:tc>
                <w:tcPr>
                  <w:tcW w:w="831" w:type="pct"/>
                  <w:shd w:val="clear" w:color="auto" w:fill="auto"/>
                  <w:vAlign w:val="center"/>
                </w:tcPr>
                <w:p w14:paraId="307A4607">
                  <w:pPr>
                    <w:jc w:val="center"/>
                    <w:rPr>
                      <w:color w:val="auto"/>
                      <w:sz w:val="21"/>
                      <w:szCs w:val="21"/>
                    </w:rPr>
                  </w:pPr>
                  <w:r>
                    <w:rPr>
                      <w:rFonts w:hint="eastAsia"/>
                      <w:color w:val="auto"/>
                      <w:sz w:val="21"/>
                      <w:szCs w:val="21"/>
                    </w:rPr>
                    <w:t>已建成</w:t>
                  </w:r>
                </w:p>
              </w:tc>
            </w:tr>
            <w:tr w14:paraId="18E2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224EDF3D">
                  <w:pPr>
                    <w:jc w:val="center"/>
                    <w:rPr>
                      <w:color w:val="auto"/>
                      <w:sz w:val="21"/>
                      <w:szCs w:val="21"/>
                    </w:rPr>
                  </w:pPr>
                </w:p>
              </w:tc>
              <w:tc>
                <w:tcPr>
                  <w:tcW w:w="786" w:type="pct"/>
                  <w:vAlign w:val="center"/>
                </w:tcPr>
                <w:p w14:paraId="46D6E1D4">
                  <w:pPr>
                    <w:jc w:val="center"/>
                    <w:rPr>
                      <w:color w:val="auto"/>
                      <w:sz w:val="21"/>
                      <w:szCs w:val="21"/>
                    </w:rPr>
                  </w:pPr>
                  <w:r>
                    <w:rPr>
                      <w:color w:val="auto"/>
                      <w:sz w:val="21"/>
                      <w:szCs w:val="21"/>
                    </w:rPr>
                    <w:t>钻井监控装置</w:t>
                  </w:r>
                </w:p>
              </w:tc>
              <w:tc>
                <w:tcPr>
                  <w:tcW w:w="2851" w:type="pct"/>
                  <w:shd w:val="clear" w:color="auto" w:fill="auto"/>
                  <w:vAlign w:val="center"/>
                </w:tcPr>
                <w:p w14:paraId="3CA26479">
                  <w:pPr>
                    <w:jc w:val="left"/>
                    <w:rPr>
                      <w:color w:val="auto"/>
                      <w:sz w:val="21"/>
                      <w:szCs w:val="21"/>
                    </w:rPr>
                  </w:pPr>
                  <w:r>
                    <w:rPr>
                      <w:color w:val="auto"/>
                      <w:sz w:val="21"/>
                      <w:szCs w:val="21"/>
                    </w:rPr>
                    <w:t>井队配备1套钻井监控装置，含司钻控制台、节流控制室、远程控制台，均可独立开启井控装置。</w:t>
                  </w:r>
                </w:p>
              </w:tc>
              <w:tc>
                <w:tcPr>
                  <w:tcW w:w="831" w:type="pct"/>
                  <w:shd w:val="clear" w:color="auto" w:fill="auto"/>
                  <w:vAlign w:val="center"/>
                </w:tcPr>
                <w:p w14:paraId="0058FDEA">
                  <w:pPr>
                    <w:jc w:val="center"/>
                    <w:rPr>
                      <w:color w:val="auto"/>
                      <w:sz w:val="21"/>
                      <w:szCs w:val="21"/>
                    </w:rPr>
                  </w:pPr>
                  <w:r>
                    <w:rPr>
                      <w:rFonts w:hint="eastAsia"/>
                      <w:color w:val="auto"/>
                      <w:sz w:val="21"/>
                      <w:szCs w:val="21"/>
                    </w:rPr>
                    <w:t>已建成</w:t>
                  </w:r>
                </w:p>
              </w:tc>
            </w:tr>
            <w:tr w14:paraId="42EB2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2825EC40">
                  <w:pPr>
                    <w:jc w:val="center"/>
                    <w:rPr>
                      <w:color w:val="auto"/>
                      <w:sz w:val="21"/>
                      <w:szCs w:val="21"/>
                    </w:rPr>
                  </w:pPr>
                </w:p>
              </w:tc>
              <w:tc>
                <w:tcPr>
                  <w:tcW w:w="786" w:type="pct"/>
                  <w:vAlign w:val="center"/>
                </w:tcPr>
                <w:p w14:paraId="51E52632">
                  <w:pPr>
                    <w:jc w:val="center"/>
                    <w:rPr>
                      <w:color w:val="auto"/>
                      <w:sz w:val="21"/>
                      <w:szCs w:val="21"/>
                    </w:rPr>
                  </w:pPr>
                  <w:r>
                    <w:rPr>
                      <w:color w:val="auto"/>
                      <w:sz w:val="21"/>
                      <w:szCs w:val="21"/>
                    </w:rPr>
                    <w:t>放喷点火系统</w:t>
                  </w:r>
                </w:p>
              </w:tc>
              <w:tc>
                <w:tcPr>
                  <w:tcW w:w="2851" w:type="pct"/>
                  <w:shd w:val="clear" w:color="auto" w:fill="auto"/>
                  <w:vAlign w:val="center"/>
                </w:tcPr>
                <w:p w14:paraId="5EF728EC">
                  <w:pPr>
                    <w:jc w:val="left"/>
                    <w:rPr>
                      <w:color w:val="auto"/>
                      <w:sz w:val="21"/>
                      <w:szCs w:val="21"/>
                    </w:rPr>
                  </w:pPr>
                  <w:r>
                    <w:rPr>
                      <w:color w:val="auto"/>
                      <w:sz w:val="21"/>
                      <w:szCs w:val="21"/>
                    </w:rPr>
                    <w:t>设置1套放喷点火系统</w:t>
                  </w:r>
                  <w:r>
                    <w:rPr>
                      <w:rFonts w:hint="eastAsia"/>
                      <w:color w:val="auto"/>
                      <w:sz w:val="21"/>
                      <w:szCs w:val="21"/>
                    </w:rPr>
                    <w:t>，包括防喷远程控制台、管架、防喷管线</w:t>
                  </w:r>
                  <w:r>
                    <w:rPr>
                      <w:color w:val="auto"/>
                      <w:sz w:val="21"/>
                      <w:szCs w:val="21"/>
                    </w:rPr>
                    <w:t>。</w:t>
                  </w:r>
                </w:p>
              </w:tc>
              <w:tc>
                <w:tcPr>
                  <w:tcW w:w="831" w:type="pct"/>
                  <w:shd w:val="clear" w:color="auto" w:fill="auto"/>
                  <w:vAlign w:val="center"/>
                </w:tcPr>
                <w:p w14:paraId="44CB74DB">
                  <w:pPr>
                    <w:jc w:val="center"/>
                    <w:rPr>
                      <w:color w:val="auto"/>
                      <w:sz w:val="21"/>
                      <w:szCs w:val="21"/>
                    </w:rPr>
                  </w:pPr>
                  <w:r>
                    <w:rPr>
                      <w:rFonts w:hint="eastAsia"/>
                      <w:color w:val="auto"/>
                      <w:sz w:val="21"/>
                      <w:szCs w:val="21"/>
                    </w:rPr>
                    <w:t>已建成</w:t>
                  </w:r>
                </w:p>
              </w:tc>
            </w:tr>
            <w:tr w14:paraId="1811F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09694266">
                  <w:pPr>
                    <w:jc w:val="center"/>
                    <w:rPr>
                      <w:color w:val="auto"/>
                      <w:sz w:val="21"/>
                      <w:szCs w:val="21"/>
                    </w:rPr>
                  </w:pPr>
                </w:p>
              </w:tc>
              <w:tc>
                <w:tcPr>
                  <w:tcW w:w="786" w:type="pct"/>
                  <w:vAlign w:val="center"/>
                </w:tcPr>
                <w:p w14:paraId="2624F988">
                  <w:pPr>
                    <w:jc w:val="center"/>
                    <w:rPr>
                      <w:color w:val="auto"/>
                      <w:sz w:val="21"/>
                      <w:szCs w:val="21"/>
                    </w:rPr>
                  </w:pPr>
                  <w:r>
                    <w:rPr>
                      <w:color w:val="auto"/>
                      <w:sz w:val="21"/>
                      <w:szCs w:val="21"/>
                    </w:rPr>
                    <w:t>动力系统</w:t>
                  </w:r>
                </w:p>
              </w:tc>
              <w:tc>
                <w:tcPr>
                  <w:tcW w:w="2851" w:type="pct"/>
                  <w:shd w:val="clear" w:color="auto" w:fill="auto"/>
                  <w:vAlign w:val="center"/>
                </w:tcPr>
                <w:p w14:paraId="73858BE7">
                  <w:pPr>
                    <w:jc w:val="left"/>
                    <w:rPr>
                      <w:color w:val="auto"/>
                      <w:sz w:val="21"/>
                      <w:szCs w:val="21"/>
                    </w:rPr>
                  </w:pPr>
                  <w:r>
                    <w:rPr>
                      <w:rFonts w:hint="eastAsia"/>
                      <w:color w:val="auto"/>
                      <w:sz w:val="21"/>
                      <w:szCs w:val="21"/>
                    </w:rPr>
                    <w:t>包括</w:t>
                  </w:r>
                  <w:r>
                    <w:rPr>
                      <w:color w:val="auto"/>
                      <w:sz w:val="21"/>
                      <w:szCs w:val="21"/>
                    </w:rPr>
                    <w:t>柴油机，发电机</w:t>
                  </w:r>
                  <w:r>
                    <w:rPr>
                      <w:rFonts w:hint="eastAsia"/>
                      <w:color w:val="auto"/>
                      <w:sz w:val="21"/>
                      <w:szCs w:val="21"/>
                    </w:rPr>
                    <w:t>、气源净化装置，以及辅助发电设备</w:t>
                  </w:r>
                  <w:r>
                    <w:rPr>
                      <w:color w:val="auto"/>
                      <w:sz w:val="21"/>
                      <w:szCs w:val="21"/>
                    </w:rPr>
                    <w:t>。</w:t>
                  </w:r>
                </w:p>
              </w:tc>
              <w:tc>
                <w:tcPr>
                  <w:tcW w:w="831" w:type="pct"/>
                  <w:shd w:val="clear" w:color="auto" w:fill="auto"/>
                  <w:vAlign w:val="center"/>
                </w:tcPr>
                <w:p w14:paraId="325C79DB">
                  <w:pPr>
                    <w:jc w:val="center"/>
                    <w:rPr>
                      <w:color w:val="auto"/>
                      <w:sz w:val="21"/>
                      <w:szCs w:val="21"/>
                    </w:rPr>
                  </w:pPr>
                  <w:r>
                    <w:rPr>
                      <w:rFonts w:hint="eastAsia"/>
                      <w:color w:val="auto"/>
                      <w:sz w:val="21"/>
                      <w:szCs w:val="21"/>
                    </w:rPr>
                    <w:t>已建成</w:t>
                  </w:r>
                </w:p>
              </w:tc>
            </w:tr>
            <w:tr w14:paraId="08AB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0B84D472">
                  <w:pPr>
                    <w:jc w:val="center"/>
                    <w:rPr>
                      <w:color w:val="auto"/>
                      <w:sz w:val="21"/>
                      <w:szCs w:val="21"/>
                    </w:rPr>
                  </w:pPr>
                </w:p>
              </w:tc>
              <w:tc>
                <w:tcPr>
                  <w:tcW w:w="786" w:type="pct"/>
                  <w:vAlign w:val="center"/>
                </w:tcPr>
                <w:p w14:paraId="01D6D25D">
                  <w:pPr>
                    <w:jc w:val="center"/>
                    <w:rPr>
                      <w:color w:val="auto"/>
                      <w:sz w:val="21"/>
                      <w:szCs w:val="21"/>
                    </w:rPr>
                  </w:pPr>
                  <w:r>
                    <w:rPr>
                      <w:rFonts w:hint="eastAsia"/>
                      <w:color w:val="auto"/>
                      <w:sz w:val="21"/>
                      <w:szCs w:val="21"/>
                    </w:rPr>
                    <w:t>柴油机房</w:t>
                  </w:r>
                </w:p>
              </w:tc>
              <w:tc>
                <w:tcPr>
                  <w:tcW w:w="2851" w:type="pct"/>
                  <w:shd w:val="clear" w:color="auto" w:fill="auto"/>
                  <w:vAlign w:val="center"/>
                </w:tcPr>
                <w:p w14:paraId="2950EF10">
                  <w:pPr>
                    <w:jc w:val="left"/>
                    <w:rPr>
                      <w:color w:val="auto"/>
                      <w:sz w:val="21"/>
                      <w:szCs w:val="21"/>
                    </w:rPr>
                  </w:pPr>
                  <w:r>
                    <w:rPr>
                      <w:color w:val="auto"/>
                      <w:sz w:val="21"/>
                      <w:szCs w:val="21"/>
                    </w:rPr>
                    <w:t>占地面积</w:t>
                  </w:r>
                  <w:r>
                    <w:rPr>
                      <w:rFonts w:hint="eastAsia"/>
                      <w:color w:val="auto"/>
                      <w:sz w:val="21"/>
                      <w:szCs w:val="21"/>
                    </w:rPr>
                    <w:t>80</w:t>
                  </w:r>
                  <w:r>
                    <w:rPr>
                      <w:color w:val="auto"/>
                      <w:sz w:val="21"/>
                      <w:szCs w:val="21"/>
                    </w:rPr>
                    <w:t>m</w:t>
                  </w:r>
                  <w:r>
                    <w:rPr>
                      <w:color w:val="auto"/>
                      <w:sz w:val="21"/>
                      <w:szCs w:val="21"/>
                      <w:vertAlign w:val="superscript"/>
                    </w:rPr>
                    <w:t>2</w:t>
                  </w:r>
                  <w:r>
                    <w:rPr>
                      <w:color w:val="auto"/>
                      <w:sz w:val="21"/>
                      <w:szCs w:val="21"/>
                    </w:rPr>
                    <w:t>，</w:t>
                  </w:r>
                  <w:r>
                    <w:rPr>
                      <w:rFonts w:hint="eastAsia"/>
                      <w:color w:val="auto"/>
                      <w:sz w:val="21"/>
                      <w:szCs w:val="21"/>
                    </w:rPr>
                    <w:t>存放柴油机。</w:t>
                  </w:r>
                </w:p>
              </w:tc>
              <w:tc>
                <w:tcPr>
                  <w:tcW w:w="831" w:type="pct"/>
                  <w:shd w:val="clear" w:color="auto" w:fill="auto"/>
                  <w:vAlign w:val="center"/>
                </w:tcPr>
                <w:p w14:paraId="36E8FC8A">
                  <w:pPr>
                    <w:jc w:val="center"/>
                    <w:rPr>
                      <w:color w:val="auto"/>
                      <w:sz w:val="21"/>
                      <w:szCs w:val="21"/>
                    </w:rPr>
                  </w:pPr>
                  <w:r>
                    <w:rPr>
                      <w:rFonts w:hint="eastAsia"/>
                      <w:color w:val="auto"/>
                      <w:sz w:val="21"/>
                      <w:szCs w:val="21"/>
                    </w:rPr>
                    <w:t>已建成</w:t>
                  </w:r>
                </w:p>
              </w:tc>
            </w:tr>
            <w:tr w14:paraId="14A74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302051DC">
                  <w:pPr>
                    <w:jc w:val="center"/>
                    <w:rPr>
                      <w:color w:val="auto"/>
                      <w:sz w:val="21"/>
                      <w:szCs w:val="21"/>
                    </w:rPr>
                  </w:pPr>
                </w:p>
              </w:tc>
              <w:tc>
                <w:tcPr>
                  <w:tcW w:w="786" w:type="pct"/>
                  <w:vAlign w:val="center"/>
                </w:tcPr>
                <w:p w14:paraId="62F13312">
                  <w:pPr>
                    <w:jc w:val="center"/>
                    <w:rPr>
                      <w:color w:val="auto"/>
                      <w:sz w:val="21"/>
                      <w:szCs w:val="21"/>
                    </w:rPr>
                  </w:pPr>
                  <w:r>
                    <w:rPr>
                      <w:color w:val="auto"/>
                      <w:sz w:val="21"/>
                      <w:szCs w:val="21"/>
                    </w:rPr>
                    <w:t>消防房</w:t>
                  </w:r>
                </w:p>
              </w:tc>
              <w:tc>
                <w:tcPr>
                  <w:tcW w:w="2851" w:type="pct"/>
                  <w:shd w:val="clear" w:color="auto" w:fill="auto"/>
                  <w:vAlign w:val="center"/>
                </w:tcPr>
                <w:p w14:paraId="5A4124AF">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color w:val="auto"/>
                      <w:sz w:val="21"/>
                      <w:szCs w:val="21"/>
                    </w:rPr>
                    <w:t>。</w:t>
                  </w:r>
                </w:p>
              </w:tc>
              <w:tc>
                <w:tcPr>
                  <w:tcW w:w="831" w:type="pct"/>
                  <w:shd w:val="clear" w:color="auto" w:fill="auto"/>
                  <w:vAlign w:val="center"/>
                </w:tcPr>
                <w:p w14:paraId="20FC8D59">
                  <w:pPr>
                    <w:jc w:val="center"/>
                    <w:rPr>
                      <w:color w:val="auto"/>
                      <w:sz w:val="21"/>
                      <w:szCs w:val="21"/>
                    </w:rPr>
                  </w:pPr>
                  <w:r>
                    <w:rPr>
                      <w:rFonts w:hint="eastAsia"/>
                      <w:color w:val="auto"/>
                      <w:sz w:val="21"/>
                      <w:szCs w:val="21"/>
                    </w:rPr>
                    <w:t>已建成</w:t>
                  </w:r>
                </w:p>
              </w:tc>
            </w:tr>
            <w:tr w14:paraId="55939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A23EDC8">
                  <w:pPr>
                    <w:jc w:val="center"/>
                    <w:rPr>
                      <w:color w:val="auto"/>
                      <w:sz w:val="21"/>
                      <w:szCs w:val="21"/>
                    </w:rPr>
                  </w:pPr>
                </w:p>
              </w:tc>
              <w:tc>
                <w:tcPr>
                  <w:tcW w:w="786" w:type="pct"/>
                  <w:vAlign w:val="center"/>
                </w:tcPr>
                <w:p w14:paraId="6F65C355">
                  <w:pPr>
                    <w:jc w:val="center"/>
                    <w:rPr>
                      <w:color w:val="auto"/>
                      <w:sz w:val="21"/>
                      <w:szCs w:val="21"/>
                    </w:rPr>
                  </w:pPr>
                  <w:r>
                    <w:rPr>
                      <w:color w:val="auto"/>
                      <w:sz w:val="21"/>
                      <w:szCs w:val="21"/>
                    </w:rPr>
                    <w:t>工具房</w:t>
                  </w:r>
                </w:p>
              </w:tc>
              <w:tc>
                <w:tcPr>
                  <w:tcW w:w="2851" w:type="pct"/>
                  <w:shd w:val="clear" w:color="auto" w:fill="auto"/>
                  <w:vAlign w:val="center"/>
                </w:tcPr>
                <w:p w14:paraId="2E037E21">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color w:val="auto"/>
                      <w:sz w:val="21"/>
                      <w:szCs w:val="21"/>
                    </w:rPr>
                    <w:t>。</w:t>
                  </w:r>
                </w:p>
              </w:tc>
              <w:tc>
                <w:tcPr>
                  <w:tcW w:w="831" w:type="pct"/>
                  <w:shd w:val="clear" w:color="auto" w:fill="auto"/>
                  <w:vAlign w:val="center"/>
                </w:tcPr>
                <w:p w14:paraId="3C3A949A">
                  <w:pPr>
                    <w:jc w:val="center"/>
                    <w:rPr>
                      <w:color w:val="auto"/>
                      <w:sz w:val="21"/>
                      <w:szCs w:val="21"/>
                    </w:rPr>
                  </w:pPr>
                  <w:r>
                    <w:rPr>
                      <w:rFonts w:hint="eastAsia"/>
                      <w:color w:val="auto"/>
                      <w:sz w:val="21"/>
                      <w:szCs w:val="21"/>
                    </w:rPr>
                    <w:t>已建成</w:t>
                  </w:r>
                </w:p>
              </w:tc>
            </w:tr>
            <w:tr w14:paraId="1929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4910E024">
                  <w:pPr>
                    <w:jc w:val="center"/>
                    <w:rPr>
                      <w:color w:val="auto"/>
                      <w:sz w:val="21"/>
                      <w:szCs w:val="21"/>
                    </w:rPr>
                  </w:pPr>
                </w:p>
              </w:tc>
              <w:tc>
                <w:tcPr>
                  <w:tcW w:w="786" w:type="pct"/>
                  <w:vAlign w:val="center"/>
                </w:tcPr>
                <w:p w14:paraId="27739062">
                  <w:pPr>
                    <w:jc w:val="center"/>
                    <w:rPr>
                      <w:color w:val="auto"/>
                      <w:sz w:val="21"/>
                      <w:szCs w:val="21"/>
                    </w:rPr>
                  </w:pPr>
                  <w:r>
                    <w:rPr>
                      <w:color w:val="auto"/>
                      <w:sz w:val="21"/>
                      <w:szCs w:val="21"/>
                    </w:rPr>
                    <w:t>机械修理房</w:t>
                  </w:r>
                </w:p>
              </w:tc>
              <w:tc>
                <w:tcPr>
                  <w:tcW w:w="2851" w:type="pct"/>
                  <w:shd w:val="clear" w:color="auto" w:fill="auto"/>
                  <w:vAlign w:val="center"/>
                </w:tcPr>
                <w:p w14:paraId="1776C823">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color w:val="auto"/>
                      <w:sz w:val="21"/>
                      <w:szCs w:val="21"/>
                    </w:rPr>
                    <w:t>。</w:t>
                  </w:r>
                </w:p>
              </w:tc>
              <w:tc>
                <w:tcPr>
                  <w:tcW w:w="831" w:type="pct"/>
                  <w:shd w:val="clear" w:color="auto" w:fill="auto"/>
                  <w:vAlign w:val="center"/>
                </w:tcPr>
                <w:p w14:paraId="6C491AF3">
                  <w:pPr>
                    <w:jc w:val="center"/>
                    <w:rPr>
                      <w:color w:val="auto"/>
                      <w:sz w:val="21"/>
                      <w:szCs w:val="21"/>
                    </w:rPr>
                  </w:pPr>
                  <w:r>
                    <w:rPr>
                      <w:rFonts w:hint="eastAsia"/>
                      <w:color w:val="auto"/>
                      <w:sz w:val="21"/>
                      <w:szCs w:val="21"/>
                    </w:rPr>
                    <w:t>已建成</w:t>
                  </w:r>
                </w:p>
              </w:tc>
            </w:tr>
            <w:tr w14:paraId="4A2A9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6F7326DA">
                  <w:pPr>
                    <w:jc w:val="center"/>
                    <w:rPr>
                      <w:color w:val="auto"/>
                      <w:sz w:val="21"/>
                      <w:szCs w:val="21"/>
                    </w:rPr>
                  </w:pPr>
                </w:p>
              </w:tc>
              <w:tc>
                <w:tcPr>
                  <w:tcW w:w="786" w:type="pct"/>
                  <w:vAlign w:val="center"/>
                </w:tcPr>
                <w:p w14:paraId="2FA663F8">
                  <w:pPr>
                    <w:jc w:val="center"/>
                    <w:rPr>
                      <w:color w:val="auto"/>
                      <w:sz w:val="21"/>
                      <w:szCs w:val="21"/>
                    </w:rPr>
                  </w:pPr>
                  <w:r>
                    <w:rPr>
                      <w:color w:val="auto"/>
                      <w:sz w:val="21"/>
                      <w:szCs w:val="21"/>
                    </w:rPr>
                    <w:t>生活营区</w:t>
                  </w:r>
                </w:p>
              </w:tc>
              <w:tc>
                <w:tcPr>
                  <w:tcW w:w="2851" w:type="pct"/>
                  <w:shd w:val="clear" w:color="auto" w:fill="auto"/>
                  <w:vAlign w:val="center"/>
                </w:tcPr>
                <w:p w14:paraId="1D55F4CB">
                  <w:pPr>
                    <w:jc w:val="left"/>
                    <w:rPr>
                      <w:color w:val="auto"/>
                      <w:sz w:val="21"/>
                      <w:szCs w:val="21"/>
                    </w:rPr>
                  </w:pPr>
                  <w:r>
                    <w:rPr>
                      <w:rFonts w:hint="eastAsia"/>
                      <w:color w:val="auto"/>
                      <w:sz w:val="21"/>
                      <w:szCs w:val="21"/>
                    </w:rPr>
                    <w:t>占地面积约800</w:t>
                  </w:r>
                  <w:r>
                    <w:rPr>
                      <w:color w:val="auto"/>
                      <w:sz w:val="21"/>
                      <w:szCs w:val="21"/>
                    </w:rPr>
                    <w:t>m</w:t>
                  </w:r>
                  <w:r>
                    <w:rPr>
                      <w:color w:val="auto"/>
                      <w:sz w:val="21"/>
                      <w:szCs w:val="21"/>
                      <w:vertAlign w:val="superscript"/>
                    </w:rPr>
                    <w:t>2</w:t>
                  </w:r>
                  <w:r>
                    <w:rPr>
                      <w:rFonts w:hint="eastAsia"/>
                      <w:color w:val="auto"/>
                      <w:sz w:val="21"/>
                      <w:szCs w:val="21"/>
                    </w:rPr>
                    <w:t>，包括厕所、井场值班房、干部住井房、甲方监督房、工程技术房、库房区。</w:t>
                  </w:r>
                </w:p>
              </w:tc>
              <w:tc>
                <w:tcPr>
                  <w:tcW w:w="831" w:type="pct"/>
                  <w:shd w:val="clear" w:color="auto" w:fill="auto"/>
                  <w:vAlign w:val="center"/>
                </w:tcPr>
                <w:p w14:paraId="522B43F5">
                  <w:pPr>
                    <w:jc w:val="center"/>
                    <w:rPr>
                      <w:color w:val="auto"/>
                      <w:sz w:val="21"/>
                      <w:szCs w:val="21"/>
                    </w:rPr>
                  </w:pPr>
                  <w:r>
                    <w:rPr>
                      <w:rFonts w:hint="eastAsia"/>
                      <w:color w:val="auto"/>
                      <w:sz w:val="21"/>
                      <w:szCs w:val="21"/>
                    </w:rPr>
                    <w:t>已建成</w:t>
                  </w:r>
                </w:p>
              </w:tc>
            </w:tr>
            <w:tr w14:paraId="7873D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695C1A7D">
                  <w:pPr>
                    <w:jc w:val="center"/>
                    <w:rPr>
                      <w:color w:val="auto"/>
                      <w:sz w:val="21"/>
                      <w:szCs w:val="21"/>
                    </w:rPr>
                  </w:pPr>
                </w:p>
              </w:tc>
              <w:tc>
                <w:tcPr>
                  <w:tcW w:w="786" w:type="pct"/>
                  <w:vAlign w:val="center"/>
                </w:tcPr>
                <w:p w14:paraId="0D7129A5">
                  <w:pPr>
                    <w:jc w:val="center"/>
                    <w:rPr>
                      <w:color w:val="auto"/>
                      <w:sz w:val="21"/>
                      <w:szCs w:val="21"/>
                    </w:rPr>
                  </w:pPr>
                  <w:r>
                    <w:rPr>
                      <w:color w:val="auto"/>
                      <w:sz w:val="21"/>
                      <w:szCs w:val="21"/>
                    </w:rPr>
                    <w:t>地质房</w:t>
                  </w:r>
                </w:p>
              </w:tc>
              <w:tc>
                <w:tcPr>
                  <w:tcW w:w="2851" w:type="pct"/>
                  <w:shd w:val="clear" w:color="auto" w:fill="auto"/>
                  <w:vAlign w:val="center"/>
                </w:tcPr>
                <w:p w14:paraId="49575890">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rFonts w:hint="eastAsia"/>
                      <w:color w:val="auto"/>
                      <w:sz w:val="21"/>
                      <w:szCs w:val="21"/>
                    </w:rPr>
                    <w:t>。</w:t>
                  </w:r>
                </w:p>
              </w:tc>
              <w:tc>
                <w:tcPr>
                  <w:tcW w:w="831" w:type="pct"/>
                  <w:shd w:val="clear" w:color="auto" w:fill="auto"/>
                  <w:vAlign w:val="center"/>
                </w:tcPr>
                <w:p w14:paraId="4B5DCC93">
                  <w:pPr>
                    <w:jc w:val="center"/>
                    <w:rPr>
                      <w:color w:val="auto"/>
                      <w:sz w:val="21"/>
                      <w:szCs w:val="21"/>
                    </w:rPr>
                  </w:pPr>
                  <w:r>
                    <w:rPr>
                      <w:rFonts w:hint="eastAsia"/>
                      <w:color w:val="auto"/>
                      <w:sz w:val="21"/>
                      <w:szCs w:val="21"/>
                    </w:rPr>
                    <w:t>已建成</w:t>
                  </w:r>
                </w:p>
              </w:tc>
            </w:tr>
            <w:tr w14:paraId="772FA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4AA02CEB">
                  <w:pPr>
                    <w:jc w:val="center"/>
                    <w:rPr>
                      <w:color w:val="auto"/>
                      <w:sz w:val="21"/>
                      <w:szCs w:val="21"/>
                    </w:rPr>
                  </w:pPr>
                </w:p>
              </w:tc>
              <w:tc>
                <w:tcPr>
                  <w:tcW w:w="786" w:type="pct"/>
                  <w:vAlign w:val="center"/>
                </w:tcPr>
                <w:p w14:paraId="7DE82050">
                  <w:pPr>
                    <w:jc w:val="center"/>
                    <w:rPr>
                      <w:color w:val="auto"/>
                      <w:sz w:val="21"/>
                      <w:szCs w:val="21"/>
                    </w:rPr>
                  </w:pPr>
                  <w:r>
                    <w:rPr>
                      <w:rFonts w:hint="eastAsia"/>
                      <w:color w:val="auto"/>
                      <w:sz w:val="21"/>
                      <w:szCs w:val="21"/>
                    </w:rPr>
                    <w:t>气瓶房</w:t>
                  </w:r>
                </w:p>
              </w:tc>
              <w:tc>
                <w:tcPr>
                  <w:tcW w:w="2851" w:type="pct"/>
                  <w:shd w:val="clear" w:color="auto" w:fill="auto"/>
                  <w:vAlign w:val="center"/>
                </w:tcPr>
                <w:p w14:paraId="4D2CA14F">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color w:val="auto"/>
                      <w:sz w:val="21"/>
                      <w:szCs w:val="21"/>
                    </w:rPr>
                    <w:t>，</w:t>
                  </w:r>
                  <w:r>
                    <w:rPr>
                      <w:rFonts w:hint="eastAsia"/>
                      <w:color w:val="auto"/>
                      <w:sz w:val="21"/>
                      <w:szCs w:val="21"/>
                    </w:rPr>
                    <w:t>储存</w:t>
                  </w:r>
                  <w:r>
                    <w:rPr>
                      <w:color w:val="auto"/>
                      <w:sz w:val="21"/>
                      <w:szCs w:val="21"/>
                    </w:rPr>
                    <w:t>携气瓶式正压呼吸设备</w:t>
                  </w:r>
                  <w:r>
                    <w:rPr>
                      <w:rFonts w:hint="eastAsia"/>
                      <w:color w:val="auto"/>
                      <w:sz w:val="21"/>
                      <w:szCs w:val="21"/>
                    </w:rPr>
                    <w:t>及气</w:t>
                  </w:r>
                  <w:r>
                    <w:rPr>
                      <w:color w:val="auto"/>
                      <w:sz w:val="21"/>
                      <w:szCs w:val="21"/>
                    </w:rPr>
                    <w:t>瓶</w:t>
                  </w:r>
                </w:p>
              </w:tc>
              <w:tc>
                <w:tcPr>
                  <w:tcW w:w="831" w:type="pct"/>
                  <w:shd w:val="clear" w:color="auto" w:fill="auto"/>
                  <w:vAlign w:val="center"/>
                </w:tcPr>
                <w:p w14:paraId="015D1E9F">
                  <w:pPr>
                    <w:jc w:val="center"/>
                    <w:rPr>
                      <w:color w:val="auto"/>
                      <w:sz w:val="21"/>
                      <w:szCs w:val="21"/>
                    </w:rPr>
                  </w:pPr>
                  <w:r>
                    <w:rPr>
                      <w:rFonts w:hint="eastAsia"/>
                      <w:color w:val="auto"/>
                      <w:sz w:val="21"/>
                      <w:szCs w:val="21"/>
                    </w:rPr>
                    <w:t>已建成</w:t>
                  </w:r>
                </w:p>
              </w:tc>
            </w:tr>
            <w:tr w14:paraId="4D36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4A90713B">
                  <w:pPr>
                    <w:jc w:val="center"/>
                    <w:rPr>
                      <w:color w:val="auto"/>
                      <w:sz w:val="21"/>
                      <w:szCs w:val="21"/>
                    </w:rPr>
                  </w:pPr>
                </w:p>
              </w:tc>
              <w:tc>
                <w:tcPr>
                  <w:tcW w:w="786" w:type="pct"/>
                  <w:vAlign w:val="center"/>
                </w:tcPr>
                <w:p w14:paraId="2254C2C5">
                  <w:pPr>
                    <w:jc w:val="center"/>
                    <w:rPr>
                      <w:color w:val="auto"/>
                      <w:sz w:val="21"/>
                      <w:szCs w:val="21"/>
                    </w:rPr>
                  </w:pPr>
                  <w:r>
                    <w:rPr>
                      <w:rFonts w:hint="eastAsia"/>
                      <w:color w:val="auto"/>
                      <w:sz w:val="21"/>
                      <w:szCs w:val="21"/>
                    </w:rPr>
                    <w:t>MCC房</w:t>
                  </w:r>
                </w:p>
              </w:tc>
              <w:tc>
                <w:tcPr>
                  <w:tcW w:w="2851" w:type="pct"/>
                  <w:shd w:val="clear" w:color="auto" w:fill="auto"/>
                  <w:vAlign w:val="center"/>
                </w:tcPr>
                <w:p w14:paraId="28C0CD58">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rFonts w:hint="eastAsia" w:ascii="Arial" w:hAnsi="Arial" w:cs="Arial"/>
                      <w:color w:val="auto"/>
                      <w:sz w:val="21"/>
                      <w:szCs w:val="21"/>
                      <w:shd w:val="clear" w:color="auto" w:fill="FFFFFF"/>
                    </w:rPr>
                    <w:t>，</w:t>
                  </w:r>
                  <w:r>
                    <w:rPr>
                      <w:rFonts w:ascii="Arial" w:hAnsi="Arial" w:eastAsia="Arial" w:cs="Arial"/>
                      <w:color w:val="auto"/>
                      <w:sz w:val="21"/>
                      <w:szCs w:val="21"/>
                      <w:shd w:val="clear" w:color="auto" w:fill="FFFFFF"/>
                    </w:rPr>
                    <w:t>开关设备和低压配电装置集成在一起的预制式配电房。‌‌</w:t>
                  </w:r>
                </w:p>
              </w:tc>
              <w:tc>
                <w:tcPr>
                  <w:tcW w:w="831" w:type="pct"/>
                  <w:shd w:val="clear" w:color="auto" w:fill="auto"/>
                  <w:vAlign w:val="center"/>
                </w:tcPr>
                <w:p w14:paraId="31D545C2">
                  <w:pPr>
                    <w:jc w:val="center"/>
                    <w:rPr>
                      <w:color w:val="auto"/>
                      <w:sz w:val="21"/>
                      <w:szCs w:val="21"/>
                    </w:rPr>
                  </w:pPr>
                  <w:r>
                    <w:rPr>
                      <w:rFonts w:hint="eastAsia"/>
                      <w:color w:val="auto"/>
                      <w:sz w:val="21"/>
                      <w:szCs w:val="21"/>
                    </w:rPr>
                    <w:t>已建成</w:t>
                  </w:r>
                </w:p>
              </w:tc>
            </w:tr>
            <w:tr w14:paraId="036D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8106F23">
                  <w:pPr>
                    <w:jc w:val="center"/>
                    <w:rPr>
                      <w:color w:val="auto"/>
                      <w:sz w:val="21"/>
                      <w:szCs w:val="21"/>
                    </w:rPr>
                  </w:pPr>
                </w:p>
              </w:tc>
              <w:tc>
                <w:tcPr>
                  <w:tcW w:w="786" w:type="pct"/>
                  <w:vAlign w:val="center"/>
                </w:tcPr>
                <w:p w14:paraId="498449FC">
                  <w:pPr>
                    <w:jc w:val="center"/>
                    <w:rPr>
                      <w:color w:val="auto"/>
                      <w:sz w:val="21"/>
                      <w:szCs w:val="21"/>
                    </w:rPr>
                  </w:pPr>
                  <w:r>
                    <w:rPr>
                      <w:rFonts w:hint="eastAsia"/>
                      <w:color w:val="auto"/>
                      <w:sz w:val="21"/>
                      <w:szCs w:val="21"/>
                    </w:rPr>
                    <w:t>泥浆房</w:t>
                  </w:r>
                </w:p>
              </w:tc>
              <w:tc>
                <w:tcPr>
                  <w:tcW w:w="2851" w:type="pct"/>
                  <w:shd w:val="clear" w:color="auto" w:fill="auto"/>
                  <w:vAlign w:val="center"/>
                </w:tcPr>
                <w:p w14:paraId="73173231">
                  <w:pPr>
                    <w:jc w:val="left"/>
                    <w:rPr>
                      <w:color w:val="auto"/>
                      <w:sz w:val="21"/>
                      <w:szCs w:val="21"/>
                    </w:rPr>
                  </w:pPr>
                  <w:r>
                    <w:rPr>
                      <w:color w:val="auto"/>
                      <w:sz w:val="21"/>
                      <w:szCs w:val="21"/>
                    </w:rPr>
                    <w:t>占地面积</w:t>
                  </w:r>
                  <w:r>
                    <w:rPr>
                      <w:rFonts w:hint="eastAsia"/>
                      <w:color w:val="auto"/>
                      <w:sz w:val="21"/>
                      <w:szCs w:val="21"/>
                    </w:rPr>
                    <w:t>40</w:t>
                  </w:r>
                  <w:r>
                    <w:rPr>
                      <w:color w:val="auto"/>
                      <w:sz w:val="21"/>
                      <w:szCs w:val="21"/>
                    </w:rPr>
                    <w:t>m</w:t>
                  </w:r>
                  <w:r>
                    <w:rPr>
                      <w:color w:val="auto"/>
                      <w:sz w:val="21"/>
                      <w:szCs w:val="21"/>
                      <w:vertAlign w:val="superscript"/>
                    </w:rPr>
                    <w:t>2</w:t>
                  </w:r>
                  <w:r>
                    <w:rPr>
                      <w:rFonts w:hint="eastAsia" w:ascii="Arial" w:hAnsi="Arial" w:cs="Arial"/>
                      <w:color w:val="auto"/>
                      <w:sz w:val="21"/>
                      <w:szCs w:val="21"/>
                      <w:shd w:val="clear" w:color="auto" w:fill="FFFFFF"/>
                    </w:rPr>
                    <w:t>，用于试验、测量泥浆性能。</w:t>
                  </w:r>
                </w:p>
              </w:tc>
              <w:tc>
                <w:tcPr>
                  <w:tcW w:w="831" w:type="pct"/>
                  <w:shd w:val="clear" w:color="auto" w:fill="auto"/>
                  <w:vAlign w:val="center"/>
                </w:tcPr>
                <w:p w14:paraId="6C01B818">
                  <w:pPr>
                    <w:jc w:val="center"/>
                    <w:rPr>
                      <w:color w:val="auto"/>
                      <w:sz w:val="21"/>
                      <w:szCs w:val="21"/>
                    </w:rPr>
                  </w:pPr>
                  <w:r>
                    <w:rPr>
                      <w:rFonts w:hint="eastAsia"/>
                      <w:color w:val="auto"/>
                      <w:sz w:val="21"/>
                      <w:szCs w:val="21"/>
                    </w:rPr>
                    <w:t>已建成</w:t>
                  </w:r>
                </w:p>
              </w:tc>
            </w:tr>
            <w:tr w14:paraId="2707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restart"/>
                  <w:vAlign w:val="center"/>
                </w:tcPr>
                <w:p w14:paraId="4247EA9C">
                  <w:pPr>
                    <w:jc w:val="center"/>
                    <w:rPr>
                      <w:color w:val="auto"/>
                      <w:sz w:val="21"/>
                      <w:szCs w:val="21"/>
                    </w:rPr>
                  </w:pPr>
                  <w:r>
                    <w:rPr>
                      <w:color w:val="auto"/>
                      <w:sz w:val="21"/>
                      <w:szCs w:val="21"/>
                    </w:rPr>
                    <w:t>储运工程</w:t>
                  </w:r>
                </w:p>
              </w:tc>
              <w:tc>
                <w:tcPr>
                  <w:tcW w:w="786" w:type="pct"/>
                  <w:vAlign w:val="center"/>
                </w:tcPr>
                <w:p w14:paraId="5C003A30">
                  <w:pPr>
                    <w:jc w:val="center"/>
                    <w:rPr>
                      <w:color w:val="auto"/>
                      <w:sz w:val="21"/>
                      <w:szCs w:val="21"/>
                    </w:rPr>
                  </w:pPr>
                  <w:r>
                    <w:rPr>
                      <w:color w:val="auto"/>
                      <w:sz w:val="21"/>
                      <w:szCs w:val="21"/>
                    </w:rPr>
                    <w:t>循环罐区</w:t>
                  </w:r>
                </w:p>
              </w:tc>
              <w:tc>
                <w:tcPr>
                  <w:tcW w:w="2851" w:type="pct"/>
                  <w:shd w:val="clear" w:color="auto" w:fill="auto"/>
                  <w:vAlign w:val="center"/>
                </w:tcPr>
                <w:p w14:paraId="0FC52346">
                  <w:pPr>
                    <w:jc w:val="left"/>
                    <w:rPr>
                      <w:color w:val="auto"/>
                      <w:sz w:val="21"/>
                      <w:szCs w:val="21"/>
                    </w:rPr>
                  </w:pPr>
                  <w:r>
                    <w:rPr>
                      <w:rFonts w:hint="eastAsia"/>
                      <w:color w:val="auto"/>
                      <w:sz w:val="21"/>
                      <w:szCs w:val="21"/>
                    </w:rPr>
                    <w:t>5</w:t>
                  </w:r>
                  <w:r>
                    <w:rPr>
                      <w:color w:val="auto"/>
                      <w:sz w:val="21"/>
                      <w:szCs w:val="21"/>
                    </w:rPr>
                    <w:t>个60m</w:t>
                  </w:r>
                  <w:r>
                    <w:rPr>
                      <w:color w:val="auto"/>
                      <w:sz w:val="21"/>
                      <w:szCs w:val="21"/>
                      <w:vertAlign w:val="superscript"/>
                    </w:rPr>
                    <w:t>3</w:t>
                  </w:r>
                  <w:r>
                    <w:rPr>
                      <w:color w:val="auto"/>
                      <w:sz w:val="21"/>
                      <w:szCs w:val="21"/>
                    </w:rPr>
                    <w:t>循环罐，用于储存泥浆、钻井液、水泥、压裂液</w:t>
                  </w:r>
                  <w:r>
                    <w:rPr>
                      <w:rFonts w:hint="eastAsia"/>
                      <w:color w:val="auto"/>
                      <w:sz w:val="21"/>
                      <w:szCs w:val="21"/>
                    </w:rPr>
                    <w:t>；2</w:t>
                  </w:r>
                  <w:r>
                    <w:rPr>
                      <w:color w:val="auto"/>
                      <w:sz w:val="21"/>
                      <w:szCs w:val="21"/>
                    </w:rPr>
                    <w:t>个40m</w:t>
                  </w:r>
                  <w:r>
                    <w:rPr>
                      <w:color w:val="auto"/>
                      <w:sz w:val="21"/>
                      <w:szCs w:val="21"/>
                      <w:vertAlign w:val="superscript"/>
                    </w:rPr>
                    <w:t>3</w:t>
                  </w:r>
                  <w:r>
                    <w:rPr>
                      <w:color w:val="auto"/>
                      <w:sz w:val="21"/>
                      <w:szCs w:val="21"/>
                    </w:rPr>
                    <w:t>储备罐，用于储存</w:t>
                  </w:r>
                  <w:r>
                    <w:rPr>
                      <w:rFonts w:hint="eastAsia"/>
                      <w:color w:val="auto"/>
                      <w:sz w:val="21"/>
                      <w:szCs w:val="21"/>
                    </w:rPr>
                    <w:t>试压废水、压裂返排液。</w:t>
                  </w:r>
                </w:p>
              </w:tc>
              <w:tc>
                <w:tcPr>
                  <w:tcW w:w="831" w:type="pct"/>
                  <w:shd w:val="clear" w:color="auto" w:fill="auto"/>
                  <w:vAlign w:val="center"/>
                </w:tcPr>
                <w:p w14:paraId="1746CE00">
                  <w:pPr>
                    <w:jc w:val="center"/>
                    <w:rPr>
                      <w:color w:val="auto"/>
                      <w:sz w:val="21"/>
                      <w:szCs w:val="21"/>
                    </w:rPr>
                  </w:pPr>
                  <w:r>
                    <w:rPr>
                      <w:rFonts w:hint="eastAsia"/>
                      <w:color w:val="auto"/>
                      <w:sz w:val="21"/>
                      <w:szCs w:val="21"/>
                    </w:rPr>
                    <w:t>已建成</w:t>
                  </w:r>
                </w:p>
              </w:tc>
            </w:tr>
            <w:tr w14:paraId="6761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0" w:type="pct"/>
                  <w:gridSpan w:val="2"/>
                  <w:vMerge w:val="continue"/>
                  <w:vAlign w:val="center"/>
                </w:tcPr>
                <w:p w14:paraId="6F300BDF">
                  <w:pPr>
                    <w:jc w:val="center"/>
                    <w:rPr>
                      <w:color w:val="auto"/>
                      <w:sz w:val="21"/>
                      <w:szCs w:val="21"/>
                    </w:rPr>
                  </w:pPr>
                </w:p>
              </w:tc>
              <w:tc>
                <w:tcPr>
                  <w:tcW w:w="786" w:type="pct"/>
                  <w:vAlign w:val="center"/>
                </w:tcPr>
                <w:p w14:paraId="21445636">
                  <w:pPr>
                    <w:jc w:val="center"/>
                    <w:rPr>
                      <w:color w:val="auto"/>
                      <w:sz w:val="21"/>
                      <w:szCs w:val="21"/>
                    </w:rPr>
                  </w:pPr>
                  <w:r>
                    <w:rPr>
                      <w:color w:val="auto"/>
                      <w:sz w:val="21"/>
                      <w:szCs w:val="21"/>
                    </w:rPr>
                    <w:t>油罐区</w:t>
                  </w:r>
                </w:p>
              </w:tc>
              <w:tc>
                <w:tcPr>
                  <w:tcW w:w="2851" w:type="pct"/>
                  <w:shd w:val="clear" w:color="auto" w:fill="auto"/>
                  <w:vAlign w:val="center"/>
                </w:tcPr>
                <w:p w14:paraId="55AC142E">
                  <w:pPr>
                    <w:jc w:val="left"/>
                    <w:rPr>
                      <w:color w:val="auto"/>
                      <w:sz w:val="21"/>
                      <w:szCs w:val="21"/>
                    </w:rPr>
                  </w:pPr>
                  <w:r>
                    <w:rPr>
                      <w:color w:val="auto"/>
                      <w:sz w:val="21"/>
                      <w:szCs w:val="21"/>
                    </w:rPr>
                    <w:t>占地面积约40m</w:t>
                  </w:r>
                  <w:r>
                    <w:rPr>
                      <w:color w:val="auto"/>
                      <w:sz w:val="21"/>
                      <w:szCs w:val="21"/>
                      <w:vertAlign w:val="superscript"/>
                    </w:rPr>
                    <w:t>2</w:t>
                  </w:r>
                  <w:r>
                    <w:rPr>
                      <w:rFonts w:hint="eastAsia"/>
                      <w:color w:val="auto"/>
                      <w:sz w:val="21"/>
                      <w:szCs w:val="21"/>
                    </w:rPr>
                    <w:t>，设置2个油罐，一个卧式罐容30m</w:t>
                  </w:r>
                  <w:r>
                    <w:rPr>
                      <w:rFonts w:hint="eastAsia"/>
                      <w:color w:val="auto"/>
                      <w:sz w:val="21"/>
                      <w:szCs w:val="21"/>
                      <w:vertAlign w:val="superscript"/>
                    </w:rPr>
                    <w:t>3</w:t>
                  </w:r>
                  <w:r>
                    <w:rPr>
                      <w:rFonts w:hint="eastAsia"/>
                      <w:color w:val="auto"/>
                      <w:sz w:val="21"/>
                      <w:szCs w:val="21"/>
                    </w:rPr>
                    <w:t>、一个竖式罐容20m</w:t>
                  </w:r>
                  <w:r>
                    <w:rPr>
                      <w:rFonts w:hint="eastAsia"/>
                      <w:color w:val="auto"/>
                      <w:sz w:val="21"/>
                      <w:szCs w:val="21"/>
                      <w:vertAlign w:val="superscript"/>
                    </w:rPr>
                    <w:t>3</w:t>
                  </w:r>
                  <w:r>
                    <w:rPr>
                      <w:rFonts w:hint="eastAsia"/>
                      <w:color w:val="auto"/>
                      <w:sz w:val="21"/>
                      <w:szCs w:val="21"/>
                    </w:rPr>
                    <w:t>。</w:t>
                  </w:r>
                </w:p>
              </w:tc>
              <w:tc>
                <w:tcPr>
                  <w:tcW w:w="831" w:type="pct"/>
                  <w:shd w:val="clear" w:color="auto" w:fill="auto"/>
                  <w:vAlign w:val="center"/>
                </w:tcPr>
                <w:p w14:paraId="7D0F5523">
                  <w:pPr>
                    <w:jc w:val="center"/>
                    <w:rPr>
                      <w:color w:val="auto"/>
                      <w:sz w:val="21"/>
                      <w:szCs w:val="21"/>
                    </w:rPr>
                  </w:pPr>
                  <w:r>
                    <w:rPr>
                      <w:rFonts w:hint="eastAsia"/>
                      <w:color w:val="auto"/>
                      <w:sz w:val="21"/>
                      <w:szCs w:val="21"/>
                    </w:rPr>
                    <w:t>已建成</w:t>
                  </w:r>
                </w:p>
              </w:tc>
            </w:tr>
            <w:tr w14:paraId="1B3D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E3BA08A">
                  <w:pPr>
                    <w:jc w:val="center"/>
                    <w:rPr>
                      <w:color w:val="auto"/>
                      <w:sz w:val="21"/>
                      <w:szCs w:val="21"/>
                    </w:rPr>
                  </w:pPr>
                </w:p>
              </w:tc>
              <w:tc>
                <w:tcPr>
                  <w:tcW w:w="786" w:type="pct"/>
                  <w:vAlign w:val="center"/>
                </w:tcPr>
                <w:p w14:paraId="708A8713">
                  <w:pPr>
                    <w:jc w:val="center"/>
                    <w:rPr>
                      <w:color w:val="auto"/>
                      <w:sz w:val="21"/>
                      <w:szCs w:val="21"/>
                    </w:rPr>
                  </w:pPr>
                  <w:r>
                    <w:rPr>
                      <w:color w:val="auto"/>
                      <w:sz w:val="21"/>
                      <w:szCs w:val="21"/>
                    </w:rPr>
                    <w:t>药品房</w:t>
                  </w:r>
                </w:p>
              </w:tc>
              <w:tc>
                <w:tcPr>
                  <w:tcW w:w="2851" w:type="pct"/>
                  <w:shd w:val="clear" w:color="auto" w:fill="auto"/>
                  <w:vAlign w:val="center"/>
                </w:tcPr>
                <w:p w14:paraId="0D6CE5E8">
                  <w:pPr>
                    <w:jc w:val="left"/>
                    <w:rPr>
                      <w:color w:val="auto"/>
                      <w:sz w:val="21"/>
                      <w:szCs w:val="21"/>
                    </w:rPr>
                  </w:pPr>
                  <w:r>
                    <w:rPr>
                      <w:color w:val="auto"/>
                      <w:sz w:val="21"/>
                      <w:szCs w:val="21"/>
                    </w:rPr>
                    <w:t>占地面积</w:t>
                  </w:r>
                  <w:r>
                    <w:rPr>
                      <w:rFonts w:hint="eastAsia"/>
                      <w:color w:val="auto"/>
                      <w:sz w:val="21"/>
                      <w:szCs w:val="21"/>
                    </w:rPr>
                    <w:t>80</w:t>
                  </w:r>
                  <w:r>
                    <w:rPr>
                      <w:color w:val="auto"/>
                      <w:sz w:val="21"/>
                      <w:szCs w:val="21"/>
                    </w:rPr>
                    <w:t>m</w:t>
                  </w:r>
                  <w:r>
                    <w:rPr>
                      <w:color w:val="auto"/>
                      <w:sz w:val="21"/>
                      <w:szCs w:val="21"/>
                      <w:vertAlign w:val="superscript"/>
                    </w:rPr>
                    <w:t>2</w:t>
                  </w:r>
                  <w:r>
                    <w:rPr>
                      <w:color w:val="auto"/>
                      <w:sz w:val="21"/>
                      <w:szCs w:val="21"/>
                    </w:rPr>
                    <w:t>，</w:t>
                  </w:r>
                  <w:r>
                    <w:rPr>
                      <w:rFonts w:hint="eastAsia"/>
                      <w:color w:val="auto"/>
                      <w:sz w:val="21"/>
                      <w:szCs w:val="21"/>
                    </w:rPr>
                    <w:t>2个药品房，</w:t>
                  </w:r>
                  <w:r>
                    <w:rPr>
                      <w:color w:val="auto"/>
                      <w:sz w:val="21"/>
                      <w:szCs w:val="21"/>
                    </w:rPr>
                    <w:t>存放配置钻井液的药品。</w:t>
                  </w:r>
                </w:p>
              </w:tc>
              <w:tc>
                <w:tcPr>
                  <w:tcW w:w="831" w:type="pct"/>
                  <w:shd w:val="clear" w:color="auto" w:fill="auto"/>
                  <w:vAlign w:val="center"/>
                </w:tcPr>
                <w:p w14:paraId="6E65CFF2">
                  <w:pPr>
                    <w:jc w:val="center"/>
                    <w:rPr>
                      <w:color w:val="auto"/>
                      <w:sz w:val="21"/>
                      <w:szCs w:val="21"/>
                    </w:rPr>
                  </w:pPr>
                  <w:r>
                    <w:rPr>
                      <w:rFonts w:hint="eastAsia"/>
                      <w:color w:val="auto"/>
                      <w:sz w:val="21"/>
                      <w:szCs w:val="21"/>
                    </w:rPr>
                    <w:t>已建成</w:t>
                  </w:r>
                </w:p>
              </w:tc>
            </w:tr>
            <w:tr w14:paraId="1B22D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527D6252">
                  <w:pPr>
                    <w:jc w:val="center"/>
                    <w:rPr>
                      <w:color w:val="auto"/>
                      <w:sz w:val="21"/>
                      <w:szCs w:val="21"/>
                    </w:rPr>
                  </w:pPr>
                </w:p>
              </w:tc>
              <w:tc>
                <w:tcPr>
                  <w:tcW w:w="786" w:type="pct"/>
                  <w:vAlign w:val="center"/>
                </w:tcPr>
                <w:p w14:paraId="2F31B6E3">
                  <w:pPr>
                    <w:jc w:val="center"/>
                    <w:rPr>
                      <w:color w:val="auto"/>
                      <w:sz w:val="21"/>
                      <w:szCs w:val="21"/>
                    </w:rPr>
                  </w:pPr>
                  <w:r>
                    <w:rPr>
                      <w:color w:val="auto"/>
                      <w:sz w:val="21"/>
                      <w:szCs w:val="21"/>
                    </w:rPr>
                    <w:t>材料房</w:t>
                  </w:r>
                </w:p>
              </w:tc>
              <w:tc>
                <w:tcPr>
                  <w:tcW w:w="2851" w:type="pct"/>
                  <w:shd w:val="clear" w:color="auto" w:fill="auto"/>
                  <w:vAlign w:val="center"/>
                </w:tcPr>
                <w:p w14:paraId="2141E6CD">
                  <w:pPr>
                    <w:jc w:val="left"/>
                    <w:rPr>
                      <w:color w:val="auto"/>
                      <w:sz w:val="21"/>
                      <w:szCs w:val="21"/>
                    </w:rPr>
                  </w:pPr>
                  <w:r>
                    <w:rPr>
                      <w:color w:val="auto"/>
                      <w:sz w:val="21"/>
                      <w:szCs w:val="21"/>
                    </w:rPr>
                    <w:t>占地面积</w:t>
                  </w:r>
                  <w:r>
                    <w:rPr>
                      <w:rFonts w:hint="eastAsia"/>
                      <w:color w:val="auto"/>
                      <w:sz w:val="21"/>
                      <w:szCs w:val="21"/>
                    </w:rPr>
                    <w:t>80</w:t>
                  </w:r>
                  <w:r>
                    <w:rPr>
                      <w:color w:val="auto"/>
                      <w:sz w:val="21"/>
                      <w:szCs w:val="21"/>
                    </w:rPr>
                    <w:t>m</w:t>
                  </w:r>
                  <w:r>
                    <w:rPr>
                      <w:color w:val="auto"/>
                      <w:sz w:val="21"/>
                      <w:szCs w:val="21"/>
                      <w:vertAlign w:val="superscript"/>
                    </w:rPr>
                    <w:t>2</w:t>
                  </w:r>
                  <w:r>
                    <w:rPr>
                      <w:color w:val="auto"/>
                      <w:sz w:val="21"/>
                      <w:szCs w:val="21"/>
                    </w:rPr>
                    <w:t>，</w:t>
                  </w:r>
                  <w:r>
                    <w:rPr>
                      <w:rFonts w:hint="eastAsia"/>
                      <w:color w:val="auto"/>
                      <w:sz w:val="21"/>
                      <w:szCs w:val="21"/>
                    </w:rPr>
                    <w:t>3</w:t>
                  </w:r>
                  <w:r>
                    <w:rPr>
                      <w:color w:val="auto"/>
                      <w:sz w:val="21"/>
                      <w:szCs w:val="21"/>
                    </w:rPr>
                    <w:t>个材料房，用于储存施工材料。</w:t>
                  </w:r>
                </w:p>
              </w:tc>
              <w:tc>
                <w:tcPr>
                  <w:tcW w:w="831" w:type="pct"/>
                  <w:shd w:val="clear" w:color="auto" w:fill="auto"/>
                  <w:vAlign w:val="center"/>
                </w:tcPr>
                <w:p w14:paraId="6DA1A32E">
                  <w:pPr>
                    <w:jc w:val="center"/>
                    <w:rPr>
                      <w:color w:val="auto"/>
                      <w:sz w:val="21"/>
                      <w:szCs w:val="21"/>
                    </w:rPr>
                  </w:pPr>
                  <w:r>
                    <w:rPr>
                      <w:rFonts w:hint="eastAsia"/>
                      <w:color w:val="auto"/>
                      <w:sz w:val="21"/>
                      <w:szCs w:val="21"/>
                    </w:rPr>
                    <w:t>已建成</w:t>
                  </w:r>
                </w:p>
              </w:tc>
            </w:tr>
            <w:tr w14:paraId="0AC1A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4D2A857F">
                  <w:pPr>
                    <w:jc w:val="center"/>
                    <w:rPr>
                      <w:color w:val="auto"/>
                      <w:sz w:val="21"/>
                      <w:szCs w:val="21"/>
                    </w:rPr>
                  </w:pPr>
                </w:p>
              </w:tc>
              <w:tc>
                <w:tcPr>
                  <w:tcW w:w="786" w:type="pct"/>
                  <w:vAlign w:val="center"/>
                </w:tcPr>
                <w:p w14:paraId="73502F14">
                  <w:pPr>
                    <w:jc w:val="center"/>
                    <w:rPr>
                      <w:color w:val="auto"/>
                      <w:sz w:val="21"/>
                      <w:szCs w:val="21"/>
                    </w:rPr>
                  </w:pPr>
                  <w:r>
                    <w:rPr>
                      <w:color w:val="auto"/>
                      <w:sz w:val="21"/>
                      <w:szCs w:val="21"/>
                    </w:rPr>
                    <w:t>污水池</w:t>
                  </w:r>
                </w:p>
              </w:tc>
              <w:tc>
                <w:tcPr>
                  <w:tcW w:w="2851" w:type="pct"/>
                  <w:shd w:val="clear" w:color="auto" w:fill="auto"/>
                  <w:vAlign w:val="center"/>
                </w:tcPr>
                <w:p w14:paraId="662AF937">
                  <w:pPr>
                    <w:jc w:val="left"/>
                    <w:rPr>
                      <w:color w:val="auto"/>
                      <w:sz w:val="21"/>
                      <w:szCs w:val="21"/>
                    </w:rPr>
                  </w:pPr>
                  <w:r>
                    <w:rPr>
                      <w:rFonts w:hint="eastAsia"/>
                      <w:color w:val="auto"/>
                      <w:sz w:val="21"/>
                      <w:szCs w:val="21"/>
                    </w:rPr>
                    <w:t>容积为300m</w:t>
                  </w:r>
                  <w:r>
                    <w:rPr>
                      <w:rFonts w:hint="eastAsia"/>
                      <w:color w:val="auto"/>
                      <w:sz w:val="21"/>
                      <w:szCs w:val="21"/>
                      <w:vertAlign w:val="superscript"/>
                    </w:rPr>
                    <w:t>3</w:t>
                  </w:r>
                  <w:r>
                    <w:rPr>
                      <w:rFonts w:hint="eastAsia"/>
                      <w:color w:val="auto"/>
                      <w:sz w:val="21"/>
                      <w:szCs w:val="21"/>
                    </w:rPr>
                    <w:t>，尺寸为：长12m、宽10m、深2.5m，用于存储洗井废水等生产废水。</w:t>
                  </w:r>
                </w:p>
              </w:tc>
              <w:tc>
                <w:tcPr>
                  <w:tcW w:w="831" w:type="pct"/>
                  <w:shd w:val="clear" w:color="auto" w:fill="auto"/>
                  <w:vAlign w:val="center"/>
                </w:tcPr>
                <w:p w14:paraId="44DD64C3">
                  <w:pPr>
                    <w:jc w:val="center"/>
                    <w:rPr>
                      <w:color w:val="auto"/>
                      <w:sz w:val="21"/>
                      <w:szCs w:val="21"/>
                    </w:rPr>
                  </w:pPr>
                  <w:r>
                    <w:rPr>
                      <w:rFonts w:hint="eastAsia"/>
                      <w:color w:val="auto"/>
                      <w:sz w:val="21"/>
                      <w:szCs w:val="21"/>
                    </w:rPr>
                    <w:t>已建成</w:t>
                  </w:r>
                </w:p>
              </w:tc>
            </w:tr>
            <w:tr w14:paraId="4C551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30" w:type="pct"/>
                  <w:gridSpan w:val="2"/>
                  <w:vMerge w:val="continue"/>
                  <w:vAlign w:val="center"/>
                </w:tcPr>
                <w:p w14:paraId="4F24FFAE">
                  <w:pPr>
                    <w:jc w:val="center"/>
                    <w:rPr>
                      <w:color w:val="auto"/>
                      <w:sz w:val="21"/>
                      <w:szCs w:val="21"/>
                    </w:rPr>
                  </w:pPr>
                </w:p>
              </w:tc>
              <w:tc>
                <w:tcPr>
                  <w:tcW w:w="786" w:type="pct"/>
                  <w:vAlign w:val="center"/>
                </w:tcPr>
                <w:p w14:paraId="59719764">
                  <w:pPr>
                    <w:jc w:val="center"/>
                    <w:rPr>
                      <w:color w:val="auto"/>
                      <w:sz w:val="21"/>
                      <w:szCs w:val="21"/>
                    </w:rPr>
                  </w:pPr>
                  <w:r>
                    <w:rPr>
                      <w:rFonts w:hint="eastAsia"/>
                      <w:color w:val="auto"/>
                      <w:sz w:val="21"/>
                      <w:szCs w:val="21"/>
                    </w:rPr>
                    <w:t>集液池</w:t>
                  </w:r>
                </w:p>
              </w:tc>
              <w:tc>
                <w:tcPr>
                  <w:tcW w:w="2851" w:type="pct"/>
                  <w:shd w:val="clear" w:color="auto" w:fill="auto"/>
                  <w:vAlign w:val="center"/>
                </w:tcPr>
                <w:p w14:paraId="75C9C7B8">
                  <w:pPr>
                    <w:jc w:val="left"/>
                    <w:rPr>
                      <w:color w:val="auto"/>
                      <w:sz w:val="21"/>
                      <w:szCs w:val="21"/>
                    </w:rPr>
                  </w:pPr>
                  <w:r>
                    <w:rPr>
                      <w:rFonts w:hint="eastAsia"/>
                      <w:color w:val="auto"/>
                      <w:sz w:val="21"/>
                      <w:szCs w:val="21"/>
                    </w:rPr>
                    <w:t>容积为200m</w:t>
                  </w:r>
                  <w:r>
                    <w:rPr>
                      <w:rFonts w:hint="eastAsia"/>
                      <w:color w:val="auto"/>
                      <w:sz w:val="21"/>
                      <w:szCs w:val="21"/>
                      <w:vertAlign w:val="superscript"/>
                    </w:rPr>
                    <w:t>3</w:t>
                  </w:r>
                  <w:r>
                    <w:rPr>
                      <w:rFonts w:hint="eastAsia"/>
                      <w:color w:val="auto"/>
                      <w:sz w:val="21"/>
                      <w:szCs w:val="21"/>
                    </w:rPr>
                    <w:t>，用于容纳场地雨水。</w:t>
                  </w:r>
                </w:p>
              </w:tc>
              <w:tc>
                <w:tcPr>
                  <w:tcW w:w="831" w:type="pct"/>
                  <w:shd w:val="clear" w:color="auto" w:fill="auto"/>
                  <w:vAlign w:val="center"/>
                </w:tcPr>
                <w:p w14:paraId="32F18522">
                  <w:pPr>
                    <w:jc w:val="center"/>
                    <w:rPr>
                      <w:color w:val="auto"/>
                      <w:sz w:val="21"/>
                      <w:szCs w:val="21"/>
                    </w:rPr>
                  </w:pPr>
                  <w:r>
                    <w:rPr>
                      <w:rFonts w:hint="eastAsia"/>
                      <w:color w:val="auto"/>
                      <w:sz w:val="21"/>
                      <w:szCs w:val="21"/>
                    </w:rPr>
                    <w:t>已建成</w:t>
                  </w:r>
                </w:p>
              </w:tc>
            </w:tr>
            <w:tr w14:paraId="111F5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3C4BCA39">
                  <w:pPr>
                    <w:jc w:val="center"/>
                    <w:rPr>
                      <w:color w:val="auto"/>
                      <w:sz w:val="21"/>
                      <w:szCs w:val="21"/>
                    </w:rPr>
                  </w:pPr>
                </w:p>
              </w:tc>
              <w:tc>
                <w:tcPr>
                  <w:tcW w:w="786" w:type="pct"/>
                  <w:shd w:val="clear" w:color="auto" w:fill="auto"/>
                  <w:vAlign w:val="center"/>
                </w:tcPr>
                <w:p w14:paraId="1EF06D8D">
                  <w:pPr>
                    <w:jc w:val="center"/>
                    <w:rPr>
                      <w:color w:val="auto"/>
                      <w:sz w:val="21"/>
                      <w:szCs w:val="21"/>
                    </w:rPr>
                  </w:pPr>
                  <w:r>
                    <w:rPr>
                      <w:rFonts w:hint="eastAsia"/>
                      <w:color w:val="auto"/>
                      <w:sz w:val="21"/>
                      <w:szCs w:val="21"/>
                    </w:rPr>
                    <w:t>#1危废暂存间</w:t>
                  </w:r>
                </w:p>
              </w:tc>
              <w:tc>
                <w:tcPr>
                  <w:tcW w:w="2851" w:type="pct"/>
                  <w:shd w:val="clear" w:color="auto" w:fill="auto"/>
                  <w:vAlign w:val="center"/>
                </w:tcPr>
                <w:p w14:paraId="4527F2BA">
                  <w:pPr>
                    <w:jc w:val="left"/>
                    <w:rPr>
                      <w:color w:val="auto"/>
                      <w:sz w:val="21"/>
                      <w:szCs w:val="21"/>
                    </w:rPr>
                  </w:pPr>
                  <w:r>
                    <w:rPr>
                      <w:rFonts w:hint="eastAsia"/>
                      <w:color w:val="auto"/>
                      <w:sz w:val="21"/>
                      <w:szCs w:val="21"/>
                    </w:rPr>
                    <w:t>占地面积为10m</w:t>
                  </w:r>
                  <w:r>
                    <w:rPr>
                      <w:rFonts w:hint="eastAsia"/>
                      <w:color w:val="auto"/>
                      <w:sz w:val="21"/>
                      <w:szCs w:val="21"/>
                      <w:vertAlign w:val="superscript"/>
                    </w:rPr>
                    <w:t>3</w:t>
                  </w:r>
                  <w:r>
                    <w:rPr>
                      <w:rFonts w:hint="eastAsia"/>
                      <w:color w:val="auto"/>
                      <w:sz w:val="21"/>
                      <w:szCs w:val="21"/>
                    </w:rPr>
                    <w:t>，用于暂存废机油、废机油、废油桶、含油抹布。</w:t>
                  </w:r>
                </w:p>
              </w:tc>
              <w:tc>
                <w:tcPr>
                  <w:tcW w:w="831" w:type="pct"/>
                  <w:shd w:val="clear" w:color="auto" w:fill="auto"/>
                  <w:vAlign w:val="center"/>
                </w:tcPr>
                <w:p w14:paraId="6D65BB3D">
                  <w:pPr>
                    <w:jc w:val="center"/>
                    <w:rPr>
                      <w:color w:val="auto"/>
                      <w:sz w:val="21"/>
                      <w:szCs w:val="21"/>
                    </w:rPr>
                  </w:pPr>
                  <w:r>
                    <w:rPr>
                      <w:rFonts w:hint="eastAsia"/>
                      <w:color w:val="auto"/>
                      <w:sz w:val="21"/>
                      <w:szCs w:val="21"/>
                    </w:rPr>
                    <w:t>已建成</w:t>
                  </w:r>
                </w:p>
              </w:tc>
            </w:tr>
            <w:tr w14:paraId="112AE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restart"/>
                  <w:vAlign w:val="center"/>
                </w:tcPr>
                <w:p w14:paraId="67DCE7CC">
                  <w:pPr>
                    <w:jc w:val="center"/>
                    <w:rPr>
                      <w:color w:val="auto"/>
                      <w:sz w:val="21"/>
                      <w:szCs w:val="21"/>
                    </w:rPr>
                  </w:pPr>
                  <w:r>
                    <w:rPr>
                      <w:color w:val="auto"/>
                      <w:sz w:val="21"/>
                      <w:szCs w:val="21"/>
                    </w:rPr>
                    <w:t>公用工程</w:t>
                  </w:r>
                </w:p>
              </w:tc>
              <w:tc>
                <w:tcPr>
                  <w:tcW w:w="786" w:type="pct"/>
                  <w:vAlign w:val="center"/>
                </w:tcPr>
                <w:p w14:paraId="20B57658">
                  <w:pPr>
                    <w:jc w:val="center"/>
                    <w:rPr>
                      <w:color w:val="auto"/>
                      <w:sz w:val="21"/>
                      <w:szCs w:val="21"/>
                    </w:rPr>
                  </w:pPr>
                  <w:r>
                    <w:rPr>
                      <w:rFonts w:hint="eastAsia"/>
                      <w:color w:val="auto"/>
                      <w:sz w:val="21"/>
                      <w:szCs w:val="21"/>
                    </w:rPr>
                    <w:t>供电</w:t>
                  </w:r>
                </w:p>
              </w:tc>
              <w:tc>
                <w:tcPr>
                  <w:tcW w:w="2851" w:type="pct"/>
                  <w:shd w:val="clear" w:color="auto" w:fill="auto"/>
                  <w:vAlign w:val="center"/>
                </w:tcPr>
                <w:p w14:paraId="6C89E3C2">
                  <w:pPr>
                    <w:jc w:val="left"/>
                    <w:rPr>
                      <w:color w:val="auto"/>
                      <w:sz w:val="21"/>
                      <w:szCs w:val="21"/>
                    </w:rPr>
                  </w:pPr>
                  <w:r>
                    <w:rPr>
                      <w:color w:val="auto"/>
                      <w:sz w:val="21"/>
                      <w:szCs w:val="21"/>
                    </w:rPr>
                    <w:t>设置</w:t>
                  </w:r>
                  <w:r>
                    <w:rPr>
                      <w:rFonts w:hint="eastAsia"/>
                      <w:color w:val="auto"/>
                      <w:sz w:val="21"/>
                      <w:szCs w:val="21"/>
                    </w:rPr>
                    <w:t>动力机组</w:t>
                  </w:r>
                  <w:r>
                    <w:rPr>
                      <w:color w:val="auto"/>
                      <w:sz w:val="21"/>
                      <w:szCs w:val="21"/>
                    </w:rPr>
                    <w:t>，位于井场</w:t>
                  </w:r>
                  <w:r>
                    <w:rPr>
                      <w:rFonts w:hint="eastAsia"/>
                      <w:color w:val="auto"/>
                      <w:sz w:val="21"/>
                      <w:szCs w:val="21"/>
                    </w:rPr>
                    <w:t>西侧</w:t>
                  </w:r>
                  <w:r>
                    <w:rPr>
                      <w:color w:val="auto"/>
                      <w:sz w:val="21"/>
                      <w:szCs w:val="21"/>
                    </w:rPr>
                    <w:t>，为钻机及井场设备提供动力，包括</w:t>
                  </w:r>
                  <w:r>
                    <w:rPr>
                      <w:rFonts w:hint="eastAsia"/>
                      <w:color w:val="auto"/>
                      <w:sz w:val="21"/>
                      <w:szCs w:val="21"/>
                    </w:rPr>
                    <w:t>包括1台</w:t>
                  </w:r>
                  <w:r>
                    <w:rPr>
                      <w:color w:val="auto"/>
                      <w:sz w:val="21"/>
                      <w:szCs w:val="21"/>
                    </w:rPr>
                    <w:t>柴油机，</w:t>
                  </w:r>
                  <w:r>
                    <w:rPr>
                      <w:rFonts w:hint="eastAsia"/>
                      <w:color w:val="auto"/>
                      <w:sz w:val="21"/>
                      <w:szCs w:val="21"/>
                    </w:rPr>
                    <w:t>1台</w:t>
                  </w:r>
                  <w:r>
                    <w:rPr>
                      <w:color w:val="auto"/>
                      <w:sz w:val="21"/>
                      <w:szCs w:val="21"/>
                    </w:rPr>
                    <w:t>发电机</w:t>
                  </w:r>
                  <w:r>
                    <w:rPr>
                      <w:rFonts w:hint="eastAsia"/>
                      <w:color w:val="auto"/>
                      <w:sz w:val="21"/>
                      <w:szCs w:val="21"/>
                    </w:rPr>
                    <w:t>、气源净化装置，以及辅助发电设备</w:t>
                  </w:r>
                  <w:r>
                    <w:rPr>
                      <w:color w:val="auto"/>
                      <w:sz w:val="21"/>
                      <w:szCs w:val="21"/>
                    </w:rPr>
                    <w:t>。</w:t>
                  </w:r>
                </w:p>
              </w:tc>
              <w:tc>
                <w:tcPr>
                  <w:tcW w:w="831" w:type="pct"/>
                  <w:shd w:val="clear" w:color="auto" w:fill="auto"/>
                  <w:vAlign w:val="center"/>
                </w:tcPr>
                <w:p w14:paraId="085C3DB4">
                  <w:pPr>
                    <w:jc w:val="center"/>
                    <w:rPr>
                      <w:color w:val="auto"/>
                      <w:sz w:val="21"/>
                      <w:szCs w:val="21"/>
                    </w:rPr>
                  </w:pPr>
                  <w:r>
                    <w:rPr>
                      <w:rFonts w:hint="eastAsia"/>
                      <w:color w:val="auto"/>
                      <w:sz w:val="21"/>
                      <w:szCs w:val="21"/>
                    </w:rPr>
                    <w:t>已建成</w:t>
                  </w:r>
                </w:p>
              </w:tc>
            </w:tr>
            <w:tr w14:paraId="60D39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9D60B4F">
                  <w:pPr>
                    <w:jc w:val="center"/>
                    <w:rPr>
                      <w:color w:val="auto"/>
                      <w:sz w:val="21"/>
                      <w:szCs w:val="21"/>
                    </w:rPr>
                  </w:pPr>
                </w:p>
              </w:tc>
              <w:tc>
                <w:tcPr>
                  <w:tcW w:w="786" w:type="pct"/>
                  <w:vAlign w:val="center"/>
                </w:tcPr>
                <w:p w14:paraId="437C8FB2">
                  <w:pPr>
                    <w:jc w:val="center"/>
                    <w:rPr>
                      <w:color w:val="auto"/>
                      <w:sz w:val="21"/>
                      <w:szCs w:val="21"/>
                    </w:rPr>
                  </w:pPr>
                  <w:r>
                    <w:rPr>
                      <w:rFonts w:hint="eastAsia"/>
                      <w:color w:val="auto"/>
                      <w:sz w:val="21"/>
                      <w:szCs w:val="21"/>
                    </w:rPr>
                    <w:t>供水</w:t>
                  </w:r>
                </w:p>
              </w:tc>
              <w:tc>
                <w:tcPr>
                  <w:tcW w:w="2851" w:type="pct"/>
                  <w:shd w:val="clear" w:color="auto" w:fill="auto"/>
                  <w:vAlign w:val="center"/>
                </w:tcPr>
                <w:p w14:paraId="1CA17546">
                  <w:pPr>
                    <w:jc w:val="left"/>
                    <w:rPr>
                      <w:color w:val="auto"/>
                      <w:sz w:val="21"/>
                      <w:szCs w:val="21"/>
                    </w:rPr>
                  </w:pPr>
                  <w:r>
                    <w:rPr>
                      <w:color w:val="auto"/>
                      <w:sz w:val="21"/>
                      <w:szCs w:val="21"/>
                    </w:rPr>
                    <w:t>施工期生活用水使用桶装水，</w:t>
                  </w:r>
                  <w:r>
                    <w:rPr>
                      <w:rFonts w:hint="eastAsia"/>
                      <w:color w:val="auto"/>
                      <w:sz w:val="21"/>
                      <w:szCs w:val="21"/>
                    </w:rPr>
                    <w:t>生产用水</w:t>
                  </w:r>
                  <w:r>
                    <w:rPr>
                      <w:color w:val="auto"/>
                      <w:sz w:val="21"/>
                      <w:szCs w:val="21"/>
                    </w:rPr>
                    <w:t>从</w:t>
                  </w:r>
                  <w:r>
                    <w:rPr>
                      <w:rFonts w:hint="eastAsia"/>
                      <w:color w:val="auto"/>
                      <w:sz w:val="21"/>
                      <w:szCs w:val="21"/>
                    </w:rPr>
                    <w:t>周边伏虎华侨农场自来水</w:t>
                  </w:r>
                  <w:r>
                    <w:rPr>
                      <w:color w:val="auto"/>
                      <w:sz w:val="21"/>
                      <w:szCs w:val="21"/>
                    </w:rPr>
                    <w:t>。</w:t>
                  </w:r>
                </w:p>
              </w:tc>
              <w:tc>
                <w:tcPr>
                  <w:tcW w:w="831" w:type="pct"/>
                  <w:shd w:val="clear" w:color="auto" w:fill="auto"/>
                  <w:vAlign w:val="center"/>
                </w:tcPr>
                <w:p w14:paraId="555B5DD3">
                  <w:pPr>
                    <w:jc w:val="center"/>
                    <w:rPr>
                      <w:color w:val="auto"/>
                      <w:sz w:val="21"/>
                      <w:szCs w:val="21"/>
                    </w:rPr>
                  </w:pPr>
                  <w:r>
                    <w:rPr>
                      <w:rFonts w:hint="eastAsia"/>
                      <w:color w:val="auto"/>
                      <w:sz w:val="21"/>
                      <w:szCs w:val="21"/>
                    </w:rPr>
                    <w:t>已建成</w:t>
                  </w:r>
                </w:p>
              </w:tc>
            </w:tr>
            <w:tr w14:paraId="4D71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5D074145">
                  <w:pPr>
                    <w:jc w:val="center"/>
                    <w:rPr>
                      <w:color w:val="auto"/>
                      <w:sz w:val="21"/>
                      <w:szCs w:val="21"/>
                    </w:rPr>
                  </w:pPr>
                </w:p>
              </w:tc>
              <w:tc>
                <w:tcPr>
                  <w:tcW w:w="786" w:type="pct"/>
                  <w:vAlign w:val="center"/>
                </w:tcPr>
                <w:p w14:paraId="7A5FE4AE">
                  <w:pPr>
                    <w:jc w:val="center"/>
                    <w:rPr>
                      <w:color w:val="auto"/>
                      <w:sz w:val="21"/>
                      <w:szCs w:val="21"/>
                    </w:rPr>
                  </w:pPr>
                  <w:r>
                    <w:rPr>
                      <w:rFonts w:hint="eastAsia"/>
                      <w:color w:val="auto"/>
                      <w:sz w:val="21"/>
                      <w:szCs w:val="21"/>
                    </w:rPr>
                    <w:t>排水</w:t>
                  </w:r>
                </w:p>
              </w:tc>
              <w:tc>
                <w:tcPr>
                  <w:tcW w:w="2851" w:type="pct"/>
                  <w:shd w:val="clear" w:color="auto" w:fill="auto"/>
                  <w:vAlign w:val="center"/>
                </w:tcPr>
                <w:p w14:paraId="4BD4E7A3">
                  <w:pPr>
                    <w:jc w:val="left"/>
                    <w:rPr>
                      <w:color w:val="auto"/>
                      <w:sz w:val="21"/>
                      <w:szCs w:val="21"/>
                    </w:rPr>
                  </w:pPr>
                  <w:r>
                    <w:rPr>
                      <w:rFonts w:hint="eastAsia"/>
                      <w:color w:val="auto"/>
                      <w:sz w:val="21"/>
                      <w:szCs w:val="21"/>
                    </w:rPr>
                    <w:t>1、</w:t>
                  </w:r>
                  <w:r>
                    <w:rPr>
                      <w:color w:val="auto"/>
                      <w:sz w:val="21"/>
                      <w:szCs w:val="21"/>
                    </w:rPr>
                    <w:t>生活污水：</w:t>
                  </w:r>
                  <w:r>
                    <w:rPr>
                      <w:rFonts w:hint="eastAsia"/>
                      <w:color w:val="auto"/>
                      <w:sz w:val="21"/>
                      <w:szCs w:val="21"/>
                    </w:rPr>
                    <w:t>收集运送至村镇化粪池处理后用于园地、耕地浇灌</w:t>
                  </w:r>
                  <w:r>
                    <w:rPr>
                      <w:color w:val="auto"/>
                      <w:sz w:val="21"/>
                      <w:szCs w:val="21"/>
                    </w:rPr>
                    <w:t>；</w:t>
                  </w:r>
                </w:p>
                <w:p w14:paraId="41C73EF1">
                  <w:pPr>
                    <w:jc w:val="left"/>
                    <w:rPr>
                      <w:color w:val="auto"/>
                      <w:sz w:val="21"/>
                      <w:szCs w:val="21"/>
                    </w:rPr>
                  </w:pPr>
                  <w:r>
                    <w:rPr>
                      <w:rFonts w:hint="eastAsia"/>
                      <w:color w:val="auto"/>
                      <w:sz w:val="21"/>
                      <w:szCs w:val="21"/>
                    </w:rPr>
                    <w:t>2、</w:t>
                  </w:r>
                  <w:r>
                    <w:rPr>
                      <w:color w:val="auto"/>
                      <w:sz w:val="21"/>
                      <w:szCs w:val="21"/>
                    </w:rPr>
                    <w:t>雨水：井场</w:t>
                  </w:r>
                  <w:r>
                    <w:rPr>
                      <w:rFonts w:hint="eastAsia"/>
                      <w:color w:val="auto"/>
                      <w:sz w:val="21"/>
                      <w:szCs w:val="21"/>
                    </w:rPr>
                    <w:t>外</w:t>
                  </w:r>
                  <w:r>
                    <w:rPr>
                      <w:color w:val="auto"/>
                      <w:sz w:val="21"/>
                      <w:szCs w:val="21"/>
                    </w:rPr>
                    <w:t>排水沟与外部排水沟连通，</w:t>
                  </w:r>
                  <w:r>
                    <w:rPr>
                      <w:rFonts w:hint="eastAsia"/>
                      <w:color w:val="auto"/>
                      <w:sz w:val="21"/>
                      <w:szCs w:val="21"/>
                    </w:rPr>
                    <w:t>场外</w:t>
                  </w:r>
                  <w:r>
                    <w:rPr>
                      <w:color w:val="auto"/>
                      <w:sz w:val="21"/>
                      <w:szCs w:val="21"/>
                    </w:rPr>
                    <w:t>雨水流入沟内后外排</w:t>
                  </w:r>
                  <w:r>
                    <w:rPr>
                      <w:rFonts w:hint="eastAsia"/>
                      <w:color w:val="auto"/>
                      <w:sz w:val="21"/>
                      <w:szCs w:val="21"/>
                    </w:rPr>
                    <w:t>；场内雨水由场内排水沟收集后进入污水池；</w:t>
                  </w:r>
                </w:p>
                <w:p w14:paraId="13C67E84">
                  <w:pPr>
                    <w:jc w:val="left"/>
                    <w:rPr>
                      <w:color w:val="auto"/>
                      <w:sz w:val="21"/>
                      <w:szCs w:val="21"/>
                    </w:rPr>
                  </w:pPr>
                  <w:r>
                    <w:rPr>
                      <w:rFonts w:hint="eastAsia"/>
                      <w:color w:val="auto"/>
                      <w:sz w:val="21"/>
                      <w:szCs w:val="21"/>
                    </w:rPr>
                    <w:t>3、钻井废水进入泥浆循环系统，滤液回用；洗井废水大部分回用，少部分进入污水池，定期安排有专业资质的环保车辆拉运处理。</w:t>
                  </w:r>
                </w:p>
              </w:tc>
              <w:tc>
                <w:tcPr>
                  <w:tcW w:w="831" w:type="pct"/>
                  <w:shd w:val="clear" w:color="auto" w:fill="auto"/>
                  <w:vAlign w:val="center"/>
                </w:tcPr>
                <w:p w14:paraId="056CEDD9">
                  <w:pPr>
                    <w:jc w:val="center"/>
                    <w:rPr>
                      <w:color w:val="auto"/>
                      <w:sz w:val="21"/>
                      <w:szCs w:val="21"/>
                    </w:rPr>
                  </w:pPr>
                  <w:r>
                    <w:rPr>
                      <w:rFonts w:hint="eastAsia"/>
                      <w:color w:val="auto"/>
                      <w:sz w:val="21"/>
                      <w:szCs w:val="21"/>
                    </w:rPr>
                    <w:t>已建成</w:t>
                  </w:r>
                </w:p>
              </w:tc>
            </w:tr>
            <w:tr w14:paraId="2D538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restart"/>
                  <w:vAlign w:val="center"/>
                </w:tcPr>
                <w:p w14:paraId="5EFC08BF">
                  <w:pPr>
                    <w:jc w:val="center"/>
                    <w:rPr>
                      <w:color w:val="auto"/>
                      <w:sz w:val="21"/>
                      <w:szCs w:val="21"/>
                    </w:rPr>
                  </w:pPr>
                  <w:r>
                    <w:rPr>
                      <w:color w:val="auto"/>
                      <w:sz w:val="21"/>
                      <w:szCs w:val="21"/>
                    </w:rPr>
                    <w:t>环保工程</w:t>
                  </w:r>
                </w:p>
              </w:tc>
              <w:tc>
                <w:tcPr>
                  <w:tcW w:w="786" w:type="pct"/>
                  <w:vAlign w:val="center"/>
                </w:tcPr>
                <w:p w14:paraId="05E88199">
                  <w:pPr>
                    <w:jc w:val="center"/>
                    <w:rPr>
                      <w:color w:val="auto"/>
                      <w:sz w:val="21"/>
                      <w:szCs w:val="21"/>
                    </w:rPr>
                  </w:pPr>
                  <w:r>
                    <w:rPr>
                      <w:rFonts w:hint="eastAsia"/>
                      <w:color w:val="auto"/>
                      <w:sz w:val="21"/>
                      <w:szCs w:val="21"/>
                    </w:rPr>
                    <w:t>废水</w:t>
                  </w:r>
                </w:p>
              </w:tc>
              <w:tc>
                <w:tcPr>
                  <w:tcW w:w="2851" w:type="pct"/>
                  <w:shd w:val="clear" w:color="auto" w:fill="auto"/>
                  <w:vAlign w:val="center"/>
                </w:tcPr>
                <w:p w14:paraId="43C087E0">
                  <w:pPr>
                    <w:jc w:val="left"/>
                    <w:rPr>
                      <w:color w:val="auto"/>
                      <w:sz w:val="21"/>
                      <w:szCs w:val="21"/>
                    </w:rPr>
                  </w:pPr>
                  <w:r>
                    <w:rPr>
                      <w:rFonts w:hint="eastAsia"/>
                      <w:color w:val="auto"/>
                      <w:sz w:val="21"/>
                      <w:szCs w:val="21"/>
                    </w:rPr>
                    <w:t>1、场地</w:t>
                  </w:r>
                  <w:r>
                    <w:rPr>
                      <w:color w:val="auto"/>
                      <w:sz w:val="21"/>
                      <w:szCs w:val="21"/>
                    </w:rPr>
                    <w:t>雨水：场</w:t>
                  </w:r>
                  <w:r>
                    <w:rPr>
                      <w:rFonts w:hint="eastAsia"/>
                      <w:color w:val="auto"/>
                      <w:sz w:val="21"/>
                      <w:szCs w:val="21"/>
                    </w:rPr>
                    <w:t>外雨水由</w:t>
                  </w:r>
                  <w:r>
                    <w:rPr>
                      <w:color w:val="auto"/>
                      <w:sz w:val="21"/>
                      <w:szCs w:val="21"/>
                    </w:rPr>
                    <w:t>排水沟收集后外</w:t>
                  </w:r>
                  <w:r>
                    <w:rPr>
                      <w:rFonts w:hint="eastAsia"/>
                      <w:color w:val="auto"/>
                      <w:sz w:val="21"/>
                      <w:szCs w:val="21"/>
                    </w:rPr>
                    <w:t>排</w:t>
                  </w:r>
                  <w:r>
                    <w:rPr>
                      <w:color w:val="auto"/>
                      <w:sz w:val="21"/>
                      <w:szCs w:val="21"/>
                    </w:rPr>
                    <w:t>周边沟渠；</w:t>
                  </w:r>
                  <w:r>
                    <w:rPr>
                      <w:rFonts w:hint="eastAsia"/>
                      <w:color w:val="auto"/>
                      <w:sz w:val="21"/>
                      <w:szCs w:val="21"/>
                    </w:rPr>
                    <w:t>场内雨水由排水沟收集于集液池，污水满后需有专业、有资质的环保车辆拉运至柳城县污水处理厂进行处理；</w:t>
                  </w:r>
                </w:p>
                <w:p w14:paraId="4C29662E">
                  <w:pPr>
                    <w:jc w:val="left"/>
                    <w:rPr>
                      <w:color w:val="auto"/>
                      <w:sz w:val="21"/>
                      <w:szCs w:val="21"/>
                    </w:rPr>
                  </w:pPr>
                  <w:r>
                    <w:rPr>
                      <w:rFonts w:hint="eastAsia"/>
                      <w:color w:val="auto"/>
                      <w:sz w:val="21"/>
                      <w:szCs w:val="21"/>
                    </w:rPr>
                    <w:t>2、</w:t>
                  </w:r>
                  <w:r>
                    <w:rPr>
                      <w:color w:val="auto"/>
                      <w:sz w:val="21"/>
                      <w:szCs w:val="21"/>
                    </w:rPr>
                    <w:t>钻井废水：</w:t>
                  </w:r>
                  <w:r>
                    <w:rPr>
                      <w:rFonts w:hint="eastAsia"/>
                      <w:color w:val="auto"/>
                      <w:sz w:val="21"/>
                      <w:szCs w:val="21"/>
                    </w:rPr>
                    <w:t>钻井废水进入泥浆循环系统，滤液回用；</w:t>
                  </w:r>
                </w:p>
                <w:p w14:paraId="6B41C953">
                  <w:pPr>
                    <w:jc w:val="left"/>
                    <w:rPr>
                      <w:color w:val="auto"/>
                      <w:sz w:val="21"/>
                      <w:szCs w:val="21"/>
                    </w:rPr>
                  </w:pPr>
                  <w:r>
                    <w:rPr>
                      <w:rFonts w:hint="eastAsia"/>
                      <w:color w:val="auto"/>
                      <w:sz w:val="21"/>
                      <w:szCs w:val="21"/>
                    </w:rPr>
                    <w:t>3、</w:t>
                  </w:r>
                  <w:r>
                    <w:rPr>
                      <w:color w:val="auto"/>
                      <w:sz w:val="21"/>
                      <w:szCs w:val="21"/>
                    </w:rPr>
                    <w:t>洗井废水：大部分回用</w:t>
                  </w:r>
                  <w:r>
                    <w:rPr>
                      <w:rFonts w:hint="eastAsia"/>
                      <w:color w:val="auto"/>
                      <w:sz w:val="21"/>
                      <w:szCs w:val="21"/>
                    </w:rPr>
                    <w:t>，少部分进入污水池，定期安排有专业资质的环保车辆将污水池内污水一并拉运处理。</w:t>
                  </w:r>
                </w:p>
                <w:p w14:paraId="78E1775B">
                  <w:pPr>
                    <w:jc w:val="left"/>
                    <w:rPr>
                      <w:color w:val="auto"/>
                      <w:sz w:val="21"/>
                      <w:szCs w:val="21"/>
                    </w:rPr>
                  </w:pPr>
                  <w:r>
                    <w:rPr>
                      <w:rFonts w:hint="eastAsia"/>
                      <w:color w:val="auto"/>
                      <w:sz w:val="21"/>
                      <w:szCs w:val="21"/>
                    </w:rPr>
                    <w:t>4、</w:t>
                  </w:r>
                  <w:r>
                    <w:rPr>
                      <w:color w:val="auto"/>
                      <w:sz w:val="21"/>
                      <w:szCs w:val="21"/>
                    </w:rPr>
                    <w:t>生活污水</w:t>
                  </w:r>
                  <w:r>
                    <w:rPr>
                      <w:rFonts w:hint="eastAsia"/>
                      <w:color w:val="auto"/>
                      <w:sz w:val="21"/>
                      <w:szCs w:val="21"/>
                    </w:rPr>
                    <w:t>：收集运送至村镇化粪池处理后用于园地、耕地浇灌。</w:t>
                  </w:r>
                </w:p>
              </w:tc>
              <w:tc>
                <w:tcPr>
                  <w:tcW w:w="831" w:type="pct"/>
                  <w:shd w:val="clear" w:color="auto" w:fill="auto"/>
                  <w:vAlign w:val="center"/>
                </w:tcPr>
                <w:p w14:paraId="0EA8FCC0">
                  <w:pPr>
                    <w:jc w:val="center"/>
                    <w:rPr>
                      <w:color w:val="auto"/>
                      <w:sz w:val="21"/>
                      <w:szCs w:val="21"/>
                    </w:rPr>
                  </w:pPr>
                  <w:r>
                    <w:rPr>
                      <w:rFonts w:hint="eastAsia"/>
                      <w:color w:val="auto"/>
                      <w:sz w:val="21"/>
                      <w:szCs w:val="21"/>
                    </w:rPr>
                    <w:t>已建成</w:t>
                  </w:r>
                </w:p>
              </w:tc>
            </w:tr>
            <w:tr w14:paraId="5E77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0BBB45FD">
                  <w:pPr>
                    <w:jc w:val="center"/>
                    <w:rPr>
                      <w:color w:val="auto"/>
                      <w:sz w:val="21"/>
                      <w:szCs w:val="21"/>
                    </w:rPr>
                  </w:pPr>
                </w:p>
              </w:tc>
              <w:tc>
                <w:tcPr>
                  <w:tcW w:w="786" w:type="pct"/>
                  <w:vAlign w:val="center"/>
                </w:tcPr>
                <w:p w14:paraId="2A78B295">
                  <w:pPr>
                    <w:jc w:val="center"/>
                    <w:rPr>
                      <w:color w:val="auto"/>
                      <w:sz w:val="21"/>
                      <w:szCs w:val="21"/>
                    </w:rPr>
                  </w:pPr>
                  <w:r>
                    <w:rPr>
                      <w:rFonts w:hint="eastAsia"/>
                      <w:color w:val="auto"/>
                      <w:sz w:val="21"/>
                      <w:szCs w:val="21"/>
                    </w:rPr>
                    <w:t>废气</w:t>
                  </w:r>
                </w:p>
              </w:tc>
              <w:tc>
                <w:tcPr>
                  <w:tcW w:w="2851" w:type="pct"/>
                  <w:shd w:val="clear" w:color="auto" w:fill="auto"/>
                  <w:vAlign w:val="center"/>
                </w:tcPr>
                <w:p w14:paraId="7367D664">
                  <w:pPr>
                    <w:jc w:val="left"/>
                    <w:rPr>
                      <w:color w:val="auto"/>
                      <w:sz w:val="21"/>
                      <w:szCs w:val="21"/>
                    </w:rPr>
                  </w:pPr>
                  <w:r>
                    <w:rPr>
                      <w:rFonts w:hint="eastAsia"/>
                      <w:color w:val="auto"/>
                      <w:sz w:val="21"/>
                      <w:szCs w:val="21"/>
                    </w:rPr>
                    <w:t>1、</w:t>
                  </w:r>
                  <w:r>
                    <w:rPr>
                      <w:color w:val="auto"/>
                      <w:sz w:val="21"/>
                      <w:szCs w:val="21"/>
                    </w:rPr>
                    <w:t>柴油燃烧废气：自由扩散；</w:t>
                  </w:r>
                </w:p>
                <w:p w14:paraId="7198B97B">
                  <w:pPr>
                    <w:jc w:val="left"/>
                    <w:rPr>
                      <w:color w:val="auto"/>
                      <w:sz w:val="21"/>
                      <w:szCs w:val="21"/>
                    </w:rPr>
                  </w:pPr>
                  <w:r>
                    <w:rPr>
                      <w:rFonts w:hint="eastAsia"/>
                      <w:color w:val="auto"/>
                      <w:sz w:val="21"/>
                      <w:szCs w:val="21"/>
                    </w:rPr>
                    <w:t>2、</w:t>
                  </w:r>
                  <w:r>
                    <w:rPr>
                      <w:color w:val="auto"/>
                      <w:sz w:val="21"/>
                      <w:szCs w:val="21"/>
                    </w:rPr>
                    <w:t>放喷废气：</w:t>
                  </w:r>
                  <w:r>
                    <w:rPr>
                      <w:rFonts w:hint="eastAsia"/>
                      <w:color w:val="auto"/>
                      <w:sz w:val="21"/>
                      <w:szCs w:val="21"/>
                    </w:rPr>
                    <w:t>井口气体由防喷管线引至</w:t>
                  </w:r>
                  <w:r>
                    <w:rPr>
                      <w:color w:val="auto"/>
                      <w:sz w:val="21"/>
                      <w:szCs w:val="21"/>
                    </w:rPr>
                    <w:t>放喷池</w:t>
                  </w:r>
                  <w:r>
                    <w:rPr>
                      <w:rFonts w:hint="eastAsia"/>
                      <w:color w:val="auto"/>
                      <w:sz w:val="21"/>
                      <w:szCs w:val="21"/>
                    </w:rPr>
                    <w:t>进行点火燃烧</w:t>
                  </w:r>
                  <w:r>
                    <w:rPr>
                      <w:color w:val="auto"/>
                      <w:sz w:val="21"/>
                      <w:szCs w:val="21"/>
                    </w:rPr>
                    <w:t>，池子容量为</w:t>
                  </w:r>
                  <w:r>
                    <w:rPr>
                      <w:rFonts w:hint="eastAsia"/>
                      <w:color w:val="auto"/>
                      <w:sz w:val="21"/>
                      <w:szCs w:val="21"/>
                    </w:rPr>
                    <w:t>75</w:t>
                  </w:r>
                  <w:r>
                    <w:rPr>
                      <w:color w:val="auto"/>
                      <w:sz w:val="21"/>
                      <w:szCs w:val="21"/>
                    </w:rPr>
                    <w:t>m</w:t>
                  </w:r>
                  <w:r>
                    <w:rPr>
                      <w:color w:val="auto"/>
                      <w:sz w:val="21"/>
                      <w:szCs w:val="21"/>
                      <w:vertAlign w:val="superscript"/>
                    </w:rPr>
                    <w:t>3</w:t>
                  </w:r>
                  <w:r>
                    <w:rPr>
                      <w:color w:val="auto"/>
                      <w:sz w:val="21"/>
                      <w:szCs w:val="21"/>
                    </w:rPr>
                    <w:t>，尺寸为：长</w:t>
                  </w:r>
                  <w:r>
                    <w:rPr>
                      <w:rFonts w:hint="eastAsia"/>
                      <w:color w:val="auto"/>
                      <w:sz w:val="21"/>
                      <w:szCs w:val="21"/>
                    </w:rPr>
                    <w:t>15</w:t>
                  </w:r>
                  <w:r>
                    <w:rPr>
                      <w:color w:val="auto"/>
                      <w:sz w:val="21"/>
                      <w:szCs w:val="21"/>
                    </w:rPr>
                    <w:t>m、宽</w:t>
                  </w:r>
                  <w:r>
                    <w:rPr>
                      <w:rFonts w:hint="eastAsia"/>
                      <w:color w:val="auto"/>
                      <w:sz w:val="21"/>
                      <w:szCs w:val="21"/>
                    </w:rPr>
                    <w:t>5</w:t>
                  </w:r>
                  <w:r>
                    <w:rPr>
                      <w:color w:val="auto"/>
                      <w:sz w:val="21"/>
                      <w:szCs w:val="21"/>
                    </w:rPr>
                    <w:t>m、深1m，设置在井场</w:t>
                  </w:r>
                  <w:r>
                    <w:rPr>
                      <w:rFonts w:hint="eastAsia"/>
                      <w:color w:val="auto"/>
                      <w:sz w:val="21"/>
                      <w:szCs w:val="21"/>
                    </w:rPr>
                    <w:t>北</w:t>
                  </w:r>
                  <w:r>
                    <w:rPr>
                      <w:color w:val="auto"/>
                      <w:sz w:val="21"/>
                      <w:szCs w:val="21"/>
                    </w:rPr>
                    <w:t>侧。</w:t>
                  </w:r>
                </w:p>
              </w:tc>
              <w:tc>
                <w:tcPr>
                  <w:tcW w:w="831" w:type="pct"/>
                  <w:shd w:val="clear" w:color="auto" w:fill="auto"/>
                  <w:vAlign w:val="center"/>
                </w:tcPr>
                <w:p w14:paraId="4F7A1EB5">
                  <w:pPr>
                    <w:jc w:val="center"/>
                    <w:rPr>
                      <w:color w:val="auto"/>
                      <w:sz w:val="21"/>
                      <w:szCs w:val="21"/>
                    </w:rPr>
                  </w:pPr>
                  <w:r>
                    <w:rPr>
                      <w:rFonts w:hint="eastAsia"/>
                      <w:color w:val="auto"/>
                      <w:sz w:val="21"/>
                      <w:szCs w:val="21"/>
                    </w:rPr>
                    <w:t>已建成</w:t>
                  </w:r>
                </w:p>
              </w:tc>
            </w:tr>
            <w:tr w14:paraId="55B3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4167F22">
                  <w:pPr>
                    <w:jc w:val="center"/>
                    <w:rPr>
                      <w:color w:val="auto"/>
                      <w:sz w:val="21"/>
                      <w:szCs w:val="21"/>
                    </w:rPr>
                  </w:pPr>
                </w:p>
              </w:tc>
              <w:tc>
                <w:tcPr>
                  <w:tcW w:w="786" w:type="pct"/>
                  <w:vAlign w:val="center"/>
                </w:tcPr>
                <w:p w14:paraId="3E18072E">
                  <w:pPr>
                    <w:jc w:val="center"/>
                    <w:rPr>
                      <w:color w:val="auto"/>
                      <w:sz w:val="21"/>
                      <w:szCs w:val="21"/>
                    </w:rPr>
                  </w:pPr>
                  <w:r>
                    <w:rPr>
                      <w:rFonts w:hint="eastAsia"/>
                      <w:color w:val="auto"/>
                      <w:sz w:val="21"/>
                      <w:szCs w:val="21"/>
                    </w:rPr>
                    <w:t>噪声治理</w:t>
                  </w:r>
                </w:p>
              </w:tc>
              <w:tc>
                <w:tcPr>
                  <w:tcW w:w="2851" w:type="pct"/>
                  <w:shd w:val="clear" w:color="auto" w:fill="auto"/>
                  <w:vAlign w:val="center"/>
                </w:tcPr>
                <w:p w14:paraId="3AD842A8">
                  <w:pPr>
                    <w:jc w:val="left"/>
                    <w:rPr>
                      <w:color w:val="auto"/>
                      <w:sz w:val="21"/>
                      <w:szCs w:val="21"/>
                    </w:rPr>
                  </w:pPr>
                  <w:r>
                    <w:rPr>
                      <w:color w:val="auto"/>
                      <w:sz w:val="21"/>
                      <w:szCs w:val="21"/>
                    </w:rPr>
                    <w:t>柴油发电机组设置独立的发电机房，钻井设备、泥浆循环处理系统等安装隔振垫进行基础减振降噪。</w:t>
                  </w:r>
                </w:p>
              </w:tc>
              <w:tc>
                <w:tcPr>
                  <w:tcW w:w="831" w:type="pct"/>
                  <w:shd w:val="clear" w:color="auto" w:fill="auto"/>
                  <w:vAlign w:val="center"/>
                </w:tcPr>
                <w:p w14:paraId="3E09A5FD">
                  <w:pPr>
                    <w:jc w:val="center"/>
                    <w:rPr>
                      <w:color w:val="auto"/>
                      <w:sz w:val="21"/>
                      <w:szCs w:val="21"/>
                    </w:rPr>
                  </w:pPr>
                  <w:r>
                    <w:rPr>
                      <w:rFonts w:hint="eastAsia"/>
                      <w:color w:val="auto"/>
                      <w:sz w:val="21"/>
                      <w:szCs w:val="21"/>
                    </w:rPr>
                    <w:t>已建成</w:t>
                  </w:r>
                </w:p>
              </w:tc>
            </w:tr>
            <w:tr w14:paraId="0927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37D857A4">
                  <w:pPr>
                    <w:jc w:val="center"/>
                    <w:rPr>
                      <w:color w:val="auto"/>
                      <w:sz w:val="21"/>
                      <w:szCs w:val="21"/>
                    </w:rPr>
                  </w:pPr>
                </w:p>
              </w:tc>
              <w:tc>
                <w:tcPr>
                  <w:tcW w:w="786" w:type="pct"/>
                  <w:vAlign w:val="center"/>
                </w:tcPr>
                <w:p w14:paraId="01A700B4">
                  <w:pPr>
                    <w:jc w:val="center"/>
                    <w:rPr>
                      <w:color w:val="auto"/>
                      <w:sz w:val="21"/>
                      <w:szCs w:val="21"/>
                    </w:rPr>
                  </w:pPr>
                  <w:r>
                    <w:rPr>
                      <w:rFonts w:hint="eastAsia"/>
                      <w:color w:val="auto"/>
                      <w:sz w:val="21"/>
                      <w:szCs w:val="21"/>
                    </w:rPr>
                    <w:t>生态环境保护</w:t>
                  </w:r>
                </w:p>
              </w:tc>
              <w:tc>
                <w:tcPr>
                  <w:tcW w:w="2851" w:type="pct"/>
                  <w:shd w:val="clear" w:color="auto" w:fill="auto"/>
                  <w:vAlign w:val="center"/>
                </w:tcPr>
                <w:p w14:paraId="7ED2AFDC">
                  <w:pPr>
                    <w:jc w:val="left"/>
                    <w:rPr>
                      <w:color w:val="auto"/>
                      <w:sz w:val="21"/>
                      <w:szCs w:val="21"/>
                    </w:rPr>
                  </w:pPr>
                  <w:r>
                    <w:rPr>
                      <w:color w:val="auto"/>
                      <w:sz w:val="21"/>
                      <w:szCs w:val="21"/>
                    </w:rPr>
                    <w:t>完井后及时进行场地清理、土地复垦、恢复绿化等。</w:t>
                  </w:r>
                </w:p>
              </w:tc>
              <w:tc>
                <w:tcPr>
                  <w:tcW w:w="831" w:type="pct"/>
                  <w:shd w:val="clear" w:color="auto" w:fill="auto"/>
                  <w:vAlign w:val="center"/>
                </w:tcPr>
                <w:p w14:paraId="0A5A1DA7">
                  <w:pPr>
                    <w:jc w:val="center"/>
                    <w:rPr>
                      <w:color w:val="auto"/>
                      <w:sz w:val="21"/>
                      <w:szCs w:val="21"/>
                    </w:rPr>
                  </w:pPr>
                  <w:r>
                    <w:rPr>
                      <w:rFonts w:hint="eastAsia"/>
                      <w:color w:val="auto"/>
                      <w:sz w:val="21"/>
                      <w:szCs w:val="21"/>
                    </w:rPr>
                    <w:t>未实施</w:t>
                  </w:r>
                </w:p>
              </w:tc>
            </w:tr>
            <w:tr w14:paraId="6D7D3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7D80C457">
                  <w:pPr>
                    <w:jc w:val="center"/>
                    <w:rPr>
                      <w:color w:val="auto"/>
                      <w:sz w:val="21"/>
                      <w:szCs w:val="21"/>
                    </w:rPr>
                  </w:pPr>
                </w:p>
              </w:tc>
              <w:tc>
                <w:tcPr>
                  <w:tcW w:w="786" w:type="pct"/>
                  <w:vAlign w:val="center"/>
                </w:tcPr>
                <w:p w14:paraId="4FF94034">
                  <w:pPr>
                    <w:jc w:val="center"/>
                    <w:rPr>
                      <w:color w:val="auto"/>
                      <w:sz w:val="21"/>
                      <w:szCs w:val="21"/>
                    </w:rPr>
                  </w:pPr>
                  <w:r>
                    <w:rPr>
                      <w:rFonts w:hint="eastAsia"/>
                      <w:color w:val="auto"/>
                      <w:sz w:val="21"/>
                      <w:szCs w:val="21"/>
                    </w:rPr>
                    <w:t>地下水及土壤</w:t>
                  </w:r>
                </w:p>
              </w:tc>
              <w:tc>
                <w:tcPr>
                  <w:tcW w:w="2851" w:type="pct"/>
                  <w:shd w:val="clear" w:color="auto" w:fill="auto"/>
                  <w:vAlign w:val="center"/>
                </w:tcPr>
                <w:p w14:paraId="2820FBCF">
                  <w:pPr>
                    <w:jc w:val="left"/>
                    <w:rPr>
                      <w:color w:val="auto"/>
                      <w:sz w:val="21"/>
                      <w:szCs w:val="21"/>
                    </w:rPr>
                  </w:pPr>
                  <w:r>
                    <w:rPr>
                      <w:color w:val="auto"/>
                      <w:sz w:val="21"/>
                      <w:szCs w:val="21"/>
                    </w:rPr>
                    <w:t>钻台底座、泵房、机房、循环罐、固控设备、油罐、材料房及药品房均在地面上铺盖防渗膜，防止污水及油污污染环境。污水及油污必须排放至专用回收池里，污水沟、污水池均做好池体防渗处理。材料储备下铺上盖。</w:t>
                  </w:r>
                </w:p>
              </w:tc>
              <w:tc>
                <w:tcPr>
                  <w:tcW w:w="831" w:type="pct"/>
                  <w:shd w:val="clear" w:color="auto" w:fill="auto"/>
                  <w:vAlign w:val="center"/>
                </w:tcPr>
                <w:p w14:paraId="2176A3C1">
                  <w:pPr>
                    <w:jc w:val="center"/>
                    <w:rPr>
                      <w:color w:val="auto"/>
                      <w:sz w:val="21"/>
                      <w:szCs w:val="21"/>
                    </w:rPr>
                  </w:pPr>
                  <w:r>
                    <w:rPr>
                      <w:rFonts w:hint="eastAsia"/>
                      <w:color w:val="auto"/>
                      <w:sz w:val="21"/>
                      <w:szCs w:val="21"/>
                    </w:rPr>
                    <w:t>已建成</w:t>
                  </w:r>
                </w:p>
              </w:tc>
            </w:tr>
            <w:tr w14:paraId="13CA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1BC29906">
                  <w:pPr>
                    <w:jc w:val="center"/>
                    <w:rPr>
                      <w:color w:val="auto"/>
                      <w:sz w:val="21"/>
                      <w:szCs w:val="21"/>
                    </w:rPr>
                  </w:pPr>
                </w:p>
              </w:tc>
              <w:tc>
                <w:tcPr>
                  <w:tcW w:w="786" w:type="pct"/>
                  <w:vAlign w:val="center"/>
                </w:tcPr>
                <w:p w14:paraId="137549B5">
                  <w:pPr>
                    <w:jc w:val="center"/>
                    <w:rPr>
                      <w:color w:val="auto"/>
                      <w:sz w:val="21"/>
                      <w:szCs w:val="21"/>
                    </w:rPr>
                  </w:pPr>
                  <w:r>
                    <w:rPr>
                      <w:rFonts w:hint="eastAsia"/>
                      <w:color w:val="auto"/>
                      <w:sz w:val="21"/>
                      <w:szCs w:val="21"/>
                    </w:rPr>
                    <w:t>固体废物</w:t>
                  </w:r>
                </w:p>
              </w:tc>
              <w:tc>
                <w:tcPr>
                  <w:tcW w:w="2851" w:type="pct"/>
                  <w:shd w:val="clear" w:color="auto" w:fill="auto"/>
                  <w:vAlign w:val="center"/>
                </w:tcPr>
                <w:p w14:paraId="15996605">
                  <w:pPr>
                    <w:jc w:val="left"/>
                    <w:rPr>
                      <w:color w:val="auto"/>
                      <w:sz w:val="21"/>
                      <w:szCs w:val="21"/>
                    </w:rPr>
                  </w:pPr>
                  <w:r>
                    <w:rPr>
                      <w:rFonts w:hint="eastAsia"/>
                      <w:color w:val="auto"/>
                      <w:sz w:val="21"/>
                      <w:szCs w:val="21"/>
                    </w:rPr>
                    <w:t>1、表土储存，</w:t>
                  </w:r>
                  <w:r>
                    <w:rPr>
                      <w:color w:val="auto"/>
                      <w:sz w:val="21"/>
                      <w:szCs w:val="21"/>
                    </w:rPr>
                    <w:t>井场</w:t>
                  </w:r>
                  <w:r>
                    <w:rPr>
                      <w:rFonts w:hint="eastAsia"/>
                      <w:color w:val="auto"/>
                      <w:sz w:val="21"/>
                      <w:szCs w:val="21"/>
                    </w:rPr>
                    <w:t>东南侧设置表土储存区</w:t>
                  </w:r>
                  <w:r>
                    <w:rPr>
                      <w:color w:val="auto"/>
                      <w:sz w:val="21"/>
                      <w:szCs w:val="21"/>
                    </w:rPr>
                    <w:t>，占地面积</w:t>
                  </w:r>
                  <w:r>
                    <w:rPr>
                      <w:rFonts w:hint="eastAsia"/>
                      <w:color w:val="auto"/>
                      <w:sz w:val="21"/>
                      <w:szCs w:val="21"/>
                    </w:rPr>
                    <w:t>962</w:t>
                  </w:r>
                  <w:r>
                    <w:rPr>
                      <w:color w:val="auto"/>
                      <w:sz w:val="21"/>
                      <w:szCs w:val="21"/>
                    </w:rPr>
                    <w:t>m</w:t>
                  </w:r>
                  <w:r>
                    <w:rPr>
                      <w:rFonts w:hint="eastAsia"/>
                      <w:color w:val="auto"/>
                      <w:sz w:val="21"/>
                      <w:szCs w:val="21"/>
                      <w:vertAlign w:val="superscript"/>
                    </w:rPr>
                    <w:t>2</w:t>
                  </w:r>
                  <w:r>
                    <w:rPr>
                      <w:color w:val="auto"/>
                      <w:sz w:val="21"/>
                      <w:szCs w:val="21"/>
                    </w:rPr>
                    <w:t>，主要用于暂存表层耕植土，耕植土分层剥离，用于后期覆土绿化</w:t>
                  </w:r>
                  <w:r>
                    <w:rPr>
                      <w:rFonts w:hint="eastAsia"/>
                      <w:color w:val="auto"/>
                      <w:sz w:val="21"/>
                      <w:szCs w:val="21"/>
                    </w:rPr>
                    <w:t>。</w:t>
                  </w:r>
                </w:p>
                <w:p w14:paraId="38EB894F">
                  <w:pPr>
                    <w:jc w:val="left"/>
                    <w:rPr>
                      <w:color w:val="auto"/>
                      <w:sz w:val="21"/>
                      <w:szCs w:val="21"/>
                    </w:rPr>
                  </w:pPr>
                  <w:r>
                    <w:rPr>
                      <w:rFonts w:hint="eastAsia"/>
                      <w:color w:val="auto"/>
                      <w:sz w:val="21"/>
                      <w:szCs w:val="21"/>
                    </w:rPr>
                    <w:t>2、</w:t>
                  </w:r>
                  <w:r>
                    <w:rPr>
                      <w:color w:val="auto"/>
                      <w:sz w:val="21"/>
                      <w:szCs w:val="21"/>
                    </w:rPr>
                    <w:t>生活垃圾</w:t>
                  </w:r>
                  <w:r>
                    <w:rPr>
                      <w:rFonts w:hint="eastAsia"/>
                      <w:color w:val="auto"/>
                      <w:sz w:val="21"/>
                      <w:szCs w:val="21"/>
                    </w:rPr>
                    <w:t>，</w:t>
                  </w:r>
                  <w:r>
                    <w:rPr>
                      <w:color w:val="auto"/>
                      <w:sz w:val="21"/>
                      <w:szCs w:val="21"/>
                    </w:rPr>
                    <w:t>生活区设1个，定期外运周边村镇垃圾收集点。</w:t>
                  </w:r>
                </w:p>
                <w:p w14:paraId="6A94B20F">
                  <w:pPr>
                    <w:jc w:val="left"/>
                    <w:rPr>
                      <w:color w:val="auto"/>
                      <w:sz w:val="21"/>
                      <w:szCs w:val="21"/>
                    </w:rPr>
                  </w:pPr>
                  <w:r>
                    <w:rPr>
                      <w:rFonts w:hint="eastAsia"/>
                      <w:color w:val="auto"/>
                      <w:sz w:val="21"/>
                      <w:szCs w:val="21"/>
                    </w:rPr>
                    <w:t>3、</w:t>
                  </w:r>
                  <w:r>
                    <w:rPr>
                      <w:color w:val="auto"/>
                      <w:sz w:val="21"/>
                      <w:szCs w:val="21"/>
                    </w:rPr>
                    <w:t>水基岩屑：设置1座清洁化操作平台，用于收集、处理、暂存泥浆循环处理系统产生的固相物质，包含水基岩屑</w:t>
                  </w:r>
                  <w:r>
                    <w:rPr>
                      <w:rFonts w:hint="eastAsia"/>
                      <w:color w:val="auto"/>
                      <w:sz w:val="21"/>
                      <w:szCs w:val="21"/>
                    </w:rPr>
                    <w:t>和泥渣</w:t>
                  </w:r>
                  <w:r>
                    <w:rPr>
                      <w:color w:val="auto"/>
                      <w:sz w:val="21"/>
                      <w:szCs w:val="21"/>
                    </w:rPr>
                    <w:t>。平台内设专业岩屑堆存区，占地约50m</w:t>
                  </w:r>
                  <w:r>
                    <w:rPr>
                      <w:color w:val="auto"/>
                      <w:sz w:val="21"/>
                      <w:szCs w:val="21"/>
                      <w:vertAlign w:val="superscript"/>
                    </w:rPr>
                    <w:t>2</w:t>
                  </w:r>
                  <w:r>
                    <w:rPr>
                      <w:color w:val="auto"/>
                      <w:sz w:val="21"/>
                      <w:szCs w:val="21"/>
                    </w:rPr>
                    <w:t>，用于暂存水基岩屑，后期外</w:t>
                  </w:r>
                  <w:r>
                    <w:rPr>
                      <w:rFonts w:hint="eastAsia"/>
                      <w:color w:val="auto"/>
                      <w:sz w:val="21"/>
                      <w:szCs w:val="21"/>
                    </w:rPr>
                    <w:t>委</w:t>
                  </w:r>
                  <w:r>
                    <w:rPr>
                      <w:color w:val="auto"/>
                      <w:sz w:val="21"/>
                      <w:szCs w:val="21"/>
                    </w:rPr>
                    <w:t>制砖厂家等进行资源化利用。</w:t>
                  </w:r>
                  <w:r>
                    <w:rPr>
                      <w:rFonts w:hint="eastAsia"/>
                      <w:color w:val="auto"/>
                      <w:sz w:val="21"/>
                      <w:szCs w:val="21"/>
                    </w:rPr>
                    <w:t>废弃水基</w:t>
                  </w:r>
                  <w:r>
                    <w:rPr>
                      <w:color w:val="auto"/>
                      <w:sz w:val="21"/>
                      <w:szCs w:val="21"/>
                    </w:rPr>
                    <w:t>钻井泥浆</w:t>
                  </w:r>
                  <w:r>
                    <w:rPr>
                      <w:rFonts w:hint="eastAsia"/>
                      <w:color w:val="auto"/>
                      <w:sz w:val="21"/>
                      <w:szCs w:val="21"/>
                    </w:rPr>
                    <w:t>：由钻井队回收利用。</w:t>
                  </w:r>
                </w:p>
                <w:p w14:paraId="657FDFC2">
                  <w:pPr>
                    <w:jc w:val="left"/>
                    <w:rPr>
                      <w:color w:val="auto"/>
                      <w:sz w:val="21"/>
                      <w:szCs w:val="21"/>
                    </w:rPr>
                  </w:pPr>
                  <w:r>
                    <w:rPr>
                      <w:rFonts w:hint="eastAsia"/>
                      <w:color w:val="auto"/>
                      <w:sz w:val="21"/>
                      <w:szCs w:val="21"/>
                    </w:rPr>
                    <w:t>4、废机油、废油桶、含油抹布</w:t>
                  </w:r>
                  <w:r>
                    <w:rPr>
                      <w:color w:val="auto"/>
                      <w:sz w:val="21"/>
                      <w:szCs w:val="21"/>
                    </w:rPr>
                    <w:t>：设置一座</w:t>
                  </w:r>
                  <w:r>
                    <w:rPr>
                      <w:rFonts w:hint="eastAsia"/>
                      <w:color w:val="auto"/>
                      <w:sz w:val="21"/>
                      <w:szCs w:val="21"/>
                    </w:rPr>
                    <w:t>危废暂存间</w:t>
                  </w:r>
                  <w:r>
                    <w:rPr>
                      <w:color w:val="auto"/>
                      <w:sz w:val="21"/>
                      <w:szCs w:val="21"/>
                    </w:rPr>
                    <w:t>（10m</w:t>
                  </w:r>
                  <w:r>
                    <w:rPr>
                      <w:color w:val="auto"/>
                      <w:sz w:val="21"/>
                      <w:szCs w:val="21"/>
                      <w:vertAlign w:val="superscript"/>
                    </w:rPr>
                    <w:t>2</w:t>
                  </w:r>
                  <w:r>
                    <w:rPr>
                      <w:color w:val="auto"/>
                      <w:sz w:val="21"/>
                      <w:szCs w:val="21"/>
                    </w:rPr>
                    <w:t>），用于暂存废机油、废油桶、含油抹布，按照危废暂存规范采</w:t>
                  </w:r>
                  <w:r>
                    <w:rPr>
                      <w:rFonts w:hint="eastAsia"/>
                      <w:color w:val="auto"/>
                      <w:sz w:val="21"/>
                      <w:szCs w:val="21"/>
                    </w:rPr>
                    <w:t>取“四防”措</w:t>
                  </w:r>
                  <w:r>
                    <w:rPr>
                      <w:color w:val="auto"/>
                      <w:sz w:val="21"/>
                      <w:szCs w:val="21"/>
                    </w:rPr>
                    <w:t>施，定期由</w:t>
                  </w:r>
                  <w:r>
                    <w:rPr>
                      <w:rFonts w:hint="eastAsia"/>
                      <w:color w:val="auto"/>
                      <w:sz w:val="21"/>
                      <w:szCs w:val="21"/>
                    </w:rPr>
                    <w:t>有危废</w:t>
                  </w:r>
                  <w:r>
                    <w:rPr>
                      <w:color w:val="auto"/>
                      <w:sz w:val="21"/>
                      <w:szCs w:val="21"/>
                    </w:rPr>
                    <w:t>资质单位运输处理。</w:t>
                  </w:r>
                </w:p>
                <w:p w14:paraId="310DB26E">
                  <w:pPr>
                    <w:jc w:val="left"/>
                    <w:rPr>
                      <w:color w:val="auto"/>
                      <w:sz w:val="21"/>
                      <w:szCs w:val="21"/>
                    </w:rPr>
                  </w:pPr>
                  <w:r>
                    <w:rPr>
                      <w:rFonts w:hint="eastAsia"/>
                      <w:color w:val="auto"/>
                      <w:sz w:val="21"/>
                      <w:szCs w:val="21"/>
                    </w:rPr>
                    <w:t>5、</w:t>
                  </w:r>
                  <w:r>
                    <w:rPr>
                      <w:color w:val="auto"/>
                      <w:sz w:val="21"/>
                      <w:szCs w:val="21"/>
                    </w:rPr>
                    <w:t>废包装材料：集中收集后由物资公司进行回收处理。</w:t>
                  </w:r>
                </w:p>
              </w:tc>
              <w:tc>
                <w:tcPr>
                  <w:tcW w:w="831" w:type="pct"/>
                  <w:shd w:val="clear" w:color="auto" w:fill="auto"/>
                  <w:vAlign w:val="center"/>
                </w:tcPr>
                <w:p w14:paraId="2D5844B9">
                  <w:pPr>
                    <w:jc w:val="center"/>
                    <w:rPr>
                      <w:color w:val="auto"/>
                      <w:sz w:val="21"/>
                      <w:szCs w:val="21"/>
                    </w:rPr>
                  </w:pPr>
                  <w:r>
                    <w:rPr>
                      <w:rFonts w:hint="eastAsia"/>
                      <w:color w:val="auto"/>
                      <w:sz w:val="21"/>
                      <w:szCs w:val="21"/>
                    </w:rPr>
                    <w:t>已建成</w:t>
                  </w:r>
                </w:p>
              </w:tc>
            </w:tr>
            <w:tr w14:paraId="33662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0" w:type="pct"/>
                  <w:gridSpan w:val="2"/>
                  <w:vMerge w:val="continue"/>
                  <w:vAlign w:val="center"/>
                </w:tcPr>
                <w:p w14:paraId="3A381434">
                  <w:pPr>
                    <w:jc w:val="center"/>
                    <w:rPr>
                      <w:color w:val="auto"/>
                      <w:sz w:val="21"/>
                      <w:szCs w:val="21"/>
                    </w:rPr>
                  </w:pPr>
                </w:p>
              </w:tc>
              <w:tc>
                <w:tcPr>
                  <w:tcW w:w="786" w:type="pct"/>
                  <w:vAlign w:val="center"/>
                </w:tcPr>
                <w:p w14:paraId="146BD2DB">
                  <w:pPr>
                    <w:jc w:val="center"/>
                    <w:rPr>
                      <w:color w:val="auto"/>
                      <w:sz w:val="21"/>
                      <w:szCs w:val="21"/>
                    </w:rPr>
                  </w:pPr>
                  <w:r>
                    <w:rPr>
                      <w:rFonts w:hint="eastAsia"/>
                      <w:color w:val="auto"/>
                      <w:sz w:val="21"/>
                      <w:szCs w:val="21"/>
                    </w:rPr>
                    <w:t>环境风险</w:t>
                  </w:r>
                </w:p>
              </w:tc>
              <w:tc>
                <w:tcPr>
                  <w:tcW w:w="2851" w:type="pct"/>
                  <w:shd w:val="clear" w:color="auto" w:fill="auto"/>
                  <w:vAlign w:val="center"/>
                </w:tcPr>
                <w:p w14:paraId="0784C55F">
                  <w:pPr>
                    <w:jc w:val="left"/>
                    <w:rPr>
                      <w:color w:val="auto"/>
                      <w:sz w:val="21"/>
                      <w:szCs w:val="21"/>
                    </w:rPr>
                  </w:pPr>
                  <w:r>
                    <w:rPr>
                      <w:rFonts w:hint="eastAsia"/>
                      <w:color w:val="auto"/>
                      <w:sz w:val="21"/>
                      <w:szCs w:val="21"/>
                    </w:rPr>
                    <w:t>油储罐地面应做硬化，罐底设置防渗膜，并在四周设置围堰；根据《钻井井控技术规程》（SY/T 6426-2005），钻井现场应配备独立点火系统，点火人员应佩戴防护器具，并在上风方向，将气体引至放喷池点火；开工建设前应进一步开展水文地质条件勘察，查明地下溶洞、暗河分布情况，采用清水强钻套管封隔技术避免钻井液漏失；当池体发生渗漏时，应立即将池体中废水全部转运井场场内用罐体或采用罐车拉运至其他钻井平台池体内暂存；制定应急预案并加强演练；加强环境风险管及物资储备等；加强岩屑、废水运过程的风险管理。</w:t>
                  </w:r>
                </w:p>
              </w:tc>
              <w:tc>
                <w:tcPr>
                  <w:tcW w:w="831" w:type="pct"/>
                  <w:shd w:val="clear" w:color="auto" w:fill="auto"/>
                  <w:vAlign w:val="center"/>
                </w:tcPr>
                <w:p w14:paraId="6EC9D68F">
                  <w:pPr>
                    <w:jc w:val="center"/>
                    <w:rPr>
                      <w:strike/>
                      <w:color w:val="auto"/>
                      <w:sz w:val="21"/>
                      <w:szCs w:val="21"/>
                    </w:rPr>
                  </w:pPr>
                  <w:r>
                    <w:rPr>
                      <w:rFonts w:hint="eastAsia"/>
                      <w:color w:val="auto"/>
                      <w:sz w:val="21"/>
                      <w:szCs w:val="21"/>
                    </w:rPr>
                    <w:t>项目油储罐地面</w:t>
                  </w:r>
                  <w:r>
                    <w:rPr>
                      <w:rFonts w:hint="eastAsia"/>
                      <w:color w:val="auto"/>
                      <w:sz w:val="21"/>
                      <w:szCs w:val="21"/>
                      <w:lang w:val="en-US" w:eastAsia="zh-CN"/>
                    </w:rPr>
                    <w:t>未</w:t>
                  </w:r>
                  <w:r>
                    <w:rPr>
                      <w:rFonts w:hint="eastAsia"/>
                      <w:color w:val="auto"/>
                      <w:sz w:val="21"/>
                      <w:szCs w:val="21"/>
                    </w:rPr>
                    <w:t>做硬化，罐底</w:t>
                  </w:r>
                  <w:r>
                    <w:rPr>
                      <w:rFonts w:hint="eastAsia"/>
                      <w:color w:val="auto"/>
                      <w:sz w:val="21"/>
                      <w:szCs w:val="21"/>
                      <w:lang w:val="en-US" w:eastAsia="zh-CN"/>
                    </w:rPr>
                    <w:t>未</w:t>
                  </w:r>
                  <w:r>
                    <w:rPr>
                      <w:rFonts w:hint="eastAsia"/>
                      <w:color w:val="auto"/>
                      <w:sz w:val="21"/>
                      <w:szCs w:val="21"/>
                    </w:rPr>
                    <w:t>设置防渗膜，四周</w:t>
                  </w:r>
                  <w:r>
                    <w:rPr>
                      <w:rFonts w:hint="eastAsia"/>
                      <w:color w:val="auto"/>
                      <w:sz w:val="21"/>
                      <w:szCs w:val="21"/>
                      <w:lang w:val="en-US" w:eastAsia="zh-CN"/>
                    </w:rPr>
                    <w:t>未</w:t>
                  </w:r>
                  <w:r>
                    <w:rPr>
                      <w:rFonts w:hint="eastAsia"/>
                      <w:color w:val="auto"/>
                      <w:sz w:val="21"/>
                      <w:szCs w:val="21"/>
                    </w:rPr>
                    <w:t>设置围堰。其他</w:t>
                  </w:r>
                  <w:r>
                    <w:rPr>
                      <w:rFonts w:hint="eastAsia"/>
                      <w:color w:val="auto"/>
                      <w:sz w:val="21"/>
                      <w:szCs w:val="21"/>
                      <w:lang w:val="en-US" w:eastAsia="zh-CN"/>
                    </w:rPr>
                    <w:t>已完成</w:t>
                  </w:r>
                  <w:r>
                    <w:rPr>
                      <w:rFonts w:hint="eastAsia"/>
                      <w:color w:val="auto"/>
                      <w:sz w:val="21"/>
                      <w:szCs w:val="21"/>
                    </w:rPr>
                    <w:t>。</w:t>
                  </w:r>
                </w:p>
              </w:tc>
            </w:tr>
          </w:tbl>
          <w:p w14:paraId="60F085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3、现有项目污染产生及排放情况</w:t>
            </w:r>
          </w:p>
          <w:p w14:paraId="063ABC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3.1废气</w:t>
            </w:r>
          </w:p>
          <w:p w14:paraId="1652CD11">
            <w:pPr>
              <w:spacing w:line="360" w:lineRule="auto"/>
              <w:ind w:firstLine="480" w:firstLineChars="200"/>
              <w:rPr>
                <w:color w:val="auto"/>
              </w:rPr>
            </w:pPr>
            <w:r>
              <w:rPr>
                <w:rFonts w:hint="eastAsia"/>
                <w:color w:val="auto"/>
              </w:rPr>
              <w:t>现有项目产生的废气主要为柴油发电机组废气和放喷废气。</w:t>
            </w:r>
          </w:p>
          <w:p w14:paraId="068068FC">
            <w:pPr>
              <w:spacing w:line="360" w:lineRule="auto"/>
              <w:ind w:firstLine="480" w:firstLineChars="200"/>
              <w:rPr>
                <w:color w:val="auto"/>
              </w:rPr>
            </w:pPr>
            <w:r>
              <w:rPr>
                <w:rFonts w:hint="eastAsia"/>
                <w:color w:val="auto"/>
              </w:rPr>
              <w:t>柴油发电机组废气主要成分为SO</w:t>
            </w:r>
            <w:r>
              <w:rPr>
                <w:rFonts w:hint="eastAsia"/>
                <w:color w:val="auto"/>
                <w:vertAlign w:val="subscript"/>
              </w:rPr>
              <w:t>2</w:t>
            </w:r>
            <w:r>
              <w:rPr>
                <w:rFonts w:hint="eastAsia"/>
                <w:color w:val="auto"/>
              </w:rPr>
              <w:t>、NO</w:t>
            </w:r>
            <w:r>
              <w:rPr>
                <w:rFonts w:hint="eastAsia"/>
                <w:color w:val="auto"/>
                <w:vertAlign w:val="subscript"/>
              </w:rPr>
              <w:t>x</w:t>
            </w:r>
            <w:r>
              <w:rPr>
                <w:rFonts w:hint="eastAsia"/>
                <w:color w:val="auto"/>
              </w:rPr>
              <w:t>、烟尘（颗粒物）。现项目已消耗柴油量为21吨，产生SO</w:t>
            </w:r>
            <w:r>
              <w:rPr>
                <w:rFonts w:hint="eastAsia"/>
                <w:color w:val="auto"/>
                <w:vertAlign w:val="subscript"/>
              </w:rPr>
              <w:t>2</w:t>
            </w:r>
            <w:r>
              <w:rPr>
                <w:rFonts w:hint="eastAsia"/>
                <w:color w:val="auto"/>
              </w:rPr>
              <w:t>、NO</w:t>
            </w:r>
            <w:r>
              <w:rPr>
                <w:rFonts w:hint="eastAsia"/>
                <w:color w:val="auto"/>
                <w:vertAlign w:val="subscript"/>
              </w:rPr>
              <w:t>x</w:t>
            </w:r>
            <w:r>
              <w:rPr>
                <w:rFonts w:hint="eastAsia"/>
                <w:color w:val="auto"/>
              </w:rPr>
              <w:t>、烟尘（颗粒物）分别为0.084t、0.071t、0.046t。柴油机及发电机尾气排放浓度较小，由于钻井期较短，并处于户外空气流通性较好，扩散能力较强，对大气环境影响较小。</w:t>
            </w:r>
          </w:p>
          <w:p w14:paraId="5045BABE">
            <w:pPr>
              <w:spacing w:line="360" w:lineRule="auto"/>
              <w:ind w:firstLine="480" w:firstLineChars="200"/>
              <w:rPr>
                <w:color w:val="auto"/>
              </w:rPr>
            </w:pPr>
            <w:r>
              <w:rPr>
                <w:rFonts w:hint="eastAsia"/>
                <w:color w:val="auto"/>
              </w:rPr>
              <w:t>放喷废气井口气体组分以甲烷为主，不含硫，经专用放喷管线引至放喷池后点火燃烧，其燃烧主要产物为NO</w:t>
            </w:r>
            <w:r>
              <w:rPr>
                <w:rFonts w:hint="eastAsia"/>
                <w:color w:val="auto"/>
                <w:vertAlign w:val="subscript"/>
              </w:rPr>
              <w:t>x</w:t>
            </w:r>
            <w:r>
              <w:rPr>
                <w:rFonts w:hint="eastAsia"/>
                <w:color w:val="auto"/>
              </w:rPr>
              <w:t>、CO</w:t>
            </w:r>
            <w:r>
              <w:rPr>
                <w:rFonts w:hint="eastAsia"/>
                <w:color w:val="auto"/>
                <w:vertAlign w:val="subscript"/>
              </w:rPr>
              <w:t>2</w:t>
            </w:r>
            <w:r>
              <w:rPr>
                <w:rFonts w:hint="eastAsia"/>
                <w:color w:val="auto"/>
              </w:rPr>
              <w:t>和水。放喷池于室外敞开位置，便于废气扩散，对大气环境影响较小。</w:t>
            </w:r>
          </w:p>
          <w:p w14:paraId="1E19E6B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3.2废水</w:t>
            </w:r>
          </w:p>
          <w:p w14:paraId="0AE682D1">
            <w:pPr>
              <w:spacing w:line="360" w:lineRule="auto"/>
              <w:ind w:firstLine="480" w:firstLineChars="200"/>
              <w:rPr>
                <w:color w:val="auto"/>
              </w:rPr>
            </w:pPr>
            <w:r>
              <w:rPr>
                <w:rFonts w:hint="eastAsia"/>
                <w:color w:val="auto"/>
              </w:rPr>
              <w:t>现有项目产生的废水主要为钻井废水、场区雨水和生活污水。</w:t>
            </w:r>
          </w:p>
          <w:p w14:paraId="1057BD1E">
            <w:pPr>
              <w:spacing w:line="360" w:lineRule="auto"/>
              <w:ind w:firstLine="480" w:firstLineChars="200"/>
              <w:rPr>
                <w:color w:val="auto"/>
              </w:rPr>
            </w:pPr>
            <w:r>
              <w:rPr>
                <w:rFonts w:hint="eastAsia"/>
                <w:color w:val="auto"/>
              </w:rPr>
              <w:t>现有项目钻井废水排放量为67m</w:t>
            </w:r>
            <w:r>
              <w:rPr>
                <w:rFonts w:hint="eastAsia"/>
                <w:color w:val="auto"/>
                <w:vertAlign w:val="superscript"/>
              </w:rPr>
              <w:t>3</w:t>
            </w:r>
            <w:r>
              <w:rPr>
                <w:rFonts w:hint="eastAsia"/>
                <w:color w:val="auto"/>
              </w:rPr>
              <w:t>，</w:t>
            </w:r>
            <w:r>
              <w:rPr>
                <w:rFonts w:hint="eastAsia"/>
                <w:color w:val="auto"/>
                <w:kern w:val="0"/>
                <w:szCs w:val="21"/>
              </w:rPr>
              <w:t>钻井废水排至泥浆循环系统经固液分离后产生含水率为70%的水基泥浆和滤液，滤液回用于钻井，水基泥浆由钻井队回收回用。</w:t>
            </w:r>
            <w:r>
              <w:rPr>
                <w:rFonts w:hint="eastAsia"/>
                <w:color w:val="auto"/>
              </w:rPr>
              <w:t>场地雨水产生量为6m</w:t>
            </w:r>
            <w:r>
              <w:rPr>
                <w:rFonts w:hint="eastAsia"/>
                <w:color w:val="auto"/>
                <w:vertAlign w:val="superscript"/>
              </w:rPr>
              <w:t>3</w:t>
            </w:r>
            <w:r>
              <w:rPr>
                <w:rFonts w:hint="eastAsia"/>
                <w:color w:val="auto"/>
              </w:rPr>
              <w:t>，暂存在</w:t>
            </w:r>
            <w:r>
              <w:rPr>
                <w:rFonts w:hint="eastAsia"/>
                <w:color w:val="auto"/>
                <w:kern w:val="0"/>
                <w:szCs w:val="21"/>
              </w:rPr>
              <w:t>集液池中，沉淀后回用。</w:t>
            </w:r>
            <w:r>
              <w:rPr>
                <w:rFonts w:hint="eastAsia"/>
                <w:color w:val="auto"/>
              </w:rPr>
              <w:t>生活污水产生量为216m</w:t>
            </w:r>
            <w:r>
              <w:rPr>
                <w:rFonts w:hint="eastAsia"/>
                <w:color w:val="auto"/>
                <w:vertAlign w:val="superscript"/>
              </w:rPr>
              <w:t>3</w:t>
            </w:r>
            <w:r>
              <w:rPr>
                <w:rFonts w:hint="eastAsia"/>
                <w:color w:val="auto"/>
              </w:rPr>
              <w:t>，收集运送至村镇化粪池处理后用于园地、耕地浇灌。</w:t>
            </w:r>
          </w:p>
          <w:p w14:paraId="45FEA3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rPr>
              <w:t>3.3固体废物</w:t>
            </w:r>
          </w:p>
          <w:p w14:paraId="54D4B814">
            <w:pPr>
              <w:spacing w:line="360" w:lineRule="auto"/>
              <w:ind w:firstLine="480" w:firstLineChars="200"/>
              <w:rPr>
                <w:color w:val="auto"/>
              </w:rPr>
            </w:pPr>
            <w:r>
              <w:rPr>
                <w:rFonts w:hint="eastAsia"/>
                <w:color w:val="auto"/>
              </w:rPr>
              <w:t>现有项目产生的固废主要有钻井岩屑、废弃泥浆、废包装材料、生活垃圾、废机油、含油抹布和废油桶。</w:t>
            </w:r>
          </w:p>
          <w:p w14:paraId="3068E4A3">
            <w:pPr>
              <w:spacing w:line="360" w:lineRule="auto"/>
              <w:ind w:firstLine="480" w:firstLineChars="200"/>
              <w:rPr>
                <w:color w:val="auto"/>
              </w:rPr>
            </w:pPr>
            <w:r>
              <w:rPr>
                <w:rFonts w:hint="eastAsia"/>
                <w:color w:val="auto"/>
              </w:rPr>
              <w:t>钻井岩屑主要为水基岩屑，产生量为169.26t，暂存于清洁操作平台岩屑暂存区。废弃水基泥浆产生量为11.53t，由钻井队回收利用。废包装材料产生量为0.8t，集中收集后由物资公司进行回收处理。生活垃圾产生量为1.6t，定期外运周边村镇垃圾收集点。危废主要有废机油、含油抹布和废油桶，产生量分别为0.2t、0.02t、0.1t，暂存于#1危废暂存间，定期交由有资质的单位处理。</w:t>
            </w:r>
          </w:p>
          <w:p w14:paraId="7396C26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3</w:t>
            </w:r>
            <w:r>
              <w:rPr>
                <w:rFonts w:hint="eastAsia"/>
                <w:b/>
                <w:bCs/>
              </w:rPr>
              <w:t>.5现有工程排放总量</w:t>
            </w:r>
          </w:p>
          <w:p w14:paraId="79ABE458">
            <w:pPr>
              <w:spacing w:line="360" w:lineRule="auto"/>
              <w:ind w:firstLine="480" w:firstLineChars="200"/>
              <w:rPr>
                <w:color w:val="auto"/>
              </w:rPr>
            </w:pPr>
            <w:r>
              <w:rPr>
                <w:rFonts w:hint="eastAsia"/>
                <w:color w:val="auto"/>
              </w:rPr>
              <w:t>综合以上分析，现有工程污染物排放情况见下表。</w:t>
            </w:r>
          </w:p>
          <w:p w14:paraId="5263ED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b/>
                <w:bCs/>
              </w:rPr>
            </w:pPr>
            <w:r>
              <w:rPr>
                <w:rFonts w:hint="eastAsia"/>
                <w:b/>
                <w:bCs/>
              </w:rPr>
              <w:t>表3-6 现有工程</w:t>
            </w:r>
            <w:r>
              <w:rPr>
                <w:rFonts w:hint="eastAsia"/>
                <w:b/>
                <w:bCs/>
                <w:lang w:val="en-US" w:eastAsia="zh-CN"/>
              </w:rPr>
              <w:t>产生</w:t>
            </w:r>
            <w:r>
              <w:rPr>
                <w:rFonts w:hint="eastAsia"/>
                <w:b/>
                <w:bCs/>
              </w:rPr>
              <w:t>污染情况汇总表</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2480"/>
              <w:gridCol w:w="1910"/>
              <w:gridCol w:w="1791"/>
            </w:tblGrid>
            <w:tr w14:paraId="261D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Align w:val="center"/>
                </w:tcPr>
                <w:p w14:paraId="5E97050B">
                  <w:pPr>
                    <w:adjustRightInd w:val="0"/>
                    <w:snapToGrid w:val="0"/>
                    <w:jc w:val="center"/>
                    <w:rPr>
                      <w:b/>
                      <w:bCs/>
                      <w:color w:val="auto"/>
                      <w:kern w:val="0"/>
                      <w:sz w:val="21"/>
                      <w:szCs w:val="21"/>
                    </w:rPr>
                  </w:pPr>
                  <w:r>
                    <w:rPr>
                      <w:b/>
                      <w:bCs/>
                      <w:color w:val="auto"/>
                      <w:kern w:val="0"/>
                      <w:sz w:val="21"/>
                      <w:szCs w:val="21"/>
                    </w:rPr>
                    <w:t>类别</w:t>
                  </w:r>
                </w:p>
              </w:tc>
              <w:tc>
                <w:tcPr>
                  <w:tcW w:w="1542" w:type="pct"/>
                  <w:vAlign w:val="center"/>
                </w:tcPr>
                <w:p w14:paraId="62A97087">
                  <w:pPr>
                    <w:adjustRightInd w:val="0"/>
                    <w:snapToGrid w:val="0"/>
                    <w:jc w:val="center"/>
                    <w:rPr>
                      <w:b/>
                      <w:bCs/>
                      <w:color w:val="auto"/>
                      <w:kern w:val="0"/>
                      <w:sz w:val="21"/>
                      <w:szCs w:val="21"/>
                    </w:rPr>
                  </w:pPr>
                  <w:r>
                    <w:rPr>
                      <w:b/>
                      <w:bCs/>
                      <w:color w:val="auto"/>
                      <w:kern w:val="0"/>
                      <w:sz w:val="21"/>
                      <w:szCs w:val="21"/>
                    </w:rPr>
                    <w:t>污染源</w:t>
                  </w:r>
                </w:p>
              </w:tc>
              <w:tc>
                <w:tcPr>
                  <w:tcW w:w="1188" w:type="pct"/>
                  <w:vAlign w:val="center"/>
                </w:tcPr>
                <w:p w14:paraId="194EDCB6">
                  <w:pPr>
                    <w:adjustRightInd w:val="0"/>
                    <w:snapToGrid w:val="0"/>
                    <w:jc w:val="center"/>
                    <w:rPr>
                      <w:rFonts w:hint="default" w:eastAsia="宋体"/>
                      <w:b/>
                      <w:bCs/>
                      <w:color w:val="auto"/>
                      <w:kern w:val="0"/>
                      <w:sz w:val="21"/>
                      <w:szCs w:val="21"/>
                      <w:lang w:val="en-US" w:eastAsia="zh-CN"/>
                    </w:rPr>
                  </w:pPr>
                  <w:r>
                    <w:rPr>
                      <w:rFonts w:hint="eastAsia"/>
                      <w:b/>
                      <w:bCs/>
                      <w:color w:val="auto"/>
                      <w:kern w:val="0"/>
                      <w:sz w:val="21"/>
                      <w:szCs w:val="21"/>
                      <w:lang w:val="en-US" w:eastAsia="zh-CN"/>
                    </w:rPr>
                    <w:t>产生污染</w:t>
                  </w:r>
                </w:p>
              </w:tc>
              <w:tc>
                <w:tcPr>
                  <w:tcW w:w="1114" w:type="pct"/>
                  <w:vAlign w:val="center"/>
                </w:tcPr>
                <w:p w14:paraId="0175FAA7">
                  <w:pPr>
                    <w:adjustRightInd w:val="0"/>
                    <w:snapToGrid w:val="0"/>
                    <w:jc w:val="center"/>
                    <w:rPr>
                      <w:rFonts w:hint="eastAsia"/>
                      <w:b/>
                      <w:bCs/>
                      <w:color w:val="auto"/>
                      <w:kern w:val="0"/>
                      <w:sz w:val="21"/>
                      <w:szCs w:val="21"/>
                    </w:rPr>
                  </w:pPr>
                  <w:r>
                    <w:rPr>
                      <w:b/>
                      <w:bCs/>
                      <w:color w:val="auto"/>
                      <w:kern w:val="0"/>
                      <w:sz w:val="21"/>
                      <w:szCs w:val="21"/>
                    </w:rPr>
                    <w:t>现有工程</w:t>
                  </w:r>
                </w:p>
              </w:tc>
            </w:tr>
            <w:tr w14:paraId="0E06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restart"/>
                  <w:vAlign w:val="center"/>
                </w:tcPr>
                <w:p w14:paraId="5599447E">
                  <w:pPr>
                    <w:adjustRightInd w:val="0"/>
                    <w:snapToGrid w:val="0"/>
                    <w:jc w:val="center"/>
                    <w:rPr>
                      <w:color w:val="auto"/>
                      <w:kern w:val="0"/>
                      <w:sz w:val="21"/>
                      <w:szCs w:val="21"/>
                    </w:rPr>
                  </w:pPr>
                  <w:r>
                    <w:rPr>
                      <w:color w:val="auto"/>
                      <w:kern w:val="0"/>
                      <w:sz w:val="21"/>
                      <w:szCs w:val="21"/>
                    </w:rPr>
                    <w:t>废气</w:t>
                  </w:r>
                </w:p>
              </w:tc>
              <w:tc>
                <w:tcPr>
                  <w:tcW w:w="1542" w:type="pct"/>
                  <w:vMerge w:val="restart"/>
                  <w:vAlign w:val="center"/>
                </w:tcPr>
                <w:p w14:paraId="73E58C0B">
                  <w:pPr>
                    <w:adjustRightInd w:val="0"/>
                    <w:snapToGrid w:val="0"/>
                    <w:jc w:val="center"/>
                    <w:rPr>
                      <w:color w:val="auto"/>
                      <w:kern w:val="0"/>
                      <w:sz w:val="21"/>
                      <w:szCs w:val="21"/>
                    </w:rPr>
                  </w:pPr>
                  <w:r>
                    <w:rPr>
                      <w:color w:val="auto"/>
                      <w:kern w:val="0"/>
                      <w:sz w:val="21"/>
                      <w:szCs w:val="21"/>
                    </w:rPr>
                    <w:t>柴油发电机组废气</w:t>
                  </w:r>
                </w:p>
              </w:tc>
              <w:tc>
                <w:tcPr>
                  <w:tcW w:w="1188" w:type="pct"/>
                  <w:vAlign w:val="center"/>
                </w:tcPr>
                <w:p w14:paraId="483A8AAA">
                  <w:pPr>
                    <w:adjustRightInd w:val="0"/>
                    <w:snapToGrid w:val="0"/>
                    <w:jc w:val="center"/>
                    <w:rPr>
                      <w:color w:val="auto"/>
                      <w:kern w:val="0"/>
                      <w:sz w:val="21"/>
                      <w:szCs w:val="21"/>
                    </w:rPr>
                  </w:pPr>
                  <w:r>
                    <w:rPr>
                      <w:color w:val="auto"/>
                      <w:kern w:val="0"/>
                      <w:sz w:val="21"/>
                      <w:szCs w:val="21"/>
                    </w:rPr>
                    <w:t>SO</w:t>
                  </w:r>
                  <w:r>
                    <w:rPr>
                      <w:color w:val="auto"/>
                      <w:kern w:val="0"/>
                      <w:sz w:val="21"/>
                      <w:szCs w:val="21"/>
                      <w:vertAlign w:val="subscript"/>
                    </w:rPr>
                    <w:t>2</w:t>
                  </w:r>
                </w:p>
              </w:tc>
              <w:tc>
                <w:tcPr>
                  <w:tcW w:w="1114" w:type="pct"/>
                  <w:vAlign w:val="center"/>
                </w:tcPr>
                <w:p w14:paraId="08E68197">
                  <w:pPr>
                    <w:adjustRightInd w:val="0"/>
                    <w:snapToGrid w:val="0"/>
                    <w:jc w:val="center"/>
                    <w:rPr>
                      <w:color w:val="auto"/>
                      <w:kern w:val="0"/>
                      <w:sz w:val="21"/>
                      <w:szCs w:val="21"/>
                    </w:rPr>
                  </w:pPr>
                  <w:r>
                    <w:rPr>
                      <w:rFonts w:hint="eastAsia"/>
                      <w:color w:val="auto"/>
                      <w:kern w:val="0"/>
                      <w:sz w:val="21"/>
                      <w:szCs w:val="21"/>
                    </w:rPr>
                    <w:t>产生量为0.084t</w:t>
                  </w:r>
                </w:p>
              </w:tc>
            </w:tr>
            <w:tr w14:paraId="3B55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1DC20583">
                  <w:pPr>
                    <w:adjustRightInd w:val="0"/>
                    <w:snapToGrid w:val="0"/>
                    <w:jc w:val="center"/>
                    <w:rPr>
                      <w:color w:val="auto"/>
                      <w:kern w:val="0"/>
                      <w:sz w:val="21"/>
                      <w:szCs w:val="21"/>
                    </w:rPr>
                  </w:pPr>
                </w:p>
              </w:tc>
              <w:tc>
                <w:tcPr>
                  <w:tcW w:w="1542" w:type="pct"/>
                  <w:vMerge w:val="continue"/>
                  <w:vAlign w:val="center"/>
                </w:tcPr>
                <w:p w14:paraId="375A3008">
                  <w:pPr>
                    <w:adjustRightInd w:val="0"/>
                    <w:snapToGrid w:val="0"/>
                    <w:jc w:val="center"/>
                    <w:rPr>
                      <w:color w:val="auto"/>
                      <w:kern w:val="0"/>
                      <w:sz w:val="21"/>
                      <w:szCs w:val="21"/>
                    </w:rPr>
                  </w:pPr>
                </w:p>
              </w:tc>
              <w:tc>
                <w:tcPr>
                  <w:tcW w:w="1188" w:type="pct"/>
                  <w:vAlign w:val="center"/>
                </w:tcPr>
                <w:p w14:paraId="19F17AA6">
                  <w:pPr>
                    <w:adjustRightInd w:val="0"/>
                    <w:snapToGrid w:val="0"/>
                    <w:jc w:val="center"/>
                    <w:rPr>
                      <w:color w:val="auto"/>
                      <w:kern w:val="0"/>
                      <w:sz w:val="21"/>
                      <w:szCs w:val="21"/>
                    </w:rPr>
                  </w:pPr>
                  <w:r>
                    <w:rPr>
                      <w:color w:val="auto"/>
                      <w:kern w:val="0"/>
                      <w:sz w:val="21"/>
                      <w:szCs w:val="21"/>
                    </w:rPr>
                    <w:t>NO</w:t>
                  </w:r>
                  <w:r>
                    <w:rPr>
                      <w:color w:val="auto"/>
                      <w:kern w:val="0"/>
                      <w:sz w:val="21"/>
                      <w:szCs w:val="21"/>
                      <w:vertAlign w:val="subscript"/>
                    </w:rPr>
                    <w:t>x</w:t>
                  </w:r>
                </w:p>
              </w:tc>
              <w:tc>
                <w:tcPr>
                  <w:tcW w:w="1114" w:type="pct"/>
                  <w:vAlign w:val="center"/>
                </w:tcPr>
                <w:p w14:paraId="5FFB00AE">
                  <w:pPr>
                    <w:adjustRightInd w:val="0"/>
                    <w:snapToGrid w:val="0"/>
                    <w:jc w:val="center"/>
                    <w:rPr>
                      <w:color w:val="auto"/>
                      <w:kern w:val="0"/>
                      <w:sz w:val="21"/>
                      <w:szCs w:val="21"/>
                    </w:rPr>
                  </w:pPr>
                  <w:r>
                    <w:rPr>
                      <w:rFonts w:hint="eastAsia"/>
                      <w:color w:val="auto"/>
                      <w:kern w:val="0"/>
                      <w:sz w:val="21"/>
                      <w:szCs w:val="21"/>
                    </w:rPr>
                    <w:t>产生量为0.071t</w:t>
                  </w:r>
                </w:p>
              </w:tc>
            </w:tr>
            <w:tr w14:paraId="4107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6A6E1DA7">
                  <w:pPr>
                    <w:adjustRightInd w:val="0"/>
                    <w:snapToGrid w:val="0"/>
                    <w:jc w:val="center"/>
                    <w:rPr>
                      <w:color w:val="auto"/>
                      <w:kern w:val="0"/>
                      <w:sz w:val="21"/>
                      <w:szCs w:val="21"/>
                    </w:rPr>
                  </w:pPr>
                </w:p>
              </w:tc>
              <w:tc>
                <w:tcPr>
                  <w:tcW w:w="1542" w:type="pct"/>
                  <w:vMerge w:val="continue"/>
                  <w:vAlign w:val="center"/>
                </w:tcPr>
                <w:p w14:paraId="1D74714D">
                  <w:pPr>
                    <w:adjustRightInd w:val="0"/>
                    <w:snapToGrid w:val="0"/>
                    <w:jc w:val="center"/>
                    <w:rPr>
                      <w:color w:val="auto"/>
                      <w:kern w:val="0"/>
                      <w:sz w:val="21"/>
                      <w:szCs w:val="21"/>
                    </w:rPr>
                  </w:pPr>
                </w:p>
              </w:tc>
              <w:tc>
                <w:tcPr>
                  <w:tcW w:w="1188" w:type="pct"/>
                  <w:vAlign w:val="center"/>
                </w:tcPr>
                <w:p w14:paraId="172B6474">
                  <w:pPr>
                    <w:adjustRightInd w:val="0"/>
                    <w:snapToGrid w:val="0"/>
                    <w:jc w:val="center"/>
                    <w:rPr>
                      <w:color w:val="auto"/>
                      <w:kern w:val="0"/>
                      <w:sz w:val="21"/>
                      <w:szCs w:val="21"/>
                    </w:rPr>
                  </w:pPr>
                  <w:r>
                    <w:rPr>
                      <w:rFonts w:hint="eastAsia"/>
                      <w:color w:val="auto"/>
                      <w:kern w:val="0"/>
                      <w:sz w:val="21"/>
                      <w:szCs w:val="21"/>
                    </w:rPr>
                    <w:t>烟尘（颗粒物）</w:t>
                  </w:r>
                </w:p>
              </w:tc>
              <w:tc>
                <w:tcPr>
                  <w:tcW w:w="1114" w:type="pct"/>
                  <w:vAlign w:val="center"/>
                </w:tcPr>
                <w:p w14:paraId="76B96292">
                  <w:pPr>
                    <w:adjustRightInd w:val="0"/>
                    <w:snapToGrid w:val="0"/>
                    <w:jc w:val="center"/>
                    <w:rPr>
                      <w:color w:val="auto"/>
                      <w:kern w:val="0"/>
                      <w:sz w:val="21"/>
                      <w:szCs w:val="21"/>
                    </w:rPr>
                  </w:pPr>
                  <w:r>
                    <w:rPr>
                      <w:rFonts w:hint="eastAsia"/>
                      <w:color w:val="auto"/>
                      <w:kern w:val="0"/>
                      <w:sz w:val="21"/>
                      <w:szCs w:val="21"/>
                    </w:rPr>
                    <w:t>产生量为0.046t</w:t>
                  </w:r>
                </w:p>
              </w:tc>
            </w:tr>
            <w:tr w14:paraId="7F36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55693E35">
                  <w:pPr>
                    <w:adjustRightInd w:val="0"/>
                    <w:snapToGrid w:val="0"/>
                    <w:jc w:val="center"/>
                    <w:rPr>
                      <w:color w:val="auto"/>
                      <w:kern w:val="0"/>
                      <w:sz w:val="21"/>
                      <w:szCs w:val="21"/>
                    </w:rPr>
                  </w:pPr>
                </w:p>
              </w:tc>
              <w:tc>
                <w:tcPr>
                  <w:tcW w:w="1542" w:type="pct"/>
                  <w:vAlign w:val="center"/>
                </w:tcPr>
                <w:p w14:paraId="418448A0">
                  <w:pPr>
                    <w:adjustRightInd w:val="0"/>
                    <w:snapToGrid w:val="0"/>
                    <w:jc w:val="center"/>
                    <w:rPr>
                      <w:color w:val="auto"/>
                      <w:kern w:val="0"/>
                      <w:sz w:val="21"/>
                      <w:szCs w:val="21"/>
                    </w:rPr>
                  </w:pPr>
                  <w:r>
                    <w:rPr>
                      <w:rFonts w:hint="eastAsia"/>
                      <w:color w:val="auto"/>
                      <w:kern w:val="0"/>
                      <w:sz w:val="21"/>
                      <w:szCs w:val="21"/>
                    </w:rPr>
                    <w:t>放喷废气</w:t>
                  </w:r>
                </w:p>
              </w:tc>
              <w:tc>
                <w:tcPr>
                  <w:tcW w:w="1188" w:type="pct"/>
                  <w:vAlign w:val="center"/>
                </w:tcPr>
                <w:p w14:paraId="0AE30602">
                  <w:pPr>
                    <w:adjustRightInd w:val="0"/>
                    <w:snapToGrid w:val="0"/>
                    <w:jc w:val="center"/>
                    <w:rPr>
                      <w:color w:val="auto"/>
                      <w:kern w:val="0"/>
                      <w:sz w:val="21"/>
                      <w:szCs w:val="21"/>
                    </w:rPr>
                  </w:pPr>
                  <w:r>
                    <w:rPr>
                      <w:rFonts w:hint="eastAsia"/>
                      <w:color w:val="auto"/>
                      <w:kern w:val="0"/>
                      <w:sz w:val="21"/>
                      <w:szCs w:val="21"/>
                    </w:rPr>
                    <w:t>/</w:t>
                  </w:r>
                </w:p>
              </w:tc>
              <w:tc>
                <w:tcPr>
                  <w:tcW w:w="1114" w:type="pct"/>
                  <w:vAlign w:val="center"/>
                </w:tcPr>
                <w:p w14:paraId="426A3313">
                  <w:pPr>
                    <w:adjustRightInd w:val="0"/>
                    <w:snapToGrid w:val="0"/>
                    <w:jc w:val="center"/>
                    <w:rPr>
                      <w:color w:val="auto"/>
                      <w:kern w:val="0"/>
                      <w:sz w:val="21"/>
                      <w:szCs w:val="21"/>
                    </w:rPr>
                  </w:pPr>
                  <w:r>
                    <w:rPr>
                      <w:rFonts w:hint="eastAsia"/>
                      <w:color w:val="auto"/>
                      <w:kern w:val="0"/>
                      <w:sz w:val="21"/>
                      <w:szCs w:val="21"/>
                    </w:rPr>
                    <w:t>/</w:t>
                  </w:r>
                </w:p>
              </w:tc>
            </w:tr>
            <w:tr w14:paraId="25A2F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4" w:type="pct"/>
                  <w:vMerge w:val="restart"/>
                  <w:vAlign w:val="center"/>
                </w:tcPr>
                <w:p w14:paraId="5BFC1A98">
                  <w:pPr>
                    <w:adjustRightInd w:val="0"/>
                    <w:snapToGrid w:val="0"/>
                    <w:jc w:val="center"/>
                    <w:rPr>
                      <w:color w:val="auto"/>
                      <w:kern w:val="0"/>
                      <w:sz w:val="21"/>
                      <w:szCs w:val="21"/>
                    </w:rPr>
                  </w:pPr>
                  <w:r>
                    <w:rPr>
                      <w:rFonts w:hint="eastAsia"/>
                      <w:color w:val="auto"/>
                      <w:kern w:val="0"/>
                      <w:sz w:val="21"/>
                      <w:szCs w:val="21"/>
                    </w:rPr>
                    <w:t>废水</w:t>
                  </w:r>
                </w:p>
              </w:tc>
              <w:tc>
                <w:tcPr>
                  <w:tcW w:w="1542" w:type="pct"/>
                  <w:vMerge w:val="restart"/>
                  <w:vAlign w:val="center"/>
                </w:tcPr>
                <w:p w14:paraId="71951FF1">
                  <w:pPr>
                    <w:adjustRightInd w:val="0"/>
                    <w:snapToGrid w:val="0"/>
                    <w:jc w:val="center"/>
                    <w:rPr>
                      <w:color w:val="auto"/>
                      <w:kern w:val="0"/>
                      <w:sz w:val="21"/>
                      <w:szCs w:val="21"/>
                    </w:rPr>
                  </w:pPr>
                  <w:r>
                    <w:rPr>
                      <w:rFonts w:hint="eastAsia"/>
                      <w:color w:val="auto"/>
                      <w:sz w:val="21"/>
                      <w:szCs w:val="21"/>
                    </w:rPr>
                    <w:t>钻井废水</w:t>
                  </w:r>
                </w:p>
              </w:tc>
              <w:tc>
                <w:tcPr>
                  <w:tcW w:w="1188" w:type="pct"/>
                  <w:vAlign w:val="center"/>
                </w:tcPr>
                <w:p w14:paraId="00F761E2">
                  <w:pPr>
                    <w:adjustRightInd w:val="0"/>
                    <w:snapToGrid w:val="0"/>
                    <w:jc w:val="center"/>
                    <w:rPr>
                      <w:color w:val="auto"/>
                      <w:kern w:val="0"/>
                      <w:sz w:val="21"/>
                      <w:szCs w:val="21"/>
                    </w:rPr>
                  </w:pPr>
                  <w:r>
                    <w:rPr>
                      <w:rFonts w:hint="eastAsia"/>
                      <w:color w:val="auto"/>
                      <w:kern w:val="0"/>
                      <w:sz w:val="21"/>
                      <w:szCs w:val="21"/>
                    </w:rPr>
                    <w:t>废水量</w:t>
                  </w:r>
                </w:p>
              </w:tc>
              <w:tc>
                <w:tcPr>
                  <w:tcW w:w="1114" w:type="pct"/>
                  <w:vAlign w:val="center"/>
                </w:tcPr>
                <w:p w14:paraId="2D72BBFF">
                  <w:pPr>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回用</w:t>
                  </w:r>
                </w:p>
              </w:tc>
            </w:tr>
            <w:tr w14:paraId="4A7E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4" w:type="pct"/>
                  <w:vMerge w:val="continue"/>
                  <w:vAlign w:val="center"/>
                </w:tcPr>
                <w:p w14:paraId="3147AD0E">
                  <w:pPr>
                    <w:adjustRightInd w:val="0"/>
                    <w:snapToGrid w:val="0"/>
                    <w:jc w:val="center"/>
                    <w:rPr>
                      <w:color w:val="auto"/>
                      <w:kern w:val="0"/>
                      <w:sz w:val="21"/>
                      <w:szCs w:val="21"/>
                    </w:rPr>
                  </w:pPr>
                </w:p>
              </w:tc>
              <w:tc>
                <w:tcPr>
                  <w:tcW w:w="1542" w:type="pct"/>
                  <w:vMerge w:val="restart"/>
                  <w:vAlign w:val="center"/>
                </w:tcPr>
                <w:p w14:paraId="25C6AD35">
                  <w:pPr>
                    <w:adjustRightInd w:val="0"/>
                    <w:snapToGrid w:val="0"/>
                    <w:jc w:val="center"/>
                    <w:rPr>
                      <w:color w:val="auto"/>
                      <w:kern w:val="0"/>
                      <w:sz w:val="21"/>
                      <w:szCs w:val="21"/>
                    </w:rPr>
                  </w:pPr>
                  <w:r>
                    <w:rPr>
                      <w:rFonts w:hint="eastAsia"/>
                      <w:color w:val="auto"/>
                      <w:sz w:val="21"/>
                      <w:szCs w:val="21"/>
                    </w:rPr>
                    <w:t>场区雨水</w:t>
                  </w:r>
                </w:p>
              </w:tc>
              <w:tc>
                <w:tcPr>
                  <w:tcW w:w="1188" w:type="pct"/>
                  <w:vAlign w:val="center"/>
                </w:tcPr>
                <w:p w14:paraId="51EF89CB">
                  <w:pPr>
                    <w:adjustRightInd w:val="0"/>
                    <w:snapToGrid w:val="0"/>
                    <w:jc w:val="center"/>
                    <w:rPr>
                      <w:color w:val="auto"/>
                      <w:kern w:val="0"/>
                      <w:sz w:val="21"/>
                      <w:szCs w:val="21"/>
                    </w:rPr>
                  </w:pPr>
                  <w:r>
                    <w:rPr>
                      <w:rFonts w:hint="eastAsia"/>
                      <w:color w:val="auto"/>
                      <w:kern w:val="0"/>
                      <w:sz w:val="21"/>
                      <w:szCs w:val="21"/>
                    </w:rPr>
                    <w:t>雨水量</w:t>
                  </w:r>
                </w:p>
              </w:tc>
              <w:tc>
                <w:tcPr>
                  <w:tcW w:w="1114" w:type="pct"/>
                  <w:vAlign w:val="center"/>
                </w:tcPr>
                <w:p w14:paraId="6D860BC8">
                  <w:pPr>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回用</w:t>
                  </w:r>
                </w:p>
              </w:tc>
            </w:tr>
            <w:tr w14:paraId="467C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54" w:type="pct"/>
                  <w:vMerge w:val="continue"/>
                  <w:vAlign w:val="center"/>
                </w:tcPr>
                <w:p w14:paraId="1919ECE6">
                  <w:pPr>
                    <w:adjustRightInd w:val="0"/>
                    <w:snapToGrid w:val="0"/>
                    <w:jc w:val="center"/>
                    <w:rPr>
                      <w:color w:val="auto"/>
                      <w:kern w:val="0"/>
                      <w:sz w:val="21"/>
                      <w:szCs w:val="21"/>
                    </w:rPr>
                  </w:pPr>
                </w:p>
              </w:tc>
              <w:tc>
                <w:tcPr>
                  <w:tcW w:w="1542" w:type="pct"/>
                  <w:vMerge w:val="restart"/>
                  <w:vAlign w:val="center"/>
                </w:tcPr>
                <w:p w14:paraId="12A1F45F">
                  <w:pPr>
                    <w:adjustRightInd w:val="0"/>
                    <w:snapToGrid w:val="0"/>
                    <w:jc w:val="center"/>
                    <w:rPr>
                      <w:color w:val="auto"/>
                      <w:kern w:val="0"/>
                      <w:sz w:val="21"/>
                      <w:szCs w:val="21"/>
                    </w:rPr>
                  </w:pPr>
                  <w:r>
                    <w:rPr>
                      <w:rFonts w:hint="eastAsia"/>
                      <w:color w:val="auto"/>
                      <w:sz w:val="21"/>
                      <w:szCs w:val="21"/>
                    </w:rPr>
                    <w:t>生活污水</w:t>
                  </w:r>
                </w:p>
              </w:tc>
              <w:tc>
                <w:tcPr>
                  <w:tcW w:w="1188" w:type="pct"/>
                  <w:vAlign w:val="center"/>
                </w:tcPr>
                <w:p w14:paraId="6A28988E">
                  <w:pPr>
                    <w:adjustRightInd w:val="0"/>
                    <w:snapToGrid w:val="0"/>
                    <w:jc w:val="center"/>
                    <w:rPr>
                      <w:color w:val="auto"/>
                      <w:kern w:val="0"/>
                      <w:sz w:val="21"/>
                      <w:szCs w:val="21"/>
                    </w:rPr>
                  </w:pPr>
                  <w:r>
                    <w:rPr>
                      <w:rFonts w:hint="eastAsia"/>
                      <w:color w:val="auto"/>
                      <w:kern w:val="0"/>
                      <w:sz w:val="21"/>
                      <w:szCs w:val="21"/>
                    </w:rPr>
                    <w:t>废水量</w:t>
                  </w:r>
                </w:p>
              </w:tc>
              <w:tc>
                <w:tcPr>
                  <w:tcW w:w="1114" w:type="pct"/>
                  <w:vAlign w:val="center"/>
                </w:tcPr>
                <w:p w14:paraId="32717AB2">
                  <w:pPr>
                    <w:adjustRightInd w:val="0"/>
                    <w:snapToGrid w:val="0"/>
                    <w:jc w:val="center"/>
                    <w:rPr>
                      <w:rFonts w:hint="eastAsia" w:eastAsia="宋体"/>
                      <w:color w:val="auto"/>
                      <w:kern w:val="0"/>
                      <w:sz w:val="21"/>
                      <w:szCs w:val="21"/>
                      <w:lang w:eastAsia="zh-CN"/>
                    </w:rPr>
                  </w:pPr>
                  <w:r>
                    <w:rPr>
                      <w:rFonts w:hint="eastAsia"/>
                      <w:color w:val="auto"/>
                      <w:kern w:val="0"/>
                      <w:sz w:val="21"/>
                      <w:szCs w:val="21"/>
                      <w:lang w:val="en-US" w:eastAsia="zh-CN"/>
                    </w:rPr>
                    <w:t>回用</w:t>
                  </w:r>
                </w:p>
              </w:tc>
            </w:tr>
            <w:tr w14:paraId="3C7F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restart"/>
                  <w:vAlign w:val="center"/>
                </w:tcPr>
                <w:p w14:paraId="36E3E52D">
                  <w:pPr>
                    <w:adjustRightInd w:val="0"/>
                    <w:snapToGrid w:val="0"/>
                    <w:jc w:val="center"/>
                    <w:rPr>
                      <w:color w:val="auto"/>
                      <w:kern w:val="0"/>
                      <w:sz w:val="21"/>
                      <w:szCs w:val="21"/>
                    </w:rPr>
                  </w:pPr>
                  <w:r>
                    <w:rPr>
                      <w:rFonts w:hint="eastAsia"/>
                      <w:color w:val="auto"/>
                      <w:kern w:val="0"/>
                      <w:sz w:val="21"/>
                      <w:szCs w:val="21"/>
                    </w:rPr>
                    <w:t>固体废物</w:t>
                  </w:r>
                </w:p>
              </w:tc>
              <w:tc>
                <w:tcPr>
                  <w:tcW w:w="1542" w:type="pct"/>
                  <w:vMerge w:val="restart"/>
                  <w:vAlign w:val="center"/>
                </w:tcPr>
                <w:p w14:paraId="5FDBCD88">
                  <w:pPr>
                    <w:adjustRightInd w:val="0"/>
                    <w:snapToGrid w:val="0"/>
                    <w:jc w:val="center"/>
                    <w:rPr>
                      <w:color w:val="auto"/>
                      <w:kern w:val="0"/>
                      <w:sz w:val="21"/>
                      <w:szCs w:val="21"/>
                    </w:rPr>
                  </w:pPr>
                  <w:r>
                    <w:rPr>
                      <w:color w:val="auto"/>
                      <w:kern w:val="0"/>
                      <w:sz w:val="21"/>
                      <w:szCs w:val="21"/>
                    </w:rPr>
                    <w:t>一般工业固体废物</w:t>
                  </w:r>
                </w:p>
              </w:tc>
              <w:tc>
                <w:tcPr>
                  <w:tcW w:w="1188" w:type="pct"/>
                  <w:vAlign w:val="center"/>
                </w:tcPr>
                <w:p w14:paraId="0E68C09D">
                  <w:pPr>
                    <w:adjustRightInd w:val="0"/>
                    <w:snapToGrid w:val="0"/>
                    <w:jc w:val="center"/>
                    <w:rPr>
                      <w:color w:val="auto"/>
                      <w:kern w:val="0"/>
                      <w:sz w:val="21"/>
                      <w:szCs w:val="21"/>
                    </w:rPr>
                  </w:pPr>
                  <w:r>
                    <w:rPr>
                      <w:rFonts w:hint="eastAsia"/>
                      <w:color w:val="auto"/>
                      <w:sz w:val="21"/>
                      <w:szCs w:val="21"/>
                    </w:rPr>
                    <w:t>钻井岩屑</w:t>
                  </w:r>
                </w:p>
              </w:tc>
              <w:tc>
                <w:tcPr>
                  <w:tcW w:w="1114" w:type="pct"/>
                  <w:shd w:val="clear" w:color="auto" w:fill="auto"/>
                  <w:vAlign w:val="center"/>
                </w:tcPr>
                <w:p w14:paraId="63B1F138">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169.26t</w:t>
                  </w:r>
                </w:p>
              </w:tc>
            </w:tr>
            <w:tr w14:paraId="6FC0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0F26AA4A">
                  <w:pPr>
                    <w:adjustRightInd w:val="0"/>
                    <w:snapToGrid w:val="0"/>
                    <w:jc w:val="center"/>
                    <w:rPr>
                      <w:color w:val="auto"/>
                      <w:kern w:val="0"/>
                      <w:sz w:val="21"/>
                      <w:szCs w:val="21"/>
                    </w:rPr>
                  </w:pPr>
                </w:p>
              </w:tc>
              <w:tc>
                <w:tcPr>
                  <w:tcW w:w="1542" w:type="pct"/>
                  <w:vMerge w:val="continue"/>
                  <w:vAlign w:val="center"/>
                </w:tcPr>
                <w:p w14:paraId="595F9F04">
                  <w:pPr>
                    <w:adjustRightInd w:val="0"/>
                    <w:snapToGrid w:val="0"/>
                    <w:jc w:val="center"/>
                    <w:rPr>
                      <w:color w:val="auto"/>
                      <w:kern w:val="0"/>
                      <w:sz w:val="21"/>
                      <w:szCs w:val="21"/>
                    </w:rPr>
                  </w:pPr>
                </w:p>
              </w:tc>
              <w:tc>
                <w:tcPr>
                  <w:tcW w:w="1188" w:type="pct"/>
                  <w:vAlign w:val="center"/>
                </w:tcPr>
                <w:p w14:paraId="446436E4">
                  <w:pPr>
                    <w:adjustRightInd w:val="0"/>
                    <w:snapToGrid w:val="0"/>
                    <w:jc w:val="center"/>
                    <w:rPr>
                      <w:color w:val="auto"/>
                      <w:kern w:val="0"/>
                      <w:sz w:val="21"/>
                      <w:szCs w:val="21"/>
                    </w:rPr>
                  </w:pPr>
                  <w:r>
                    <w:rPr>
                      <w:rFonts w:hint="eastAsia"/>
                      <w:color w:val="auto"/>
                      <w:sz w:val="21"/>
                      <w:szCs w:val="21"/>
                    </w:rPr>
                    <w:t>废弃泥浆</w:t>
                  </w:r>
                </w:p>
              </w:tc>
              <w:tc>
                <w:tcPr>
                  <w:tcW w:w="1114" w:type="pct"/>
                  <w:shd w:val="clear" w:color="auto" w:fill="auto"/>
                  <w:vAlign w:val="center"/>
                </w:tcPr>
                <w:p w14:paraId="539AABE2">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11.53t</w:t>
                  </w:r>
                </w:p>
              </w:tc>
            </w:tr>
            <w:tr w14:paraId="63ECE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54C064B0">
                  <w:pPr>
                    <w:adjustRightInd w:val="0"/>
                    <w:snapToGrid w:val="0"/>
                    <w:jc w:val="center"/>
                    <w:rPr>
                      <w:color w:val="auto"/>
                      <w:kern w:val="0"/>
                      <w:sz w:val="21"/>
                      <w:szCs w:val="21"/>
                    </w:rPr>
                  </w:pPr>
                </w:p>
              </w:tc>
              <w:tc>
                <w:tcPr>
                  <w:tcW w:w="1542" w:type="pct"/>
                  <w:vMerge w:val="continue"/>
                  <w:vAlign w:val="center"/>
                </w:tcPr>
                <w:p w14:paraId="73E389E1">
                  <w:pPr>
                    <w:adjustRightInd w:val="0"/>
                    <w:snapToGrid w:val="0"/>
                    <w:jc w:val="center"/>
                    <w:rPr>
                      <w:color w:val="auto"/>
                      <w:sz w:val="21"/>
                      <w:szCs w:val="21"/>
                    </w:rPr>
                  </w:pPr>
                </w:p>
              </w:tc>
              <w:tc>
                <w:tcPr>
                  <w:tcW w:w="1188" w:type="pct"/>
                  <w:vAlign w:val="center"/>
                </w:tcPr>
                <w:p w14:paraId="7B2D63B0">
                  <w:pPr>
                    <w:adjustRightInd w:val="0"/>
                    <w:snapToGrid w:val="0"/>
                    <w:jc w:val="center"/>
                    <w:rPr>
                      <w:color w:val="auto"/>
                      <w:kern w:val="0"/>
                      <w:sz w:val="21"/>
                      <w:szCs w:val="21"/>
                    </w:rPr>
                  </w:pPr>
                  <w:r>
                    <w:rPr>
                      <w:rFonts w:hint="eastAsia"/>
                      <w:color w:val="auto"/>
                      <w:sz w:val="21"/>
                      <w:szCs w:val="21"/>
                    </w:rPr>
                    <w:t>废包装材料</w:t>
                  </w:r>
                </w:p>
              </w:tc>
              <w:tc>
                <w:tcPr>
                  <w:tcW w:w="1114" w:type="pct"/>
                  <w:shd w:val="clear" w:color="auto" w:fill="auto"/>
                  <w:vAlign w:val="center"/>
                </w:tcPr>
                <w:p w14:paraId="175646F5">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0.8t</w:t>
                  </w:r>
                </w:p>
              </w:tc>
            </w:tr>
            <w:tr w14:paraId="7EA6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136A13A1">
                  <w:pPr>
                    <w:adjustRightInd w:val="0"/>
                    <w:snapToGrid w:val="0"/>
                    <w:jc w:val="center"/>
                    <w:rPr>
                      <w:color w:val="auto"/>
                      <w:kern w:val="0"/>
                      <w:sz w:val="21"/>
                      <w:szCs w:val="21"/>
                    </w:rPr>
                  </w:pPr>
                </w:p>
              </w:tc>
              <w:tc>
                <w:tcPr>
                  <w:tcW w:w="1542" w:type="pct"/>
                  <w:vAlign w:val="center"/>
                </w:tcPr>
                <w:p w14:paraId="677FCD65">
                  <w:pPr>
                    <w:adjustRightInd w:val="0"/>
                    <w:snapToGrid w:val="0"/>
                    <w:jc w:val="center"/>
                    <w:rPr>
                      <w:color w:val="auto"/>
                      <w:sz w:val="21"/>
                      <w:szCs w:val="21"/>
                    </w:rPr>
                  </w:pPr>
                  <w:r>
                    <w:rPr>
                      <w:rFonts w:hint="eastAsia"/>
                      <w:color w:val="auto"/>
                      <w:sz w:val="21"/>
                      <w:szCs w:val="21"/>
                    </w:rPr>
                    <w:t>生活垃圾</w:t>
                  </w:r>
                </w:p>
              </w:tc>
              <w:tc>
                <w:tcPr>
                  <w:tcW w:w="1188" w:type="pct"/>
                  <w:vAlign w:val="center"/>
                </w:tcPr>
                <w:p w14:paraId="2CF78797">
                  <w:pPr>
                    <w:adjustRightInd w:val="0"/>
                    <w:snapToGrid w:val="0"/>
                    <w:jc w:val="center"/>
                    <w:rPr>
                      <w:color w:val="auto"/>
                      <w:kern w:val="0"/>
                      <w:sz w:val="21"/>
                      <w:szCs w:val="21"/>
                    </w:rPr>
                  </w:pPr>
                  <w:r>
                    <w:rPr>
                      <w:rFonts w:hint="eastAsia"/>
                      <w:color w:val="auto"/>
                      <w:sz w:val="21"/>
                      <w:szCs w:val="21"/>
                    </w:rPr>
                    <w:t>生活垃圾</w:t>
                  </w:r>
                </w:p>
              </w:tc>
              <w:tc>
                <w:tcPr>
                  <w:tcW w:w="1114" w:type="pct"/>
                  <w:shd w:val="clear" w:color="auto" w:fill="auto"/>
                  <w:vAlign w:val="center"/>
                </w:tcPr>
                <w:p w14:paraId="2F1974E9">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1.6t</w:t>
                  </w:r>
                </w:p>
              </w:tc>
            </w:tr>
            <w:tr w14:paraId="208F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64C4481F">
                  <w:pPr>
                    <w:adjustRightInd w:val="0"/>
                    <w:snapToGrid w:val="0"/>
                    <w:jc w:val="center"/>
                    <w:rPr>
                      <w:color w:val="auto"/>
                      <w:kern w:val="0"/>
                      <w:sz w:val="21"/>
                      <w:szCs w:val="21"/>
                    </w:rPr>
                  </w:pPr>
                </w:p>
              </w:tc>
              <w:tc>
                <w:tcPr>
                  <w:tcW w:w="1542" w:type="pct"/>
                  <w:vMerge w:val="restart"/>
                  <w:vAlign w:val="center"/>
                </w:tcPr>
                <w:p w14:paraId="590FBABB">
                  <w:pPr>
                    <w:adjustRightInd w:val="0"/>
                    <w:snapToGrid w:val="0"/>
                    <w:jc w:val="center"/>
                    <w:rPr>
                      <w:color w:val="auto"/>
                      <w:sz w:val="21"/>
                      <w:szCs w:val="21"/>
                    </w:rPr>
                  </w:pPr>
                  <w:r>
                    <w:rPr>
                      <w:rFonts w:hint="eastAsia"/>
                      <w:color w:val="auto"/>
                      <w:sz w:val="21"/>
                      <w:szCs w:val="21"/>
                    </w:rPr>
                    <w:t>危险废物</w:t>
                  </w:r>
                </w:p>
              </w:tc>
              <w:tc>
                <w:tcPr>
                  <w:tcW w:w="1188" w:type="pct"/>
                  <w:vAlign w:val="center"/>
                </w:tcPr>
                <w:p w14:paraId="4B7B803C">
                  <w:pPr>
                    <w:adjustRightInd w:val="0"/>
                    <w:snapToGrid w:val="0"/>
                    <w:jc w:val="center"/>
                    <w:rPr>
                      <w:color w:val="auto"/>
                      <w:kern w:val="0"/>
                      <w:sz w:val="21"/>
                      <w:szCs w:val="21"/>
                    </w:rPr>
                  </w:pPr>
                  <w:r>
                    <w:rPr>
                      <w:rFonts w:hint="eastAsia"/>
                      <w:color w:val="auto"/>
                      <w:sz w:val="21"/>
                      <w:szCs w:val="21"/>
                    </w:rPr>
                    <w:t>废机油</w:t>
                  </w:r>
                </w:p>
              </w:tc>
              <w:tc>
                <w:tcPr>
                  <w:tcW w:w="1114" w:type="pct"/>
                  <w:shd w:val="clear" w:color="auto" w:fill="auto"/>
                  <w:vAlign w:val="center"/>
                </w:tcPr>
                <w:p w14:paraId="5BF351A4">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0.2t</w:t>
                  </w:r>
                </w:p>
              </w:tc>
            </w:tr>
            <w:tr w14:paraId="52FDF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4B339B9A">
                  <w:pPr>
                    <w:adjustRightInd w:val="0"/>
                    <w:snapToGrid w:val="0"/>
                    <w:jc w:val="center"/>
                    <w:rPr>
                      <w:color w:val="auto"/>
                      <w:kern w:val="0"/>
                      <w:sz w:val="21"/>
                      <w:szCs w:val="21"/>
                    </w:rPr>
                  </w:pPr>
                </w:p>
              </w:tc>
              <w:tc>
                <w:tcPr>
                  <w:tcW w:w="1542" w:type="pct"/>
                  <w:vMerge w:val="continue"/>
                  <w:vAlign w:val="center"/>
                </w:tcPr>
                <w:p w14:paraId="15E53991">
                  <w:pPr>
                    <w:adjustRightInd w:val="0"/>
                    <w:snapToGrid w:val="0"/>
                    <w:jc w:val="center"/>
                    <w:rPr>
                      <w:color w:val="auto"/>
                      <w:sz w:val="21"/>
                      <w:szCs w:val="21"/>
                    </w:rPr>
                  </w:pPr>
                </w:p>
              </w:tc>
              <w:tc>
                <w:tcPr>
                  <w:tcW w:w="1188" w:type="pct"/>
                  <w:vAlign w:val="center"/>
                </w:tcPr>
                <w:p w14:paraId="15DE2241">
                  <w:pPr>
                    <w:adjustRightInd w:val="0"/>
                    <w:snapToGrid w:val="0"/>
                    <w:jc w:val="center"/>
                    <w:rPr>
                      <w:color w:val="auto"/>
                      <w:kern w:val="0"/>
                      <w:sz w:val="21"/>
                      <w:szCs w:val="21"/>
                    </w:rPr>
                  </w:pPr>
                  <w:r>
                    <w:rPr>
                      <w:rFonts w:hint="eastAsia"/>
                      <w:color w:val="auto"/>
                      <w:sz w:val="21"/>
                      <w:szCs w:val="21"/>
                    </w:rPr>
                    <w:t>含油抹布</w:t>
                  </w:r>
                </w:p>
              </w:tc>
              <w:tc>
                <w:tcPr>
                  <w:tcW w:w="1114" w:type="pct"/>
                  <w:shd w:val="clear" w:color="auto" w:fill="auto"/>
                  <w:vAlign w:val="center"/>
                </w:tcPr>
                <w:p w14:paraId="05D4E265">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0.02t</w:t>
                  </w:r>
                </w:p>
              </w:tc>
            </w:tr>
            <w:tr w14:paraId="6E0C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54" w:type="pct"/>
                  <w:vMerge w:val="continue"/>
                  <w:vAlign w:val="center"/>
                </w:tcPr>
                <w:p w14:paraId="748BA0ED">
                  <w:pPr>
                    <w:adjustRightInd w:val="0"/>
                    <w:snapToGrid w:val="0"/>
                    <w:jc w:val="center"/>
                    <w:rPr>
                      <w:color w:val="auto"/>
                      <w:kern w:val="0"/>
                      <w:sz w:val="21"/>
                      <w:szCs w:val="21"/>
                    </w:rPr>
                  </w:pPr>
                </w:p>
              </w:tc>
              <w:tc>
                <w:tcPr>
                  <w:tcW w:w="1542" w:type="pct"/>
                  <w:vMerge w:val="continue"/>
                  <w:vAlign w:val="center"/>
                </w:tcPr>
                <w:p w14:paraId="2BA99A1C">
                  <w:pPr>
                    <w:adjustRightInd w:val="0"/>
                    <w:snapToGrid w:val="0"/>
                    <w:jc w:val="center"/>
                    <w:rPr>
                      <w:color w:val="auto"/>
                      <w:sz w:val="21"/>
                      <w:szCs w:val="21"/>
                    </w:rPr>
                  </w:pPr>
                </w:p>
              </w:tc>
              <w:tc>
                <w:tcPr>
                  <w:tcW w:w="1188" w:type="pct"/>
                  <w:vAlign w:val="center"/>
                </w:tcPr>
                <w:p w14:paraId="248A014F">
                  <w:pPr>
                    <w:adjustRightInd w:val="0"/>
                    <w:snapToGrid w:val="0"/>
                    <w:jc w:val="center"/>
                    <w:rPr>
                      <w:color w:val="auto"/>
                      <w:kern w:val="0"/>
                      <w:sz w:val="21"/>
                      <w:szCs w:val="21"/>
                    </w:rPr>
                  </w:pPr>
                  <w:r>
                    <w:rPr>
                      <w:rFonts w:hint="eastAsia"/>
                      <w:color w:val="auto"/>
                      <w:sz w:val="21"/>
                      <w:szCs w:val="21"/>
                    </w:rPr>
                    <w:t>废油桶</w:t>
                  </w:r>
                </w:p>
              </w:tc>
              <w:tc>
                <w:tcPr>
                  <w:tcW w:w="1114" w:type="pct"/>
                  <w:shd w:val="clear" w:color="auto" w:fill="auto"/>
                  <w:vAlign w:val="center"/>
                </w:tcPr>
                <w:p w14:paraId="5D610512">
                  <w:pPr>
                    <w:adjustRightInd w:val="0"/>
                    <w:snapToGrid w:val="0"/>
                    <w:jc w:val="center"/>
                    <w:rPr>
                      <w:rFonts w:cs="宋体"/>
                      <w:color w:val="auto"/>
                      <w:sz w:val="21"/>
                      <w:szCs w:val="21"/>
                    </w:rPr>
                  </w:pPr>
                  <w:r>
                    <w:rPr>
                      <w:rFonts w:hint="eastAsia"/>
                      <w:color w:val="auto"/>
                      <w:kern w:val="0"/>
                      <w:sz w:val="21"/>
                      <w:szCs w:val="21"/>
                    </w:rPr>
                    <w:t>产生量为</w:t>
                  </w:r>
                  <w:r>
                    <w:rPr>
                      <w:rFonts w:hint="eastAsia" w:cs="宋体"/>
                      <w:color w:val="auto"/>
                      <w:sz w:val="21"/>
                      <w:szCs w:val="21"/>
                    </w:rPr>
                    <w:t>0.1t</w:t>
                  </w:r>
                </w:p>
              </w:tc>
            </w:tr>
          </w:tbl>
          <w:p w14:paraId="08E9A5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rPr>
            </w:pPr>
            <w:r>
              <w:rPr>
                <w:rFonts w:hint="eastAsia"/>
                <w:b/>
                <w:bCs/>
                <w:lang w:val="en-US" w:eastAsia="zh-CN"/>
              </w:rPr>
              <w:t>4、</w:t>
            </w:r>
            <w:r>
              <w:rPr>
                <w:rFonts w:hint="eastAsia"/>
                <w:b/>
                <w:bCs/>
              </w:rPr>
              <w:t>现有环境问题</w:t>
            </w:r>
            <w:r>
              <w:rPr>
                <w:rFonts w:hint="eastAsia"/>
                <w:b/>
                <w:bCs/>
                <w:lang w:val="en-US" w:eastAsia="zh-CN"/>
              </w:rPr>
              <w:t>与解决措施</w:t>
            </w:r>
          </w:p>
          <w:p w14:paraId="68E684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4.1现有环境问题</w:t>
            </w:r>
          </w:p>
          <w:p w14:paraId="61BB1E1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rPr>
              <w:t>柴油储罐地面</w:t>
            </w:r>
            <w:r>
              <w:rPr>
                <w:rFonts w:hint="eastAsia"/>
                <w:lang w:val="en-US" w:eastAsia="zh-CN"/>
              </w:rPr>
              <w:t>未</w:t>
            </w:r>
            <w:r>
              <w:rPr>
                <w:rFonts w:hint="eastAsia"/>
              </w:rPr>
              <w:t>做硬化，罐底</w:t>
            </w:r>
            <w:r>
              <w:rPr>
                <w:rFonts w:hint="eastAsia"/>
                <w:lang w:val="en-US" w:eastAsia="zh-CN"/>
              </w:rPr>
              <w:t>未</w:t>
            </w:r>
            <w:r>
              <w:rPr>
                <w:rFonts w:hint="eastAsia"/>
              </w:rPr>
              <w:t>设置防渗膜，柴油储罐</w:t>
            </w:r>
            <w:r>
              <w:rPr>
                <w:rFonts w:hint="eastAsia"/>
                <w:lang w:val="en-US" w:eastAsia="zh-CN"/>
              </w:rPr>
              <w:t>区周围没有</w:t>
            </w:r>
            <w:r>
              <w:rPr>
                <w:rFonts w:hint="eastAsia"/>
              </w:rPr>
              <w:t>设置围堰</w:t>
            </w:r>
            <w:r>
              <w:rPr>
                <w:rFonts w:hint="eastAsia"/>
                <w:lang w:eastAsia="zh-CN"/>
              </w:rPr>
              <w:t>。</w:t>
            </w:r>
          </w:p>
          <w:p w14:paraId="3016C6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4.2解决措施</w:t>
            </w:r>
          </w:p>
          <w:p w14:paraId="78AC3A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pPr>
            <w:r>
              <w:rPr>
                <w:rFonts w:hint="eastAsia"/>
              </w:rPr>
              <w:t>对柴油储罐地面做硬化，同时在罐底设置防渗膜，并且在储罐</w:t>
            </w:r>
            <w:r>
              <w:rPr>
                <w:rFonts w:hint="eastAsia"/>
                <w:lang w:val="en-US" w:eastAsia="zh-CN"/>
              </w:rPr>
              <w:t>区</w:t>
            </w:r>
            <w:r>
              <w:rPr>
                <w:rFonts w:hint="eastAsia"/>
              </w:rPr>
              <w:t>四周设置围堰。</w:t>
            </w:r>
          </w:p>
          <w:p w14:paraId="6EED1FE3">
            <w:pPr>
              <w:pStyle w:val="17"/>
              <w:ind w:firstLine="240"/>
              <w:rPr>
                <w:color w:val="auto"/>
              </w:rPr>
            </w:pPr>
          </w:p>
        </w:tc>
      </w:tr>
      <w:tr w14:paraId="12764C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35" w:hRule="atLeast"/>
          <w:jc w:val="center"/>
        </w:trPr>
        <w:tc>
          <w:tcPr>
            <w:tcW w:w="894" w:type="dxa"/>
            <w:vAlign w:val="center"/>
          </w:tcPr>
          <w:p w14:paraId="6243D1BD">
            <w:pPr>
              <w:adjustRightInd w:val="0"/>
              <w:snapToGrid w:val="0"/>
              <w:jc w:val="center"/>
              <w:rPr>
                <w:rFonts w:ascii="宋体" w:hAnsi="宋体" w:cs="宋体"/>
                <w:color w:val="auto"/>
                <w:kern w:val="0"/>
                <w:szCs w:val="21"/>
              </w:rPr>
            </w:pPr>
            <w:r>
              <w:rPr>
                <w:rFonts w:hint="eastAsia" w:ascii="宋体" w:hAnsi="宋体" w:cs="宋体"/>
                <w:color w:val="auto"/>
                <w:kern w:val="0"/>
                <w:szCs w:val="21"/>
              </w:rPr>
              <w:t>生态环境保护目标</w:t>
            </w:r>
          </w:p>
        </w:tc>
        <w:tc>
          <w:tcPr>
            <w:tcW w:w="8263" w:type="dxa"/>
            <w:vAlign w:val="center"/>
          </w:tcPr>
          <w:p w14:paraId="5ED22D3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bCs/>
                <w:lang w:val="en-US" w:eastAsia="zh-CN"/>
              </w:rPr>
            </w:pPr>
            <w:r>
              <w:rPr>
                <w:rFonts w:hint="eastAsia"/>
                <w:b/>
                <w:bCs/>
                <w:lang w:val="en-US" w:eastAsia="zh-CN"/>
              </w:rPr>
              <w:t>1、生态环境保护目标</w:t>
            </w:r>
          </w:p>
          <w:p w14:paraId="401D1329">
            <w:pPr>
              <w:spacing w:line="360" w:lineRule="auto"/>
              <w:ind w:firstLine="480" w:firstLineChars="200"/>
              <w:rPr>
                <w:color w:val="auto"/>
              </w:rPr>
            </w:pPr>
            <w:r>
              <w:rPr>
                <w:rFonts w:hint="eastAsia"/>
                <w:color w:val="auto"/>
              </w:rPr>
              <w:t>参照《环境影响评价技术导则 陆地石油天然气开发建设项目》（HJ 349-2023），本次调查范围为项目占地及外扩50m的区域，本项目工程占地及评价范围不涉及生态红线、自然保护区、风景名胜区、饮用水源保护区、森林公园、地质公园、重要湿地、原始天然林、珍稀濒危野生动植物天然集中分布区等环境敏感区，亦未发现珍稀野生动植物及其他受保护的物种，项目评价范围无生态保护目标。</w:t>
            </w:r>
          </w:p>
          <w:p w14:paraId="3674DB9F">
            <w:pPr>
              <w:spacing w:line="360" w:lineRule="auto"/>
              <w:rPr>
                <w:b/>
                <w:bCs/>
                <w:color w:val="auto"/>
              </w:rPr>
            </w:pPr>
            <w:r>
              <w:rPr>
                <w:rFonts w:hint="eastAsia"/>
                <w:b/>
                <w:bCs/>
                <w:color w:val="auto"/>
              </w:rPr>
              <w:t>2、大气环境保护目标</w:t>
            </w:r>
          </w:p>
          <w:p w14:paraId="3C1A206E">
            <w:pPr>
              <w:spacing w:line="360" w:lineRule="auto"/>
              <w:ind w:firstLine="480" w:firstLineChars="200"/>
              <w:rPr>
                <w:color w:val="auto"/>
              </w:rPr>
            </w:pPr>
            <w:r>
              <w:rPr>
                <w:rFonts w:hint="eastAsia"/>
                <w:color w:val="auto"/>
              </w:rPr>
              <w:t>参照《建设项目环境影响报告表编制技术指南（污染影响类）（试行）》，本次评价范围为项目周边500m范围内的大气环境保护目标，根据调查，本项目主要保护目标为南面80m处伏虎华侨农场二队，大气环境保护目标见下表。</w:t>
            </w:r>
          </w:p>
          <w:p w14:paraId="515AE23E">
            <w:pPr>
              <w:spacing w:line="360" w:lineRule="auto"/>
              <w:jc w:val="center"/>
              <w:rPr>
                <w:b/>
                <w:bCs/>
                <w:color w:val="auto"/>
              </w:rPr>
            </w:pPr>
            <w:r>
              <w:rPr>
                <w:rFonts w:hint="eastAsia"/>
                <w:b/>
                <w:bCs/>
                <w:color w:val="auto"/>
              </w:rPr>
              <w:t>表3-</w:t>
            </w:r>
            <w:r>
              <w:rPr>
                <w:b/>
                <w:bCs/>
                <w:color w:val="auto"/>
              </w:rPr>
              <w:t>7</w:t>
            </w:r>
            <w:r>
              <w:rPr>
                <w:rFonts w:hint="eastAsia"/>
                <w:b/>
                <w:bCs/>
                <w:color w:val="auto"/>
              </w:rPr>
              <w:t xml:space="preserve"> </w:t>
            </w:r>
            <w:r>
              <w:rPr>
                <w:b/>
                <w:bCs/>
                <w:color w:val="auto"/>
              </w:rPr>
              <w:t>项目周边大气环境保护目标</w:t>
            </w:r>
          </w:p>
          <w:tbl>
            <w:tblPr>
              <w:tblStyle w:val="2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707"/>
              <w:gridCol w:w="978"/>
              <w:gridCol w:w="624"/>
              <w:gridCol w:w="978"/>
              <w:gridCol w:w="1161"/>
              <w:gridCol w:w="611"/>
              <w:gridCol w:w="1367"/>
            </w:tblGrid>
            <w:tr w14:paraId="68F19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vAlign w:val="center"/>
                </w:tcPr>
                <w:p w14:paraId="26A64CE7">
                  <w:pPr>
                    <w:jc w:val="center"/>
                    <w:rPr>
                      <w:b/>
                      <w:bCs/>
                      <w:color w:val="auto"/>
                      <w:sz w:val="21"/>
                      <w:szCs w:val="21"/>
                    </w:rPr>
                  </w:pPr>
                  <w:r>
                    <w:rPr>
                      <w:rFonts w:hint="eastAsia"/>
                      <w:b/>
                      <w:bCs/>
                      <w:color w:val="auto"/>
                      <w:sz w:val="21"/>
                      <w:szCs w:val="21"/>
                    </w:rPr>
                    <w:t>序号</w:t>
                  </w:r>
                </w:p>
              </w:tc>
              <w:tc>
                <w:tcPr>
                  <w:tcW w:w="1061" w:type="pct"/>
                  <w:vAlign w:val="center"/>
                </w:tcPr>
                <w:p w14:paraId="54E0EE5E">
                  <w:pPr>
                    <w:jc w:val="center"/>
                    <w:rPr>
                      <w:b/>
                      <w:bCs/>
                      <w:color w:val="auto"/>
                      <w:sz w:val="21"/>
                      <w:szCs w:val="21"/>
                    </w:rPr>
                  </w:pPr>
                  <w:r>
                    <w:rPr>
                      <w:rFonts w:hint="eastAsia"/>
                      <w:b/>
                      <w:bCs/>
                      <w:color w:val="auto"/>
                      <w:sz w:val="21"/>
                      <w:szCs w:val="21"/>
                    </w:rPr>
                    <w:t>名称</w:t>
                  </w:r>
                </w:p>
              </w:tc>
              <w:tc>
                <w:tcPr>
                  <w:tcW w:w="608" w:type="pct"/>
                  <w:vAlign w:val="center"/>
                </w:tcPr>
                <w:p w14:paraId="54256BAE">
                  <w:pPr>
                    <w:jc w:val="center"/>
                    <w:rPr>
                      <w:b/>
                      <w:bCs/>
                      <w:color w:val="auto"/>
                      <w:sz w:val="21"/>
                      <w:szCs w:val="21"/>
                    </w:rPr>
                  </w:pPr>
                  <w:r>
                    <w:rPr>
                      <w:rFonts w:hint="eastAsia"/>
                      <w:b/>
                      <w:bCs/>
                      <w:color w:val="auto"/>
                      <w:sz w:val="21"/>
                      <w:szCs w:val="21"/>
                    </w:rPr>
                    <w:t>保护对象</w:t>
                  </w:r>
                </w:p>
              </w:tc>
              <w:tc>
                <w:tcPr>
                  <w:tcW w:w="388" w:type="pct"/>
                  <w:vAlign w:val="center"/>
                </w:tcPr>
                <w:p w14:paraId="3AA0E2C1">
                  <w:pPr>
                    <w:jc w:val="center"/>
                    <w:rPr>
                      <w:b/>
                      <w:bCs/>
                      <w:color w:val="auto"/>
                      <w:sz w:val="21"/>
                      <w:szCs w:val="21"/>
                    </w:rPr>
                  </w:pPr>
                  <w:r>
                    <w:rPr>
                      <w:rFonts w:hint="eastAsia"/>
                      <w:b/>
                      <w:bCs/>
                      <w:color w:val="auto"/>
                      <w:sz w:val="21"/>
                      <w:szCs w:val="21"/>
                    </w:rPr>
                    <w:t>人数</w:t>
                  </w:r>
                </w:p>
              </w:tc>
              <w:tc>
                <w:tcPr>
                  <w:tcW w:w="608" w:type="pct"/>
                  <w:vAlign w:val="center"/>
                </w:tcPr>
                <w:p w14:paraId="4927D935">
                  <w:pPr>
                    <w:jc w:val="center"/>
                    <w:rPr>
                      <w:b/>
                      <w:bCs/>
                      <w:color w:val="auto"/>
                      <w:sz w:val="21"/>
                      <w:szCs w:val="21"/>
                    </w:rPr>
                  </w:pPr>
                  <w:r>
                    <w:rPr>
                      <w:rFonts w:hint="eastAsia"/>
                      <w:b/>
                      <w:bCs/>
                      <w:color w:val="auto"/>
                      <w:sz w:val="21"/>
                      <w:szCs w:val="21"/>
                    </w:rPr>
                    <w:t>保护内容</w:t>
                  </w:r>
                </w:p>
              </w:tc>
              <w:tc>
                <w:tcPr>
                  <w:tcW w:w="722" w:type="pct"/>
                  <w:vAlign w:val="center"/>
                </w:tcPr>
                <w:p w14:paraId="18C4B0F4">
                  <w:pPr>
                    <w:jc w:val="center"/>
                    <w:rPr>
                      <w:b/>
                      <w:bCs/>
                      <w:color w:val="auto"/>
                      <w:sz w:val="21"/>
                      <w:szCs w:val="21"/>
                    </w:rPr>
                  </w:pPr>
                  <w:r>
                    <w:rPr>
                      <w:rFonts w:hint="eastAsia"/>
                      <w:b/>
                      <w:bCs/>
                      <w:color w:val="auto"/>
                      <w:sz w:val="21"/>
                      <w:szCs w:val="21"/>
                    </w:rPr>
                    <w:t>环境功能区</w:t>
                  </w:r>
                </w:p>
              </w:tc>
              <w:tc>
                <w:tcPr>
                  <w:tcW w:w="380" w:type="pct"/>
                  <w:vAlign w:val="center"/>
                </w:tcPr>
                <w:p w14:paraId="4CC54D4B">
                  <w:pPr>
                    <w:jc w:val="center"/>
                    <w:rPr>
                      <w:b/>
                      <w:bCs/>
                      <w:color w:val="auto"/>
                      <w:sz w:val="21"/>
                      <w:szCs w:val="21"/>
                    </w:rPr>
                  </w:pPr>
                  <w:r>
                    <w:rPr>
                      <w:rFonts w:hint="eastAsia"/>
                      <w:b/>
                      <w:bCs/>
                      <w:color w:val="auto"/>
                      <w:sz w:val="21"/>
                      <w:szCs w:val="21"/>
                    </w:rPr>
                    <w:t>方位</w:t>
                  </w:r>
                </w:p>
              </w:tc>
              <w:tc>
                <w:tcPr>
                  <w:tcW w:w="850" w:type="pct"/>
                  <w:vAlign w:val="center"/>
                </w:tcPr>
                <w:p w14:paraId="4833091E">
                  <w:pPr>
                    <w:jc w:val="center"/>
                    <w:rPr>
                      <w:b/>
                      <w:bCs/>
                      <w:color w:val="auto"/>
                      <w:sz w:val="21"/>
                      <w:szCs w:val="21"/>
                    </w:rPr>
                  </w:pPr>
                  <w:r>
                    <w:rPr>
                      <w:rFonts w:hint="eastAsia"/>
                      <w:b/>
                      <w:bCs/>
                      <w:color w:val="auto"/>
                      <w:sz w:val="21"/>
                      <w:szCs w:val="21"/>
                    </w:rPr>
                    <w:t>相对厂界距离</w:t>
                  </w:r>
                </w:p>
              </w:tc>
            </w:tr>
            <w:tr w14:paraId="7B42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0" w:type="pct"/>
                  <w:vAlign w:val="center"/>
                </w:tcPr>
                <w:p w14:paraId="17A1F452">
                  <w:pPr>
                    <w:jc w:val="center"/>
                    <w:rPr>
                      <w:color w:val="auto"/>
                      <w:sz w:val="21"/>
                      <w:szCs w:val="21"/>
                    </w:rPr>
                  </w:pPr>
                  <w:r>
                    <w:rPr>
                      <w:rFonts w:hint="eastAsia"/>
                      <w:color w:val="auto"/>
                      <w:sz w:val="21"/>
                      <w:szCs w:val="21"/>
                    </w:rPr>
                    <w:t>1</w:t>
                  </w:r>
                </w:p>
              </w:tc>
              <w:tc>
                <w:tcPr>
                  <w:tcW w:w="1061" w:type="pct"/>
                  <w:vAlign w:val="center"/>
                </w:tcPr>
                <w:p w14:paraId="3B26992C">
                  <w:pPr>
                    <w:jc w:val="center"/>
                    <w:rPr>
                      <w:color w:val="auto"/>
                      <w:sz w:val="21"/>
                      <w:szCs w:val="21"/>
                    </w:rPr>
                  </w:pPr>
                  <w:r>
                    <w:rPr>
                      <w:rFonts w:hint="eastAsia"/>
                      <w:color w:val="auto"/>
                      <w:sz w:val="21"/>
                      <w:szCs w:val="21"/>
                    </w:rPr>
                    <w:t>伏虎华侨农场二队</w:t>
                  </w:r>
                </w:p>
              </w:tc>
              <w:tc>
                <w:tcPr>
                  <w:tcW w:w="608" w:type="pct"/>
                  <w:vAlign w:val="center"/>
                </w:tcPr>
                <w:p w14:paraId="52CF0D57">
                  <w:pPr>
                    <w:jc w:val="center"/>
                    <w:rPr>
                      <w:color w:val="auto"/>
                      <w:sz w:val="21"/>
                      <w:szCs w:val="21"/>
                    </w:rPr>
                  </w:pPr>
                  <w:r>
                    <w:rPr>
                      <w:rFonts w:hint="eastAsia"/>
                      <w:color w:val="auto"/>
                      <w:sz w:val="21"/>
                      <w:szCs w:val="21"/>
                    </w:rPr>
                    <w:t>居民</w:t>
                  </w:r>
                </w:p>
              </w:tc>
              <w:tc>
                <w:tcPr>
                  <w:tcW w:w="388" w:type="pct"/>
                  <w:vAlign w:val="center"/>
                </w:tcPr>
                <w:p w14:paraId="6C3FB312">
                  <w:pPr>
                    <w:jc w:val="center"/>
                    <w:rPr>
                      <w:color w:val="auto"/>
                      <w:sz w:val="21"/>
                      <w:szCs w:val="21"/>
                    </w:rPr>
                  </w:pPr>
                  <w:r>
                    <w:rPr>
                      <w:rFonts w:hint="eastAsia"/>
                      <w:color w:val="auto"/>
                      <w:sz w:val="21"/>
                      <w:szCs w:val="21"/>
                    </w:rPr>
                    <w:t>240</w:t>
                  </w:r>
                </w:p>
              </w:tc>
              <w:tc>
                <w:tcPr>
                  <w:tcW w:w="608" w:type="pct"/>
                  <w:vAlign w:val="center"/>
                </w:tcPr>
                <w:p w14:paraId="62C5AC07">
                  <w:pPr>
                    <w:jc w:val="center"/>
                    <w:rPr>
                      <w:color w:val="auto"/>
                      <w:sz w:val="21"/>
                      <w:szCs w:val="21"/>
                    </w:rPr>
                  </w:pPr>
                  <w:r>
                    <w:rPr>
                      <w:rFonts w:hint="eastAsia"/>
                      <w:color w:val="auto"/>
                      <w:sz w:val="21"/>
                      <w:szCs w:val="21"/>
                    </w:rPr>
                    <w:t>环境空气</w:t>
                  </w:r>
                </w:p>
              </w:tc>
              <w:tc>
                <w:tcPr>
                  <w:tcW w:w="722" w:type="pct"/>
                  <w:vAlign w:val="center"/>
                </w:tcPr>
                <w:p w14:paraId="5465775C">
                  <w:pPr>
                    <w:jc w:val="center"/>
                    <w:rPr>
                      <w:color w:val="auto"/>
                      <w:sz w:val="21"/>
                      <w:szCs w:val="21"/>
                    </w:rPr>
                  </w:pPr>
                  <w:r>
                    <w:rPr>
                      <w:rFonts w:hint="eastAsia"/>
                      <w:color w:val="auto"/>
                      <w:sz w:val="21"/>
                      <w:szCs w:val="21"/>
                    </w:rPr>
                    <w:t>二类区</w:t>
                  </w:r>
                </w:p>
              </w:tc>
              <w:tc>
                <w:tcPr>
                  <w:tcW w:w="380" w:type="pct"/>
                  <w:vAlign w:val="center"/>
                </w:tcPr>
                <w:p w14:paraId="53A0F710">
                  <w:pPr>
                    <w:jc w:val="center"/>
                    <w:rPr>
                      <w:color w:val="auto"/>
                      <w:sz w:val="21"/>
                      <w:szCs w:val="21"/>
                    </w:rPr>
                  </w:pPr>
                  <w:r>
                    <w:rPr>
                      <w:rFonts w:hint="eastAsia"/>
                      <w:color w:val="auto"/>
                      <w:sz w:val="21"/>
                      <w:szCs w:val="21"/>
                    </w:rPr>
                    <w:t>南面</w:t>
                  </w:r>
                </w:p>
              </w:tc>
              <w:tc>
                <w:tcPr>
                  <w:tcW w:w="850" w:type="pct"/>
                  <w:vAlign w:val="center"/>
                </w:tcPr>
                <w:p w14:paraId="6132F734">
                  <w:pPr>
                    <w:jc w:val="center"/>
                    <w:rPr>
                      <w:color w:val="auto"/>
                      <w:sz w:val="21"/>
                      <w:szCs w:val="21"/>
                    </w:rPr>
                  </w:pPr>
                  <w:r>
                    <w:rPr>
                      <w:rFonts w:hint="eastAsia"/>
                      <w:color w:val="auto"/>
                      <w:sz w:val="21"/>
                      <w:szCs w:val="21"/>
                    </w:rPr>
                    <w:t>80m</w:t>
                  </w:r>
                </w:p>
              </w:tc>
            </w:tr>
          </w:tbl>
          <w:p w14:paraId="3EDA9E06">
            <w:pPr>
              <w:spacing w:line="360" w:lineRule="auto"/>
              <w:rPr>
                <w:b/>
                <w:bCs/>
                <w:color w:val="auto"/>
              </w:rPr>
            </w:pPr>
            <w:r>
              <w:rPr>
                <w:rFonts w:hint="eastAsia"/>
                <w:b/>
                <w:bCs/>
                <w:color w:val="auto"/>
              </w:rPr>
              <w:t>3、地表水环境保护目标</w:t>
            </w:r>
          </w:p>
          <w:p w14:paraId="63ED2F9C">
            <w:pPr>
              <w:spacing w:line="360" w:lineRule="auto"/>
              <w:ind w:firstLine="480" w:firstLineChars="200"/>
              <w:rPr>
                <w:color w:val="auto"/>
              </w:rPr>
            </w:pPr>
            <w:r>
              <w:rPr>
                <w:color w:val="auto"/>
              </w:rPr>
              <w:t>本</w:t>
            </w:r>
            <w:r>
              <w:rPr>
                <w:rFonts w:hint="eastAsia"/>
                <w:color w:val="auto"/>
              </w:rPr>
              <w:t>项目</w:t>
            </w:r>
            <w:r>
              <w:rPr>
                <w:color w:val="auto"/>
              </w:rPr>
              <w:t>评价区域内地表水体主要为南面</w:t>
            </w:r>
            <w:r>
              <w:rPr>
                <w:rFonts w:hint="eastAsia"/>
                <w:color w:val="auto"/>
              </w:rPr>
              <w:t>5.55km处的融江和东北面1.2km处的谢卯河，执行《地表水环境质量标准》（GB3838-2002）Ⅲ类水质标准要求。本项目不涉及饮用水水源地保护区，距离本项目最近的饮用水源地保护区为和睦镇融江河水源地保护区，本项目距离该水源地保护区约4.4km。</w:t>
            </w:r>
          </w:p>
          <w:p w14:paraId="1D484EF0">
            <w:pPr>
              <w:spacing w:line="360" w:lineRule="auto"/>
              <w:rPr>
                <w:b/>
                <w:bCs/>
                <w:color w:val="auto"/>
              </w:rPr>
            </w:pPr>
            <w:r>
              <w:rPr>
                <w:rFonts w:hint="eastAsia"/>
                <w:b/>
                <w:bCs/>
                <w:color w:val="auto"/>
              </w:rPr>
              <w:t>4、声环境保护目标</w:t>
            </w:r>
          </w:p>
          <w:p w14:paraId="7A0909CD">
            <w:pPr>
              <w:spacing w:line="360" w:lineRule="auto"/>
              <w:ind w:firstLine="480" w:firstLineChars="200"/>
              <w:rPr>
                <w:color w:val="auto"/>
              </w:rPr>
            </w:pPr>
            <w:r>
              <w:rPr>
                <w:rFonts w:hint="eastAsia"/>
                <w:color w:val="auto"/>
              </w:rPr>
              <w:t>根据《建设项目环境影响报告表编制技术指南（污染影响类）（试行）》，本次评价范围为项目周边50m范围内的声环境保护目标，根据调查，评价范围内无声环境保护目标。</w:t>
            </w:r>
          </w:p>
          <w:p w14:paraId="47C9FBA7">
            <w:pPr>
              <w:spacing w:line="360" w:lineRule="auto"/>
              <w:rPr>
                <w:b/>
                <w:bCs/>
                <w:color w:val="auto"/>
              </w:rPr>
            </w:pPr>
            <w:r>
              <w:rPr>
                <w:rFonts w:hint="eastAsia"/>
                <w:b/>
                <w:bCs/>
                <w:color w:val="auto"/>
              </w:rPr>
              <w:t>5、地下水环境保护目标</w:t>
            </w:r>
          </w:p>
          <w:p w14:paraId="2AC80B03">
            <w:pPr>
              <w:spacing w:line="360" w:lineRule="auto"/>
              <w:ind w:firstLine="480" w:firstLineChars="200"/>
              <w:rPr>
                <w:color w:val="auto"/>
              </w:rPr>
            </w:pPr>
            <w:r>
              <w:rPr>
                <w:rFonts w:hint="eastAsia"/>
                <w:color w:val="auto"/>
              </w:rPr>
              <w:t>根据《环境影响评价技术导则 地下水环境》（HJ610-2016），本项目属于Ⅳ类项目，可不开展地下水评价。当地村民采用自来水作为饮用水源，根据《建设项目环境影响报告表编制技术指南（污染影响类）（试行）》，项目厂界外500m范围内无地下水集中式饮用水水源和热水、矿泉水、温泉等特殊地下水资源。</w:t>
            </w:r>
          </w:p>
          <w:p w14:paraId="575B47A8">
            <w:pPr>
              <w:spacing w:line="360" w:lineRule="auto"/>
              <w:rPr>
                <w:b/>
                <w:bCs/>
                <w:color w:val="auto"/>
              </w:rPr>
            </w:pPr>
            <w:r>
              <w:rPr>
                <w:rFonts w:hint="eastAsia"/>
                <w:b/>
                <w:bCs/>
                <w:color w:val="auto"/>
              </w:rPr>
              <w:t>6、土壤环境保护目标</w:t>
            </w:r>
          </w:p>
          <w:p w14:paraId="63D8E281">
            <w:pPr>
              <w:spacing w:line="360" w:lineRule="auto"/>
              <w:ind w:firstLine="480" w:firstLineChars="200"/>
              <w:rPr>
                <w:bCs/>
                <w:color w:val="auto"/>
              </w:rPr>
            </w:pPr>
            <w:r>
              <w:rPr>
                <w:rFonts w:hint="eastAsia"/>
                <w:color w:val="auto"/>
              </w:rPr>
              <w:t>根据《环境影响评价技术导则 土壤导则（试行）》（HJ964-2018），本项目属于Ⅳ类项目，可不开展土壤评价。</w:t>
            </w:r>
          </w:p>
        </w:tc>
      </w:tr>
      <w:tr w14:paraId="60A62F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894" w:type="dxa"/>
            <w:vAlign w:val="center"/>
          </w:tcPr>
          <w:p w14:paraId="5F73CBB0">
            <w:pPr>
              <w:adjustRightInd w:val="0"/>
              <w:snapToGrid w:val="0"/>
              <w:jc w:val="center"/>
              <w:rPr>
                <w:rFonts w:ascii="宋体" w:hAnsi="宋体" w:cs="宋体"/>
                <w:color w:val="auto"/>
                <w:kern w:val="0"/>
                <w:szCs w:val="21"/>
              </w:rPr>
            </w:pPr>
            <w:r>
              <w:rPr>
                <w:rFonts w:hint="eastAsia" w:ascii="宋体" w:hAnsi="宋体" w:cs="宋体"/>
                <w:color w:val="auto"/>
                <w:kern w:val="0"/>
                <w:szCs w:val="21"/>
              </w:rPr>
              <w:t>评价</w:t>
            </w:r>
          </w:p>
          <w:p w14:paraId="785A19F7">
            <w:pPr>
              <w:adjustRightInd w:val="0"/>
              <w:snapToGrid w:val="0"/>
              <w:jc w:val="center"/>
              <w:rPr>
                <w:rFonts w:ascii="宋体" w:hAnsi="宋体" w:cs="宋体"/>
                <w:color w:val="auto"/>
                <w:kern w:val="0"/>
                <w:szCs w:val="21"/>
              </w:rPr>
            </w:pPr>
            <w:r>
              <w:rPr>
                <w:rFonts w:hint="eastAsia" w:ascii="宋体" w:hAnsi="宋体" w:cs="宋体"/>
                <w:color w:val="auto"/>
                <w:kern w:val="0"/>
                <w:szCs w:val="21"/>
              </w:rPr>
              <w:t>标准</w:t>
            </w:r>
          </w:p>
        </w:tc>
        <w:tc>
          <w:tcPr>
            <w:tcW w:w="8263" w:type="dxa"/>
            <w:vAlign w:val="center"/>
          </w:tcPr>
          <w:p w14:paraId="33A322AD">
            <w:pPr>
              <w:spacing w:line="360" w:lineRule="auto"/>
              <w:rPr>
                <w:rFonts w:hint="eastAsia"/>
                <w:b/>
                <w:bCs/>
                <w:color w:val="auto"/>
              </w:rPr>
            </w:pPr>
            <w:r>
              <w:rPr>
                <w:rFonts w:hint="eastAsia"/>
                <w:b/>
                <w:bCs/>
                <w:color w:val="auto"/>
              </w:rPr>
              <w:t>1、环境质量标准</w:t>
            </w:r>
          </w:p>
          <w:p w14:paraId="147609C3">
            <w:pPr>
              <w:spacing w:line="360" w:lineRule="auto"/>
              <w:rPr>
                <w:rFonts w:hint="eastAsia"/>
                <w:b/>
                <w:bCs/>
                <w:color w:val="auto"/>
              </w:rPr>
            </w:pPr>
            <w:r>
              <w:rPr>
                <w:rFonts w:hint="eastAsia"/>
                <w:b/>
                <w:bCs/>
                <w:color w:val="auto"/>
              </w:rPr>
              <w:t>1.1环境空气</w:t>
            </w:r>
          </w:p>
          <w:p w14:paraId="0F613930">
            <w:pPr>
              <w:spacing w:line="360" w:lineRule="auto"/>
              <w:ind w:firstLine="480" w:firstLineChars="200"/>
              <w:rPr>
                <w:color w:val="auto"/>
              </w:rPr>
            </w:pPr>
            <w:r>
              <w:rPr>
                <w:rFonts w:hint="eastAsia"/>
                <w:color w:val="auto"/>
              </w:rPr>
              <w:t>项目所在地位于农村地区，根据《环境空气质量标准》（GB3095-2026），至2031年1月1日，环境空气污染物基本项目实施过渡阶段浓度限值，</w:t>
            </w:r>
            <w:r>
              <w:rPr>
                <w:color w:val="auto"/>
              </w:rPr>
              <w:t>则SO</w:t>
            </w:r>
            <w:r>
              <w:rPr>
                <w:color w:val="auto"/>
                <w:vertAlign w:val="subscript"/>
              </w:rPr>
              <w:t>2</w:t>
            </w:r>
            <w:r>
              <w:rPr>
                <w:color w:val="auto"/>
              </w:rPr>
              <w:t>、NO</w:t>
            </w:r>
            <w:r>
              <w:rPr>
                <w:color w:val="auto"/>
                <w:vertAlign w:val="subscript"/>
              </w:rPr>
              <w:t>2</w:t>
            </w:r>
            <w:r>
              <w:rPr>
                <w:color w:val="auto"/>
              </w:rPr>
              <w:t>、PM</w:t>
            </w:r>
            <w:r>
              <w:rPr>
                <w:color w:val="auto"/>
                <w:vertAlign w:val="subscript"/>
              </w:rPr>
              <w:t>2.5</w:t>
            </w:r>
            <w:r>
              <w:rPr>
                <w:color w:val="auto"/>
              </w:rPr>
              <w:t>、PM</w:t>
            </w:r>
            <w:r>
              <w:rPr>
                <w:color w:val="auto"/>
                <w:vertAlign w:val="subscript"/>
              </w:rPr>
              <w:t>10</w:t>
            </w:r>
            <w:r>
              <w:rPr>
                <w:color w:val="auto"/>
              </w:rPr>
              <w:t>、CO、O</w:t>
            </w:r>
            <w:r>
              <w:rPr>
                <w:color w:val="auto"/>
                <w:vertAlign w:val="subscript"/>
              </w:rPr>
              <w:t>3</w:t>
            </w:r>
            <w:r>
              <w:rPr>
                <w:color w:val="auto"/>
                <w:lang w:val="zh-CN"/>
              </w:rPr>
              <w:t>执行</w:t>
            </w:r>
            <w:r>
              <w:rPr>
                <w:color w:val="auto"/>
              </w:rPr>
              <w:t>执行《环境空气质量标准》（GB3095-20</w:t>
            </w:r>
            <w:r>
              <w:rPr>
                <w:rFonts w:hint="eastAsia"/>
                <w:color w:val="auto"/>
              </w:rPr>
              <w:t>26</w:t>
            </w:r>
            <w:r>
              <w:rPr>
                <w:color w:val="auto"/>
              </w:rPr>
              <w:t>）</w:t>
            </w:r>
            <w:r>
              <w:rPr>
                <w:rFonts w:hint="eastAsia"/>
                <w:color w:val="auto"/>
              </w:rPr>
              <w:t>过渡阶段浓度限值</w:t>
            </w:r>
            <w:r>
              <w:rPr>
                <w:color w:val="auto"/>
              </w:rPr>
              <w:t>的二级标准</w:t>
            </w:r>
            <w:r>
              <w:rPr>
                <w:rFonts w:hint="eastAsia"/>
                <w:color w:val="auto"/>
              </w:rPr>
              <w:t>，</w:t>
            </w:r>
            <w:r>
              <w:rPr>
                <w:color w:val="auto"/>
              </w:rPr>
              <w:t>TSP执行《环境空气质量标准》（GB3095-20</w:t>
            </w:r>
            <w:r>
              <w:rPr>
                <w:rFonts w:hint="eastAsia"/>
                <w:color w:val="auto"/>
              </w:rPr>
              <w:t>26</w:t>
            </w:r>
            <w:r>
              <w:rPr>
                <w:color w:val="auto"/>
              </w:rPr>
              <w:t>）二级</w:t>
            </w:r>
            <w:r>
              <w:rPr>
                <w:rFonts w:hint="eastAsia"/>
                <w:color w:val="auto"/>
              </w:rPr>
              <w:t>浓度限值；硫化氢</w:t>
            </w:r>
            <w:r>
              <w:rPr>
                <w:color w:val="auto"/>
                <w:lang w:val="zh-CN"/>
              </w:rPr>
              <w:t>执行</w:t>
            </w:r>
            <w:r>
              <w:rPr>
                <w:color w:val="auto"/>
              </w:rPr>
              <w:t>HJ2.2-2018</w:t>
            </w:r>
            <w:r>
              <w:rPr>
                <w:color w:val="auto"/>
                <w:lang w:val="zh-CN"/>
              </w:rPr>
              <w:t>《环境影响评价技术导则</w:t>
            </w:r>
            <w:r>
              <w:rPr>
                <w:color w:val="auto"/>
              </w:rPr>
              <w:t xml:space="preserve"> 大气环境</w:t>
            </w:r>
            <w:r>
              <w:rPr>
                <w:color w:val="auto"/>
                <w:lang w:val="zh-CN"/>
              </w:rPr>
              <w:t>》附录</w:t>
            </w:r>
            <w:r>
              <w:rPr>
                <w:color w:val="auto"/>
              </w:rPr>
              <w:t>D</w:t>
            </w:r>
            <w:r>
              <w:rPr>
                <w:color w:val="auto"/>
                <w:lang w:val="zh-CN"/>
              </w:rPr>
              <w:t>中的参考限值</w:t>
            </w:r>
            <w:r>
              <w:rPr>
                <w:rFonts w:hint="eastAsia"/>
                <w:color w:val="auto"/>
                <w:lang w:val="zh-CN"/>
              </w:rPr>
              <w:t>。</w:t>
            </w:r>
            <w:r>
              <w:rPr>
                <w:rFonts w:hint="eastAsia"/>
                <w:color w:val="auto"/>
              </w:rPr>
              <w:t>项目执行标准详见下表。</w:t>
            </w:r>
          </w:p>
          <w:p w14:paraId="1FDB9485">
            <w:pPr>
              <w:spacing w:line="360" w:lineRule="auto"/>
              <w:jc w:val="center"/>
              <w:rPr>
                <w:b/>
                <w:bCs/>
                <w:color w:val="auto"/>
              </w:rPr>
            </w:pPr>
            <w:r>
              <w:rPr>
                <w:b/>
                <w:bCs/>
                <w:color w:val="auto"/>
              </w:rPr>
              <w:t>表</w:t>
            </w:r>
            <w:r>
              <w:rPr>
                <w:rFonts w:hint="eastAsia"/>
                <w:b/>
                <w:bCs/>
                <w:color w:val="auto"/>
              </w:rPr>
              <w:t>3-</w:t>
            </w:r>
            <w:r>
              <w:rPr>
                <w:b/>
                <w:bCs/>
                <w:color w:val="auto"/>
              </w:rPr>
              <w:t>8</w:t>
            </w:r>
            <w:r>
              <w:rPr>
                <w:rFonts w:hint="eastAsia"/>
                <w:b/>
                <w:bCs/>
                <w:color w:val="auto"/>
              </w:rPr>
              <w:t xml:space="preserve"> 项目环境空气质量执行标准一览表</w:t>
            </w:r>
          </w:p>
          <w:tbl>
            <w:tblPr>
              <w:tblStyle w:val="19"/>
              <w:tblW w:w="4998" w:type="pct"/>
              <w:jc w:val="center"/>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335"/>
              <w:gridCol w:w="2065"/>
              <w:gridCol w:w="1871"/>
              <w:gridCol w:w="928"/>
              <w:gridCol w:w="1840"/>
            </w:tblGrid>
            <w:tr w14:paraId="061204DA">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830" w:type="pct"/>
                  <w:tcBorders>
                    <w:top w:val="single" w:color="auto" w:sz="2" w:space="0"/>
                    <w:left w:val="single" w:color="auto" w:sz="2" w:space="0"/>
                    <w:right w:val="single" w:color="auto" w:sz="4" w:space="0"/>
                  </w:tcBorders>
                  <w:vAlign w:val="center"/>
                </w:tcPr>
                <w:p w14:paraId="45DD80FE">
                  <w:pPr>
                    <w:jc w:val="center"/>
                    <w:rPr>
                      <w:b/>
                      <w:bCs/>
                      <w:color w:val="auto"/>
                      <w:sz w:val="21"/>
                      <w:szCs w:val="21"/>
                    </w:rPr>
                  </w:pPr>
                  <w:r>
                    <w:rPr>
                      <w:rFonts w:hint="eastAsia"/>
                      <w:b/>
                      <w:bCs/>
                      <w:color w:val="auto"/>
                      <w:sz w:val="21"/>
                      <w:szCs w:val="21"/>
                    </w:rPr>
                    <w:t>污染物名称</w:t>
                  </w:r>
                </w:p>
              </w:tc>
              <w:tc>
                <w:tcPr>
                  <w:tcW w:w="1284" w:type="pct"/>
                  <w:tcBorders>
                    <w:top w:val="single" w:color="auto" w:sz="2" w:space="0"/>
                    <w:left w:val="single" w:color="auto" w:sz="4" w:space="0"/>
                    <w:right w:val="single" w:color="auto" w:sz="4" w:space="0"/>
                  </w:tcBorders>
                  <w:vAlign w:val="center"/>
                </w:tcPr>
                <w:p w14:paraId="5DAA5F79">
                  <w:pPr>
                    <w:jc w:val="center"/>
                    <w:rPr>
                      <w:b/>
                      <w:bCs/>
                      <w:color w:val="auto"/>
                      <w:sz w:val="21"/>
                      <w:szCs w:val="21"/>
                    </w:rPr>
                  </w:pPr>
                  <w:r>
                    <w:rPr>
                      <w:rFonts w:hint="eastAsia"/>
                      <w:b/>
                      <w:bCs/>
                      <w:color w:val="auto"/>
                      <w:sz w:val="21"/>
                      <w:szCs w:val="21"/>
                    </w:rPr>
                    <w:t>取值时间</w:t>
                  </w:r>
                </w:p>
              </w:tc>
              <w:tc>
                <w:tcPr>
                  <w:tcW w:w="1163" w:type="pct"/>
                  <w:tcBorders>
                    <w:top w:val="single" w:color="auto" w:sz="2" w:space="0"/>
                    <w:left w:val="single" w:color="auto" w:sz="4" w:space="0"/>
                    <w:bottom w:val="single" w:color="auto" w:sz="4" w:space="0"/>
                    <w:right w:val="single" w:color="auto" w:sz="4" w:space="0"/>
                  </w:tcBorders>
                  <w:vAlign w:val="center"/>
                </w:tcPr>
                <w:p w14:paraId="6C1D7E92">
                  <w:pPr>
                    <w:jc w:val="center"/>
                    <w:rPr>
                      <w:b/>
                      <w:bCs/>
                      <w:color w:val="auto"/>
                      <w:sz w:val="21"/>
                      <w:szCs w:val="21"/>
                    </w:rPr>
                  </w:pPr>
                  <w:r>
                    <w:rPr>
                      <w:rFonts w:hint="eastAsia"/>
                      <w:b/>
                      <w:bCs/>
                      <w:color w:val="auto"/>
                      <w:sz w:val="21"/>
                      <w:szCs w:val="21"/>
                    </w:rPr>
                    <w:t>浓度限值</w:t>
                  </w:r>
                </w:p>
              </w:tc>
              <w:tc>
                <w:tcPr>
                  <w:tcW w:w="577" w:type="pct"/>
                  <w:tcBorders>
                    <w:top w:val="single" w:color="auto" w:sz="2" w:space="0"/>
                    <w:left w:val="single" w:color="auto" w:sz="4" w:space="0"/>
                    <w:right w:val="single" w:color="auto" w:sz="4" w:space="0"/>
                  </w:tcBorders>
                  <w:vAlign w:val="center"/>
                </w:tcPr>
                <w:p w14:paraId="428D8A2B">
                  <w:pPr>
                    <w:jc w:val="center"/>
                    <w:rPr>
                      <w:b/>
                      <w:bCs/>
                      <w:color w:val="auto"/>
                      <w:sz w:val="21"/>
                      <w:szCs w:val="21"/>
                    </w:rPr>
                  </w:pPr>
                  <w:r>
                    <w:rPr>
                      <w:rFonts w:hint="eastAsia"/>
                      <w:b/>
                      <w:bCs/>
                      <w:color w:val="auto"/>
                      <w:sz w:val="21"/>
                      <w:szCs w:val="21"/>
                    </w:rPr>
                    <w:t>单位</w:t>
                  </w:r>
                </w:p>
              </w:tc>
              <w:tc>
                <w:tcPr>
                  <w:tcW w:w="1144" w:type="pct"/>
                  <w:tcBorders>
                    <w:top w:val="single" w:color="auto" w:sz="2" w:space="0"/>
                    <w:left w:val="single" w:color="auto" w:sz="4" w:space="0"/>
                    <w:right w:val="single" w:color="auto" w:sz="4" w:space="0"/>
                  </w:tcBorders>
                  <w:vAlign w:val="center"/>
                </w:tcPr>
                <w:p w14:paraId="4AFA7973">
                  <w:pPr>
                    <w:jc w:val="center"/>
                    <w:rPr>
                      <w:b/>
                      <w:bCs/>
                      <w:color w:val="auto"/>
                      <w:sz w:val="21"/>
                      <w:szCs w:val="21"/>
                    </w:rPr>
                  </w:pPr>
                  <w:r>
                    <w:rPr>
                      <w:rFonts w:hint="eastAsia"/>
                      <w:b/>
                      <w:bCs/>
                      <w:color w:val="auto"/>
                      <w:sz w:val="21"/>
                      <w:szCs w:val="21"/>
                    </w:rPr>
                    <w:t>执行标准</w:t>
                  </w:r>
                </w:p>
              </w:tc>
            </w:tr>
            <w:tr w14:paraId="530EA5C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7C50CB06">
                  <w:pPr>
                    <w:jc w:val="center"/>
                    <w:rPr>
                      <w:color w:val="auto"/>
                      <w:sz w:val="21"/>
                      <w:szCs w:val="21"/>
                    </w:rPr>
                  </w:pPr>
                  <w:r>
                    <w:rPr>
                      <w:color w:val="auto"/>
                      <w:sz w:val="21"/>
                      <w:szCs w:val="21"/>
                    </w:rPr>
                    <w:t>SO</w:t>
                  </w:r>
                  <w:r>
                    <w:rPr>
                      <w:color w:val="auto"/>
                      <w:sz w:val="21"/>
                      <w:szCs w:val="21"/>
                      <w:vertAlign w:val="subscript"/>
                    </w:rPr>
                    <w:t>2</w:t>
                  </w:r>
                </w:p>
              </w:tc>
              <w:tc>
                <w:tcPr>
                  <w:tcW w:w="1284" w:type="pct"/>
                  <w:tcBorders>
                    <w:top w:val="single" w:color="auto" w:sz="4" w:space="0"/>
                    <w:left w:val="single" w:color="auto" w:sz="4" w:space="0"/>
                    <w:bottom w:val="single" w:color="auto" w:sz="4" w:space="0"/>
                    <w:right w:val="single" w:color="auto" w:sz="4" w:space="0"/>
                  </w:tcBorders>
                  <w:vAlign w:val="center"/>
                </w:tcPr>
                <w:p w14:paraId="4289AF59">
                  <w:pPr>
                    <w:jc w:val="center"/>
                    <w:rPr>
                      <w:color w:val="auto"/>
                      <w:sz w:val="21"/>
                      <w:szCs w:val="21"/>
                    </w:rPr>
                  </w:pPr>
                  <w:r>
                    <w:rPr>
                      <w:rFonts w:hint="eastAsia"/>
                      <w:color w:val="auto"/>
                      <w:sz w:val="21"/>
                      <w:szCs w:val="21"/>
                    </w:rPr>
                    <w:t>年平均</w:t>
                  </w:r>
                </w:p>
              </w:tc>
              <w:tc>
                <w:tcPr>
                  <w:tcW w:w="1163" w:type="pct"/>
                  <w:tcBorders>
                    <w:top w:val="single" w:color="auto" w:sz="4" w:space="0"/>
                    <w:left w:val="single" w:color="auto" w:sz="4" w:space="0"/>
                    <w:bottom w:val="single" w:color="auto" w:sz="4" w:space="0"/>
                    <w:right w:val="single" w:color="auto" w:sz="4" w:space="0"/>
                  </w:tcBorders>
                  <w:vAlign w:val="center"/>
                </w:tcPr>
                <w:p w14:paraId="3718C113">
                  <w:pPr>
                    <w:jc w:val="center"/>
                    <w:rPr>
                      <w:color w:val="auto"/>
                      <w:sz w:val="21"/>
                      <w:szCs w:val="21"/>
                    </w:rPr>
                  </w:pPr>
                  <w:r>
                    <w:rPr>
                      <w:color w:val="auto"/>
                      <w:sz w:val="21"/>
                      <w:szCs w:val="21"/>
                    </w:rPr>
                    <w:t>60</w:t>
                  </w:r>
                </w:p>
              </w:tc>
              <w:tc>
                <w:tcPr>
                  <w:tcW w:w="577" w:type="pct"/>
                  <w:vMerge w:val="restart"/>
                  <w:tcBorders>
                    <w:top w:val="single" w:color="auto" w:sz="4" w:space="0"/>
                    <w:left w:val="single" w:color="auto" w:sz="4" w:space="0"/>
                    <w:bottom w:val="single" w:color="auto" w:sz="4" w:space="0"/>
                    <w:right w:val="single" w:color="auto" w:sz="4" w:space="0"/>
                  </w:tcBorders>
                  <w:vAlign w:val="center"/>
                </w:tcPr>
                <w:p w14:paraId="4BB3C447">
                  <w:pPr>
                    <w:jc w:val="center"/>
                    <w:rPr>
                      <w:color w:val="auto"/>
                      <w:sz w:val="21"/>
                      <w:szCs w:val="21"/>
                    </w:rPr>
                  </w:pPr>
                  <w:r>
                    <w:rPr>
                      <w:color w:val="auto"/>
                      <w:sz w:val="21"/>
                      <w:szCs w:val="21"/>
                    </w:rPr>
                    <w:t>μg/m</w:t>
                  </w:r>
                  <w:r>
                    <w:rPr>
                      <w:color w:val="auto"/>
                      <w:sz w:val="21"/>
                      <w:szCs w:val="21"/>
                      <w:vertAlign w:val="superscript"/>
                    </w:rPr>
                    <w:t>3</w:t>
                  </w:r>
                </w:p>
              </w:tc>
              <w:tc>
                <w:tcPr>
                  <w:tcW w:w="1144" w:type="pct"/>
                  <w:vMerge w:val="restart"/>
                  <w:tcBorders>
                    <w:top w:val="single" w:color="auto" w:sz="4" w:space="0"/>
                    <w:left w:val="single" w:color="auto" w:sz="4" w:space="0"/>
                    <w:right w:val="single" w:color="auto" w:sz="4" w:space="0"/>
                  </w:tcBorders>
                  <w:vAlign w:val="center"/>
                </w:tcPr>
                <w:p w14:paraId="4A7DB17B">
                  <w:pPr>
                    <w:jc w:val="center"/>
                    <w:rPr>
                      <w:color w:val="auto"/>
                      <w:sz w:val="21"/>
                      <w:szCs w:val="21"/>
                    </w:rPr>
                  </w:pPr>
                  <w:r>
                    <w:rPr>
                      <w:rFonts w:hint="eastAsia"/>
                      <w:color w:val="auto"/>
                      <w:sz w:val="21"/>
                      <w:szCs w:val="21"/>
                    </w:rPr>
                    <w:t>《环境空气质量标准》（GB3095-2026）</w:t>
                  </w:r>
                </w:p>
              </w:tc>
            </w:tr>
            <w:tr w14:paraId="61D06E4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73FACB49">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7755A35B">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2B68D35E">
                  <w:pPr>
                    <w:jc w:val="center"/>
                    <w:rPr>
                      <w:color w:val="auto"/>
                      <w:sz w:val="21"/>
                      <w:szCs w:val="21"/>
                    </w:rPr>
                  </w:pPr>
                  <w:r>
                    <w:rPr>
                      <w:color w:val="auto"/>
                      <w:sz w:val="21"/>
                      <w:szCs w:val="21"/>
                    </w:rPr>
                    <w:t>150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6F8199FB">
                  <w:pPr>
                    <w:jc w:val="center"/>
                    <w:rPr>
                      <w:color w:val="auto"/>
                      <w:sz w:val="21"/>
                      <w:szCs w:val="21"/>
                    </w:rPr>
                  </w:pPr>
                </w:p>
              </w:tc>
              <w:tc>
                <w:tcPr>
                  <w:tcW w:w="1144" w:type="pct"/>
                  <w:vMerge w:val="continue"/>
                  <w:tcBorders>
                    <w:left w:val="single" w:color="auto" w:sz="4" w:space="0"/>
                    <w:right w:val="single" w:color="auto" w:sz="4" w:space="0"/>
                  </w:tcBorders>
                  <w:vAlign w:val="center"/>
                </w:tcPr>
                <w:p w14:paraId="59FD3468">
                  <w:pPr>
                    <w:jc w:val="center"/>
                    <w:rPr>
                      <w:color w:val="auto"/>
                      <w:sz w:val="21"/>
                      <w:szCs w:val="21"/>
                    </w:rPr>
                  </w:pPr>
                </w:p>
              </w:tc>
            </w:tr>
            <w:tr w14:paraId="4B9579A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14241E66">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48AED8CA">
                  <w:pPr>
                    <w:jc w:val="center"/>
                    <w:rPr>
                      <w:color w:val="auto"/>
                      <w:sz w:val="21"/>
                      <w:szCs w:val="21"/>
                    </w:rPr>
                  </w:pPr>
                  <w:r>
                    <w:rPr>
                      <w:color w:val="auto"/>
                      <w:sz w:val="21"/>
                      <w:szCs w:val="21"/>
                    </w:rPr>
                    <w:t>1</w:t>
                  </w:r>
                  <w:r>
                    <w:rPr>
                      <w:rFonts w:hint="eastAsia"/>
                      <w:color w:val="auto"/>
                      <w:sz w:val="21"/>
                      <w:szCs w:val="21"/>
                    </w:rPr>
                    <w:t>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76BF9DE3">
                  <w:pPr>
                    <w:jc w:val="center"/>
                    <w:rPr>
                      <w:color w:val="auto"/>
                      <w:sz w:val="21"/>
                      <w:szCs w:val="21"/>
                    </w:rPr>
                  </w:pPr>
                  <w:r>
                    <w:rPr>
                      <w:color w:val="auto"/>
                      <w:sz w:val="21"/>
                      <w:szCs w:val="21"/>
                    </w:rPr>
                    <w:t>500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30190BDF">
                  <w:pPr>
                    <w:jc w:val="center"/>
                    <w:rPr>
                      <w:color w:val="auto"/>
                      <w:sz w:val="21"/>
                      <w:szCs w:val="21"/>
                    </w:rPr>
                  </w:pPr>
                </w:p>
              </w:tc>
              <w:tc>
                <w:tcPr>
                  <w:tcW w:w="1144" w:type="pct"/>
                  <w:vMerge w:val="continue"/>
                  <w:tcBorders>
                    <w:left w:val="single" w:color="auto" w:sz="4" w:space="0"/>
                    <w:right w:val="single" w:color="auto" w:sz="4" w:space="0"/>
                  </w:tcBorders>
                  <w:vAlign w:val="center"/>
                </w:tcPr>
                <w:p w14:paraId="4BE92DF9">
                  <w:pPr>
                    <w:jc w:val="center"/>
                    <w:rPr>
                      <w:color w:val="auto"/>
                      <w:sz w:val="21"/>
                      <w:szCs w:val="21"/>
                    </w:rPr>
                  </w:pPr>
                </w:p>
              </w:tc>
            </w:tr>
            <w:tr w14:paraId="376830A2">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4067FCF7">
                  <w:pPr>
                    <w:jc w:val="center"/>
                    <w:rPr>
                      <w:color w:val="auto"/>
                      <w:sz w:val="21"/>
                      <w:szCs w:val="21"/>
                    </w:rPr>
                  </w:pPr>
                  <w:r>
                    <w:rPr>
                      <w:color w:val="auto"/>
                      <w:sz w:val="21"/>
                      <w:szCs w:val="21"/>
                    </w:rPr>
                    <w:t>NO</w:t>
                  </w:r>
                  <w:r>
                    <w:rPr>
                      <w:color w:val="auto"/>
                      <w:sz w:val="21"/>
                      <w:szCs w:val="21"/>
                      <w:vertAlign w:val="subscript"/>
                    </w:rPr>
                    <w:t>2</w:t>
                  </w:r>
                </w:p>
              </w:tc>
              <w:tc>
                <w:tcPr>
                  <w:tcW w:w="1284" w:type="pct"/>
                  <w:tcBorders>
                    <w:top w:val="single" w:color="auto" w:sz="4" w:space="0"/>
                    <w:left w:val="single" w:color="auto" w:sz="4" w:space="0"/>
                    <w:bottom w:val="single" w:color="auto" w:sz="4" w:space="0"/>
                    <w:right w:val="single" w:color="auto" w:sz="4" w:space="0"/>
                  </w:tcBorders>
                  <w:vAlign w:val="center"/>
                </w:tcPr>
                <w:p w14:paraId="706063A6">
                  <w:pPr>
                    <w:jc w:val="center"/>
                    <w:rPr>
                      <w:color w:val="auto"/>
                      <w:sz w:val="21"/>
                      <w:szCs w:val="21"/>
                    </w:rPr>
                  </w:pPr>
                  <w:r>
                    <w:rPr>
                      <w:rFonts w:hint="eastAsia"/>
                      <w:color w:val="auto"/>
                      <w:sz w:val="21"/>
                      <w:szCs w:val="21"/>
                    </w:rPr>
                    <w:t>年平均</w:t>
                  </w:r>
                </w:p>
              </w:tc>
              <w:tc>
                <w:tcPr>
                  <w:tcW w:w="1163" w:type="pct"/>
                  <w:tcBorders>
                    <w:top w:val="single" w:color="auto" w:sz="4" w:space="0"/>
                    <w:left w:val="single" w:color="auto" w:sz="4" w:space="0"/>
                    <w:bottom w:val="single" w:color="auto" w:sz="4" w:space="0"/>
                    <w:right w:val="single" w:color="auto" w:sz="4" w:space="0"/>
                  </w:tcBorders>
                  <w:vAlign w:val="center"/>
                </w:tcPr>
                <w:p w14:paraId="3CDBC1EE">
                  <w:pPr>
                    <w:jc w:val="center"/>
                    <w:rPr>
                      <w:color w:val="auto"/>
                      <w:sz w:val="21"/>
                      <w:szCs w:val="21"/>
                    </w:rPr>
                  </w:pPr>
                  <w:r>
                    <w:rPr>
                      <w:color w:val="auto"/>
                      <w:sz w:val="21"/>
                      <w:szCs w:val="21"/>
                    </w:rPr>
                    <w:t>40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55AB8D38">
                  <w:pPr>
                    <w:jc w:val="center"/>
                    <w:rPr>
                      <w:color w:val="auto"/>
                      <w:sz w:val="21"/>
                      <w:szCs w:val="21"/>
                    </w:rPr>
                  </w:pPr>
                </w:p>
              </w:tc>
              <w:tc>
                <w:tcPr>
                  <w:tcW w:w="1144" w:type="pct"/>
                  <w:vMerge w:val="continue"/>
                  <w:tcBorders>
                    <w:left w:val="single" w:color="auto" w:sz="4" w:space="0"/>
                    <w:right w:val="single" w:color="auto" w:sz="4" w:space="0"/>
                  </w:tcBorders>
                  <w:vAlign w:val="center"/>
                </w:tcPr>
                <w:p w14:paraId="31557B4E">
                  <w:pPr>
                    <w:jc w:val="center"/>
                    <w:rPr>
                      <w:color w:val="auto"/>
                      <w:sz w:val="21"/>
                      <w:szCs w:val="21"/>
                    </w:rPr>
                  </w:pPr>
                </w:p>
              </w:tc>
            </w:tr>
            <w:tr w14:paraId="04989C09">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331E93C4">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371782AC">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1BFCCA5E">
                  <w:pPr>
                    <w:jc w:val="center"/>
                    <w:rPr>
                      <w:color w:val="auto"/>
                      <w:sz w:val="21"/>
                      <w:szCs w:val="21"/>
                    </w:rPr>
                  </w:pPr>
                  <w:r>
                    <w:rPr>
                      <w:color w:val="auto"/>
                      <w:sz w:val="21"/>
                      <w:szCs w:val="21"/>
                    </w:rPr>
                    <w:t>80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4BEC2F5F">
                  <w:pPr>
                    <w:jc w:val="center"/>
                    <w:rPr>
                      <w:color w:val="auto"/>
                      <w:sz w:val="21"/>
                      <w:szCs w:val="21"/>
                    </w:rPr>
                  </w:pPr>
                </w:p>
              </w:tc>
              <w:tc>
                <w:tcPr>
                  <w:tcW w:w="1144" w:type="pct"/>
                  <w:vMerge w:val="continue"/>
                  <w:tcBorders>
                    <w:left w:val="single" w:color="auto" w:sz="4" w:space="0"/>
                    <w:right w:val="single" w:color="auto" w:sz="4" w:space="0"/>
                  </w:tcBorders>
                  <w:vAlign w:val="center"/>
                </w:tcPr>
                <w:p w14:paraId="3EE22455">
                  <w:pPr>
                    <w:jc w:val="center"/>
                    <w:rPr>
                      <w:color w:val="auto"/>
                      <w:sz w:val="21"/>
                      <w:szCs w:val="21"/>
                    </w:rPr>
                  </w:pPr>
                </w:p>
              </w:tc>
            </w:tr>
            <w:tr w14:paraId="42727D26">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6DA6BFDC">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311B5CC6">
                  <w:pPr>
                    <w:jc w:val="center"/>
                    <w:rPr>
                      <w:color w:val="auto"/>
                      <w:sz w:val="21"/>
                      <w:szCs w:val="21"/>
                    </w:rPr>
                  </w:pPr>
                  <w:r>
                    <w:rPr>
                      <w:color w:val="auto"/>
                      <w:sz w:val="21"/>
                      <w:szCs w:val="21"/>
                    </w:rPr>
                    <w:t>1</w:t>
                  </w:r>
                  <w:r>
                    <w:rPr>
                      <w:rFonts w:hint="eastAsia"/>
                      <w:color w:val="auto"/>
                      <w:sz w:val="21"/>
                      <w:szCs w:val="21"/>
                    </w:rPr>
                    <w:t>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01C2E988">
                  <w:pPr>
                    <w:jc w:val="center"/>
                    <w:rPr>
                      <w:color w:val="auto"/>
                      <w:sz w:val="21"/>
                      <w:szCs w:val="21"/>
                    </w:rPr>
                  </w:pPr>
                  <w:r>
                    <w:rPr>
                      <w:color w:val="auto"/>
                      <w:sz w:val="21"/>
                      <w:szCs w:val="21"/>
                    </w:rPr>
                    <w:t>200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2D85B277">
                  <w:pPr>
                    <w:jc w:val="center"/>
                    <w:rPr>
                      <w:color w:val="auto"/>
                      <w:sz w:val="21"/>
                      <w:szCs w:val="21"/>
                    </w:rPr>
                  </w:pPr>
                </w:p>
              </w:tc>
              <w:tc>
                <w:tcPr>
                  <w:tcW w:w="1144" w:type="pct"/>
                  <w:vMerge w:val="continue"/>
                  <w:tcBorders>
                    <w:left w:val="single" w:color="auto" w:sz="4" w:space="0"/>
                    <w:right w:val="single" w:color="auto" w:sz="4" w:space="0"/>
                  </w:tcBorders>
                  <w:vAlign w:val="center"/>
                </w:tcPr>
                <w:p w14:paraId="7D1C5193">
                  <w:pPr>
                    <w:jc w:val="center"/>
                    <w:rPr>
                      <w:color w:val="auto"/>
                      <w:sz w:val="21"/>
                      <w:szCs w:val="21"/>
                    </w:rPr>
                  </w:pPr>
                </w:p>
              </w:tc>
            </w:tr>
            <w:tr w14:paraId="57E92FE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3D37E150">
                  <w:pPr>
                    <w:jc w:val="center"/>
                    <w:rPr>
                      <w:color w:val="auto"/>
                      <w:sz w:val="21"/>
                      <w:szCs w:val="21"/>
                    </w:rPr>
                  </w:pPr>
                  <w:r>
                    <w:rPr>
                      <w:color w:val="auto"/>
                      <w:sz w:val="21"/>
                      <w:szCs w:val="21"/>
                    </w:rPr>
                    <w:t>CO</w:t>
                  </w:r>
                </w:p>
              </w:tc>
              <w:tc>
                <w:tcPr>
                  <w:tcW w:w="1284" w:type="pct"/>
                  <w:tcBorders>
                    <w:top w:val="single" w:color="auto" w:sz="4" w:space="0"/>
                    <w:left w:val="single" w:color="auto" w:sz="4" w:space="0"/>
                    <w:bottom w:val="single" w:color="auto" w:sz="4" w:space="0"/>
                    <w:right w:val="single" w:color="auto" w:sz="4" w:space="0"/>
                  </w:tcBorders>
                  <w:vAlign w:val="center"/>
                </w:tcPr>
                <w:p w14:paraId="23CB90FB">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5385BBA2">
                  <w:pPr>
                    <w:jc w:val="center"/>
                    <w:rPr>
                      <w:color w:val="auto"/>
                      <w:sz w:val="21"/>
                      <w:szCs w:val="21"/>
                    </w:rPr>
                  </w:pPr>
                  <w:r>
                    <w:rPr>
                      <w:color w:val="auto"/>
                      <w:sz w:val="21"/>
                      <w:szCs w:val="21"/>
                    </w:rPr>
                    <w:t>4</w:t>
                  </w:r>
                </w:p>
              </w:tc>
              <w:tc>
                <w:tcPr>
                  <w:tcW w:w="577" w:type="pct"/>
                  <w:vMerge w:val="restart"/>
                  <w:tcBorders>
                    <w:top w:val="single" w:color="auto" w:sz="4" w:space="0"/>
                    <w:left w:val="single" w:color="auto" w:sz="4" w:space="0"/>
                    <w:bottom w:val="single" w:color="auto" w:sz="4" w:space="0"/>
                    <w:right w:val="single" w:color="auto" w:sz="4" w:space="0"/>
                  </w:tcBorders>
                  <w:vAlign w:val="center"/>
                </w:tcPr>
                <w:p w14:paraId="4C7C1682">
                  <w:pPr>
                    <w:jc w:val="center"/>
                    <w:rPr>
                      <w:color w:val="auto"/>
                      <w:sz w:val="21"/>
                      <w:szCs w:val="21"/>
                    </w:rPr>
                  </w:pPr>
                  <w:r>
                    <w:rPr>
                      <w:color w:val="auto"/>
                      <w:sz w:val="21"/>
                      <w:szCs w:val="21"/>
                    </w:rPr>
                    <w:t>mg/m</w:t>
                  </w:r>
                  <w:r>
                    <w:rPr>
                      <w:color w:val="auto"/>
                      <w:sz w:val="21"/>
                      <w:szCs w:val="21"/>
                      <w:vertAlign w:val="superscript"/>
                    </w:rPr>
                    <w:t>3</w:t>
                  </w:r>
                </w:p>
              </w:tc>
              <w:tc>
                <w:tcPr>
                  <w:tcW w:w="1144" w:type="pct"/>
                  <w:vMerge w:val="continue"/>
                  <w:tcBorders>
                    <w:left w:val="single" w:color="auto" w:sz="4" w:space="0"/>
                    <w:right w:val="single" w:color="auto" w:sz="4" w:space="0"/>
                  </w:tcBorders>
                  <w:vAlign w:val="center"/>
                </w:tcPr>
                <w:p w14:paraId="4F785F34">
                  <w:pPr>
                    <w:jc w:val="center"/>
                    <w:rPr>
                      <w:color w:val="auto"/>
                      <w:sz w:val="21"/>
                      <w:szCs w:val="21"/>
                    </w:rPr>
                  </w:pPr>
                </w:p>
              </w:tc>
            </w:tr>
            <w:tr w14:paraId="41DCAA5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27DF5483">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3DB9E3C8">
                  <w:pPr>
                    <w:jc w:val="center"/>
                    <w:rPr>
                      <w:color w:val="auto"/>
                      <w:sz w:val="21"/>
                      <w:szCs w:val="21"/>
                    </w:rPr>
                  </w:pPr>
                  <w:r>
                    <w:rPr>
                      <w:color w:val="auto"/>
                      <w:sz w:val="21"/>
                      <w:szCs w:val="21"/>
                    </w:rPr>
                    <w:t>1</w:t>
                  </w:r>
                  <w:r>
                    <w:rPr>
                      <w:rFonts w:hint="eastAsia"/>
                      <w:color w:val="auto"/>
                      <w:sz w:val="21"/>
                      <w:szCs w:val="21"/>
                    </w:rPr>
                    <w:t>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1F64405B">
                  <w:pPr>
                    <w:jc w:val="center"/>
                    <w:rPr>
                      <w:color w:val="auto"/>
                      <w:sz w:val="21"/>
                      <w:szCs w:val="21"/>
                    </w:rPr>
                  </w:pPr>
                  <w:r>
                    <w:rPr>
                      <w:color w:val="auto"/>
                      <w:sz w:val="21"/>
                      <w:szCs w:val="21"/>
                    </w:rPr>
                    <w:t>10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6405AE96">
                  <w:pPr>
                    <w:jc w:val="center"/>
                    <w:rPr>
                      <w:color w:val="auto"/>
                      <w:sz w:val="21"/>
                      <w:szCs w:val="21"/>
                    </w:rPr>
                  </w:pPr>
                </w:p>
              </w:tc>
              <w:tc>
                <w:tcPr>
                  <w:tcW w:w="1144" w:type="pct"/>
                  <w:vMerge w:val="continue"/>
                  <w:tcBorders>
                    <w:left w:val="single" w:color="auto" w:sz="4" w:space="0"/>
                    <w:right w:val="single" w:color="auto" w:sz="4" w:space="0"/>
                  </w:tcBorders>
                  <w:vAlign w:val="center"/>
                </w:tcPr>
                <w:p w14:paraId="49078DED">
                  <w:pPr>
                    <w:jc w:val="center"/>
                    <w:rPr>
                      <w:color w:val="auto"/>
                      <w:sz w:val="21"/>
                      <w:szCs w:val="21"/>
                    </w:rPr>
                  </w:pPr>
                </w:p>
              </w:tc>
            </w:tr>
            <w:tr w14:paraId="05B4ED6F">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497FC55D">
                  <w:pPr>
                    <w:jc w:val="center"/>
                    <w:rPr>
                      <w:color w:val="auto"/>
                      <w:sz w:val="21"/>
                      <w:szCs w:val="21"/>
                    </w:rPr>
                  </w:pPr>
                  <w:r>
                    <w:rPr>
                      <w:color w:val="auto"/>
                      <w:sz w:val="21"/>
                      <w:szCs w:val="21"/>
                    </w:rPr>
                    <w:t>O</w:t>
                  </w:r>
                  <w:r>
                    <w:rPr>
                      <w:color w:val="auto"/>
                      <w:sz w:val="21"/>
                      <w:szCs w:val="21"/>
                      <w:vertAlign w:val="subscript"/>
                    </w:rPr>
                    <w:t>3</w:t>
                  </w:r>
                </w:p>
              </w:tc>
              <w:tc>
                <w:tcPr>
                  <w:tcW w:w="1284" w:type="pct"/>
                  <w:tcBorders>
                    <w:top w:val="single" w:color="auto" w:sz="4" w:space="0"/>
                    <w:left w:val="single" w:color="auto" w:sz="4" w:space="0"/>
                    <w:bottom w:val="single" w:color="auto" w:sz="4" w:space="0"/>
                    <w:right w:val="single" w:color="auto" w:sz="4" w:space="0"/>
                  </w:tcBorders>
                  <w:vAlign w:val="center"/>
                </w:tcPr>
                <w:p w14:paraId="45C360FE">
                  <w:pPr>
                    <w:jc w:val="center"/>
                    <w:rPr>
                      <w:color w:val="auto"/>
                      <w:sz w:val="21"/>
                      <w:szCs w:val="21"/>
                    </w:rPr>
                  </w:pPr>
                  <w:r>
                    <w:rPr>
                      <w:rFonts w:hint="eastAsia"/>
                      <w:color w:val="auto"/>
                      <w:sz w:val="21"/>
                      <w:szCs w:val="21"/>
                    </w:rPr>
                    <w:t>日最大</w:t>
                  </w:r>
                  <w:r>
                    <w:rPr>
                      <w:color w:val="auto"/>
                      <w:sz w:val="21"/>
                      <w:szCs w:val="21"/>
                    </w:rPr>
                    <w:t>8</w:t>
                  </w:r>
                  <w:r>
                    <w:rPr>
                      <w:rFonts w:hint="eastAsia"/>
                      <w:color w:val="auto"/>
                      <w:sz w:val="21"/>
                      <w:szCs w:val="21"/>
                    </w:rPr>
                    <w:t>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736CD2CD">
                  <w:pPr>
                    <w:jc w:val="center"/>
                    <w:rPr>
                      <w:color w:val="auto"/>
                      <w:sz w:val="21"/>
                      <w:szCs w:val="21"/>
                    </w:rPr>
                  </w:pPr>
                  <w:r>
                    <w:rPr>
                      <w:color w:val="auto"/>
                      <w:sz w:val="21"/>
                      <w:szCs w:val="21"/>
                    </w:rPr>
                    <w:t>160</w:t>
                  </w:r>
                </w:p>
              </w:tc>
              <w:tc>
                <w:tcPr>
                  <w:tcW w:w="577" w:type="pct"/>
                  <w:vMerge w:val="restart"/>
                  <w:tcBorders>
                    <w:top w:val="single" w:color="auto" w:sz="4" w:space="0"/>
                    <w:left w:val="single" w:color="auto" w:sz="4" w:space="0"/>
                    <w:bottom w:val="single" w:color="auto" w:sz="4" w:space="0"/>
                    <w:right w:val="single" w:color="auto" w:sz="4" w:space="0"/>
                  </w:tcBorders>
                  <w:vAlign w:val="center"/>
                </w:tcPr>
                <w:p w14:paraId="30DFFD35">
                  <w:pPr>
                    <w:jc w:val="center"/>
                    <w:rPr>
                      <w:color w:val="auto"/>
                      <w:sz w:val="21"/>
                      <w:szCs w:val="21"/>
                    </w:rPr>
                  </w:pPr>
                  <w:r>
                    <w:rPr>
                      <w:color w:val="auto"/>
                      <w:sz w:val="21"/>
                      <w:szCs w:val="21"/>
                    </w:rPr>
                    <w:t>μg/m</w:t>
                  </w:r>
                  <w:r>
                    <w:rPr>
                      <w:color w:val="auto"/>
                      <w:sz w:val="21"/>
                      <w:szCs w:val="21"/>
                      <w:vertAlign w:val="superscript"/>
                    </w:rPr>
                    <w:t>3</w:t>
                  </w:r>
                </w:p>
              </w:tc>
              <w:tc>
                <w:tcPr>
                  <w:tcW w:w="1144" w:type="pct"/>
                  <w:vMerge w:val="continue"/>
                  <w:tcBorders>
                    <w:left w:val="single" w:color="auto" w:sz="4" w:space="0"/>
                    <w:right w:val="single" w:color="auto" w:sz="4" w:space="0"/>
                  </w:tcBorders>
                  <w:vAlign w:val="center"/>
                </w:tcPr>
                <w:p w14:paraId="1C01A21D">
                  <w:pPr>
                    <w:jc w:val="center"/>
                    <w:rPr>
                      <w:color w:val="auto"/>
                      <w:sz w:val="21"/>
                      <w:szCs w:val="21"/>
                    </w:rPr>
                  </w:pPr>
                </w:p>
              </w:tc>
            </w:tr>
            <w:tr w14:paraId="31F53DD5">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090565F6">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2F254F68">
                  <w:pPr>
                    <w:jc w:val="center"/>
                    <w:rPr>
                      <w:color w:val="auto"/>
                      <w:sz w:val="21"/>
                      <w:szCs w:val="21"/>
                    </w:rPr>
                  </w:pPr>
                  <w:r>
                    <w:rPr>
                      <w:color w:val="auto"/>
                      <w:sz w:val="21"/>
                      <w:szCs w:val="21"/>
                    </w:rPr>
                    <w:t>1</w:t>
                  </w:r>
                  <w:r>
                    <w:rPr>
                      <w:rFonts w:hint="eastAsia"/>
                      <w:color w:val="auto"/>
                      <w:sz w:val="21"/>
                      <w:szCs w:val="21"/>
                    </w:rPr>
                    <w:t>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456415BC">
                  <w:pPr>
                    <w:jc w:val="center"/>
                    <w:rPr>
                      <w:color w:val="auto"/>
                      <w:sz w:val="21"/>
                      <w:szCs w:val="21"/>
                    </w:rPr>
                  </w:pPr>
                  <w:r>
                    <w:rPr>
                      <w:color w:val="auto"/>
                      <w:sz w:val="21"/>
                      <w:szCs w:val="21"/>
                    </w:rPr>
                    <w:t>200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2BA295AE">
                  <w:pPr>
                    <w:jc w:val="center"/>
                    <w:rPr>
                      <w:color w:val="auto"/>
                      <w:sz w:val="21"/>
                      <w:szCs w:val="21"/>
                    </w:rPr>
                  </w:pPr>
                </w:p>
              </w:tc>
              <w:tc>
                <w:tcPr>
                  <w:tcW w:w="1144" w:type="pct"/>
                  <w:vMerge w:val="continue"/>
                  <w:tcBorders>
                    <w:left w:val="single" w:color="auto" w:sz="4" w:space="0"/>
                    <w:right w:val="single" w:color="auto" w:sz="4" w:space="0"/>
                  </w:tcBorders>
                  <w:vAlign w:val="center"/>
                </w:tcPr>
                <w:p w14:paraId="1754F986">
                  <w:pPr>
                    <w:jc w:val="center"/>
                    <w:rPr>
                      <w:color w:val="auto"/>
                      <w:sz w:val="21"/>
                      <w:szCs w:val="21"/>
                    </w:rPr>
                  </w:pPr>
                </w:p>
              </w:tc>
            </w:tr>
            <w:tr w14:paraId="47F9428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2851D80A">
                  <w:pPr>
                    <w:jc w:val="center"/>
                    <w:rPr>
                      <w:color w:val="auto"/>
                      <w:sz w:val="21"/>
                      <w:szCs w:val="21"/>
                    </w:rPr>
                  </w:pPr>
                  <w:r>
                    <w:rPr>
                      <w:color w:val="auto"/>
                      <w:sz w:val="21"/>
                      <w:szCs w:val="21"/>
                    </w:rPr>
                    <w:t>PM</w:t>
                  </w:r>
                  <w:r>
                    <w:rPr>
                      <w:color w:val="auto"/>
                      <w:sz w:val="21"/>
                      <w:szCs w:val="21"/>
                      <w:vertAlign w:val="subscript"/>
                    </w:rPr>
                    <w:t>10</w:t>
                  </w:r>
                </w:p>
              </w:tc>
              <w:tc>
                <w:tcPr>
                  <w:tcW w:w="1284" w:type="pct"/>
                  <w:tcBorders>
                    <w:top w:val="single" w:color="auto" w:sz="4" w:space="0"/>
                    <w:left w:val="single" w:color="auto" w:sz="4" w:space="0"/>
                    <w:bottom w:val="single" w:color="auto" w:sz="4" w:space="0"/>
                    <w:right w:val="single" w:color="auto" w:sz="4" w:space="0"/>
                  </w:tcBorders>
                  <w:vAlign w:val="center"/>
                </w:tcPr>
                <w:p w14:paraId="66D9D24B">
                  <w:pPr>
                    <w:jc w:val="center"/>
                    <w:rPr>
                      <w:color w:val="auto"/>
                      <w:sz w:val="21"/>
                      <w:szCs w:val="21"/>
                    </w:rPr>
                  </w:pPr>
                  <w:r>
                    <w:rPr>
                      <w:rFonts w:hint="eastAsia"/>
                      <w:color w:val="auto"/>
                      <w:sz w:val="21"/>
                      <w:szCs w:val="21"/>
                    </w:rPr>
                    <w:t>年平均</w:t>
                  </w:r>
                </w:p>
              </w:tc>
              <w:tc>
                <w:tcPr>
                  <w:tcW w:w="1163" w:type="pct"/>
                  <w:tcBorders>
                    <w:top w:val="single" w:color="auto" w:sz="4" w:space="0"/>
                    <w:left w:val="single" w:color="auto" w:sz="4" w:space="0"/>
                    <w:bottom w:val="single" w:color="auto" w:sz="4" w:space="0"/>
                    <w:right w:val="single" w:color="auto" w:sz="4" w:space="0"/>
                  </w:tcBorders>
                  <w:vAlign w:val="center"/>
                </w:tcPr>
                <w:p w14:paraId="4D657F35">
                  <w:pPr>
                    <w:jc w:val="center"/>
                    <w:rPr>
                      <w:color w:val="auto"/>
                      <w:sz w:val="21"/>
                      <w:szCs w:val="21"/>
                    </w:rPr>
                  </w:pPr>
                  <w:r>
                    <w:rPr>
                      <w:rFonts w:hint="eastAsia"/>
                      <w:color w:val="auto"/>
                      <w:sz w:val="21"/>
                      <w:szCs w:val="21"/>
                    </w:rPr>
                    <w:t>60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49CDE6AD">
                  <w:pPr>
                    <w:jc w:val="center"/>
                    <w:rPr>
                      <w:color w:val="auto"/>
                      <w:sz w:val="21"/>
                      <w:szCs w:val="21"/>
                    </w:rPr>
                  </w:pPr>
                </w:p>
              </w:tc>
              <w:tc>
                <w:tcPr>
                  <w:tcW w:w="1144" w:type="pct"/>
                  <w:vMerge w:val="continue"/>
                  <w:tcBorders>
                    <w:left w:val="single" w:color="auto" w:sz="4" w:space="0"/>
                    <w:right w:val="single" w:color="auto" w:sz="4" w:space="0"/>
                  </w:tcBorders>
                  <w:vAlign w:val="center"/>
                </w:tcPr>
                <w:p w14:paraId="7B174D31">
                  <w:pPr>
                    <w:jc w:val="center"/>
                    <w:rPr>
                      <w:color w:val="auto"/>
                      <w:sz w:val="21"/>
                      <w:szCs w:val="21"/>
                    </w:rPr>
                  </w:pPr>
                </w:p>
              </w:tc>
            </w:tr>
            <w:tr w14:paraId="6CA9696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407A9E25">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3B11CE81">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352BF545">
                  <w:pPr>
                    <w:jc w:val="center"/>
                    <w:rPr>
                      <w:color w:val="auto"/>
                      <w:sz w:val="21"/>
                      <w:szCs w:val="21"/>
                    </w:rPr>
                  </w:pPr>
                  <w:r>
                    <w:rPr>
                      <w:rFonts w:hint="eastAsia"/>
                      <w:color w:val="auto"/>
                      <w:sz w:val="21"/>
                      <w:szCs w:val="21"/>
                    </w:rPr>
                    <w:t>120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726D19B3">
                  <w:pPr>
                    <w:jc w:val="center"/>
                    <w:rPr>
                      <w:color w:val="auto"/>
                      <w:sz w:val="21"/>
                      <w:szCs w:val="21"/>
                    </w:rPr>
                  </w:pPr>
                </w:p>
              </w:tc>
              <w:tc>
                <w:tcPr>
                  <w:tcW w:w="1144" w:type="pct"/>
                  <w:vMerge w:val="continue"/>
                  <w:tcBorders>
                    <w:left w:val="single" w:color="auto" w:sz="4" w:space="0"/>
                    <w:right w:val="single" w:color="auto" w:sz="4" w:space="0"/>
                  </w:tcBorders>
                  <w:vAlign w:val="center"/>
                </w:tcPr>
                <w:p w14:paraId="5E7FECB9">
                  <w:pPr>
                    <w:jc w:val="center"/>
                    <w:rPr>
                      <w:color w:val="auto"/>
                      <w:sz w:val="21"/>
                      <w:szCs w:val="21"/>
                    </w:rPr>
                  </w:pPr>
                </w:p>
              </w:tc>
            </w:tr>
            <w:tr w14:paraId="202B1941">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3A3E2382">
                  <w:pPr>
                    <w:jc w:val="center"/>
                    <w:rPr>
                      <w:color w:val="auto"/>
                      <w:sz w:val="21"/>
                      <w:szCs w:val="21"/>
                    </w:rPr>
                  </w:pPr>
                  <w:r>
                    <w:rPr>
                      <w:color w:val="auto"/>
                      <w:sz w:val="21"/>
                      <w:szCs w:val="21"/>
                    </w:rPr>
                    <w:t>PM</w:t>
                  </w:r>
                  <w:r>
                    <w:rPr>
                      <w:color w:val="auto"/>
                      <w:sz w:val="21"/>
                      <w:szCs w:val="21"/>
                      <w:vertAlign w:val="subscript"/>
                    </w:rPr>
                    <w:t>2.5</w:t>
                  </w:r>
                </w:p>
              </w:tc>
              <w:tc>
                <w:tcPr>
                  <w:tcW w:w="1284" w:type="pct"/>
                  <w:tcBorders>
                    <w:top w:val="single" w:color="auto" w:sz="4" w:space="0"/>
                    <w:left w:val="single" w:color="auto" w:sz="4" w:space="0"/>
                    <w:bottom w:val="single" w:color="auto" w:sz="4" w:space="0"/>
                    <w:right w:val="single" w:color="auto" w:sz="4" w:space="0"/>
                  </w:tcBorders>
                  <w:vAlign w:val="center"/>
                </w:tcPr>
                <w:p w14:paraId="7CE512F5">
                  <w:pPr>
                    <w:jc w:val="center"/>
                    <w:rPr>
                      <w:color w:val="auto"/>
                      <w:sz w:val="21"/>
                      <w:szCs w:val="21"/>
                    </w:rPr>
                  </w:pPr>
                  <w:r>
                    <w:rPr>
                      <w:rFonts w:hint="eastAsia"/>
                      <w:color w:val="auto"/>
                      <w:sz w:val="21"/>
                      <w:szCs w:val="21"/>
                    </w:rPr>
                    <w:t>年平均</w:t>
                  </w:r>
                </w:p>
              </w:tc>
              <w:tc>
                <w:tcPr>
                  <w:tcW w:w="1163" w:type="pct"/>
                  <w:tcBorders>
                    <w:top w:val="single" w:color="auto" w:sz="4" w:space="0"/>
                    <w:left w:val="single" w:color="auto" w:sz="4" w:space="0"/>
                    <w:bottom w:val="single" w:color="auto" w:sz="4" w:space="0"/>
                    <w:right w:val="single" w:color="auto" w:sz="4" w:space="0"/>
                  </w:tcBorders>
                  <w:vAlign w:val="center"/>
                </w:tcPr>
                <w:p w14:paraId="7B152DF2">
                  <w:pPr>
                    <w:jc w:val="center"/>
                    <w:rPr>
                      <w:color w:val="auto"/>
                      <w:sz w:val="21"/>
                      <w:szCs w:val="21"/>
                    </w:rPr>
                  </w:pPr>
                  <w:r>
                    <w:rPr>
                      <w:rFonts w:hint="eastAsia"/>
                      <w:color w:val="auto"/>
                      <w:sz w:val="21"/>
                      <w:szCs w:val="21"/>
                    </w:rPr>
                    <w:t>30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7690A14F">
                  <w:pPr>
                    <w:jc w:val="center"/>
                    <w:rPr>
                      <w:color w:val="auto"/>
                      <w:sz w:val="21"/>
                      <w:szCs w:val="21"/>
                    </w:rPr>
                  </w:pPr>
                </w:p>
              </w:tc>
              <w:tc>
                <w:tcPr>
                  <w:tcW w:w="1144" w:type="pct"/>
                  <w:vMerge w:val="continue"/>
                  <w:tcBorders>
                    <w:left w:val="single" w:color="auto" w:sz="4" w:space="0"/>
                    <w:right w:val="single" w:color="auto" w:sz="4" w:space="0"/>
                  </w:tcBorders>
                  <w:vAlign w:val="center"/>
                </w:tcPr>
                <w:p w14:paraId="25895268">
                  <w:pPr>
                    <w:jc w:val="center"/>
                    <w:rPr>
                      <w:color w:val="auto"/>
                      <w:sz w:val="21"/>
                      <w:szCs w:val="21"/>
                    </w:rPr>
                  </w:pPr>
                </w:p>
              </w:tc>
            </w:tr>
            <w:tr w14:paraId="62E60E5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3074924E">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031D7CF4">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1D4F3C1D">
                  <w:pPr>
                    <w:jc w:val="center"/>
                    <w:rPr>
                      <w:color w:val="auto"/>
                      <w:sz w:val="21"/>
                      <w:szCs w:val="21"/>
                    </w:rPr>
                  </w:pPr>
                  <w:r>
                    <w:rPr>
                      <w:rFonts w:hint="eastAsia"/>
                      <w:color w:val="auto"/>
                      <w:sz w:val="21"/>
                      <w:szCs w:val="21"/>
                    </w:rPr>
                    <w:t>60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03C1E31B">
                  <w:pPr>
                    <w:jc w:val="center"/>
                    <w:rPr>
                      <w:color w:val="auto"/>
                      <w:sz w:val="21"/>
                      <w:szCs w:val="21"/>
                    </w:rPr>
                  </w:pPr>
                </w:p>
              </w:tc>
              <w:tc>
                <w:tcPr>
                  <w:tcW w:w="1144" w:type="pct"/>
                  <w:vMerge w:val="continue"/>
                  <w:tcBorders>
                    <w:left w:val="single" w:color="auto" w:sz="4" w:space="0"/>
                    <w:right w:val="single" w:color="auto" w:sz="4" w:space="0"/>
                  </w:tcBorders>
                  <w:vAlign w:val="center"/>
                </w:tcPr>
                <w:p w14:paraId="403240A0">
                  <w:pPr>
                    <w:jc w:val="center"/>
                    <w:rPr>
                      <w:color w:val="auto"/>
                      <w:sz w:val="21"/>
                      <w:szCs w:val="21"/>
                    </w:rPr>
                  </w:pPr>
                </w:p>
              </w:tc>
            </w:tr>
            <w:tr w14:paraId="68C25FC8">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284" w:hRule="atLeast"/>
                <w:jc w:val="center"/>
              </w:trPr>
              <w:tc>
                <w:tcPr>
                  <w:tcW w:w="830" w:type="pct"/>
                  <w:vMerge w:val="restart"/>
                  <w:tcBorders>
                    <w:top w:val="single" w:color="auto" w:sz="4" w:space="0"/>
                    <w:left w:val="single" w:color="auto" w:sz="2" w:space="0"/>
                    <w:bottom w:val="single" w:color="auto" w:sz="4" w:space="0"/>
                    <w:right w:val="single" w:color="auto" w:sz="4" w:space="0"/>
                  </w:tcBorders>
                  <w:vAlign w:val="center"/>
                </w:tcPr>
                <w:p w14:paraId="2EC1261A">
                  <w:pPr>
                    <w:jc w:val="center"/>
                    <w:rPr>
                      <w:color w:val="auto"/>
                      <w:sz w:val="21"/>
                      <w:szCs w:val="21"/>
                    </w:rPr>
                  </w:pPr>
                  <w:r>
                    <w:rPr>
                      <w:color w:val="auto"/>
                      <w:sz w:val="21"/>
                      <w:szCs w:val="21"/>
                    </w:rPr>
                    <w:t>TSP</w:t>
                  </w:r>
                </w:p>
              </w:tc>
              <w:tc>
                <w:tcPr>
                  <w:tcW w:w="1284" w:type="pct"/>
                  <w:tcBorders>
                    <w:top w:val="single" w:color="auto" w:sz="4" w:space="0"/>
                    <w:left w:val="single" w:color="auto" w:sz="4" w:space="0"/>
                    <w:bottom w:val="single" w:color="auto" w:sz="4" w:space="0"/>
                    <w:right w:val="single" w:color="auto" w:sz="4" w:space="0"/>
                  </w:tcBorders>
                  <w:vAlign w:val="center"/>
                </w:tcPr>
                <w:p w14:paraId="42DF8F02">
                  <w:pPr>
                    <w:jc w:val="center"/>
                    <w:rPr>
                      <w:color w:val="auto"/>
                      <w:sz w:val="21"/>
                      <w:szCs w:val="21"/>
                    </w:rPr>
                  </w:pPr>
                  <w:r>
                    <w:rPr>
                      <w:rFonts w:hint="eastAsia"/>
                      <w:color w:val="auto"/>
                      <w:sz w:val="21"/>
                      <w:szCs w:val="21"/>
                    </w:rPr>
                    <w:t>年平均</w:t>
                  </w:r>
                </w:p>
              </w:tc>
              <w:tc>
                <w:tcPr>
                  <w:tcW w:w="1163" w:type="pct"/>
                  <w:tcBorders>
                    <w:top w:val="single" w:color="auto" w:sz="4" w:space="0"/>
                    <w:left w:val="single" w:color="auto" w:sz="4" w:space="0"/>
                    <w:bottom w:val="single" w:color="auto" w:sz="4" w:space="0"/>
                    <w:right w:val="single" w:color="auto" w:sz="4" w:space="0"/>
                  </w:tcBorders>
                  <w:vAlign w:val="center"/>
                </w:tcPr>
                <w:p w14:paraId="157E1838">
                  <w:pPr>
                    <w:jc w:val="center"/>
                    <w:rPr>
                      <w:color w:val="auto"/>
                      <w:sz w:val="21"/>
                      <w:szCs w:val="21"/>
                    </w:rPr>
                  </w:pPr>
                  <w:r>
                    <w:rPr>
                      <w:color w:val="auto"/>
                      <w:sz w:val="21"/>
                      <w:szCs w:val="21"/>
                    </w:rPr>
                    <w:t>200</w:t>
                  </w:r>
                </w:p>
              </w:tc>
              <w:tc>
                <w:tcPr>
                  <w:tcW w:w="577" w:type="pct"/>
                  <w:vMerge w:val="restart"/>
                  <w:tcBorders>
                    <w:top w:val="single" w:color="auto" w:sz="4" w:space="0"/>
                    <w:left w:val="single" w:color="auto" w:sz="4" w:space="0"/>
                    <w:bottom w:val="single" w:color="auto" w:sz="4" w:space="0"/>
                    <w:right w:val="single" w:color="auto" w:sz="4" w:space="0"/>
                  </w:tcBorders>
                  <w:vAlign w:val="center"/>
                </w:tcPr>
                <w:p w14:paraId="2173E3AD">
                  <w:pPr>
                    <w:jc w:val="center"/>
                    <w:rPr>
                      <w:color w:val="auto"/>
                      <w:sz w:val="21"/>
                      <w:szCs w:val="21"/>
                    </w:rPr>
                  </w:pPr>
                  <w:r>
                    <w:rPr>
                      <w:color w:val="auto"/>
                      <w:sz w:val="21"/>
                      <w:szCs w:val="21"/>
                    </w:rPr>
                    <w:t>μg/m</w:t>
                  </w:r>
                  <w:r>
                    <w:rPr>
                      <w:color w:val="auto"/>
                      <w:sz w:val="21"/>
                      <w:szCs w:val="21"/>
                      <w:vertAlign w:val="superscript"/>
                    </w:rPr>
                    <w:t>3</w:t>
                  </w:r>
                </w:p>
              </w:tc>
              <w:tc>
                <w:tcPr>
                  <w:tcW w:w="1144" w:type="pct"/>
                  <w:vMerge w:val="continue"/>
                  <w:tcBorders>
                    <w:left w:val="single" w:color="auto" w:sz="4" w:space="0"/>
                    <w:right w:val="single" w:color="auto" w:sz="4" w:space="0"/>
                  </w:tcBorders>
                  <w:vAlign w:val="center"/>
                </w:tcPr>
                <w:p w14:paraId="75F23AB0">
                  <w:pPr>
                    <w:jc w:val="center"/>
                    <w:rPr>
                      <w:color w:val="auto"/>
                      <w:sz w:val="21"/>
                      <w:szCs w:val="21"/>
                    </w:rPr>
                  </w:pPr>
                </w:p>
              </w:tc>
            </w:tr>
            <w:tr w14:paraId="147877A0">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PrEx>
              <w:trPr>
                <w:trHeight w:val="284" w:hRule="atLeast"/>
                <w:jc w:val="center"/>
              </w:trPr>
              <w:tc>
                <w:tcPr>
                  <w:tcW w:w="830" w:type="pct"/>
                  <w:vMerge w:val="continue"/>
                  <w:tcBorders>
                    <w:top w:val="single" w:color="auto" w:sz="4" w:space="0"/>
                    <w:left w:val="single" w:color="auto" w:sz="2" w:space="0"/>
                    <w:bottom w:val="single" w:color="auto" w:sz="4" w:space="0"/>
                    <w:right w:val="single" w:color="auto" w:sz="4" w:space="0"/>
                  </w:tcBorders>
                  <w:vAlign w:val="center"/>
                </w:tcPr>
                <w:p w14:paraId="03E16097">
                  <w:pPr>
                    <w:jc w:val="center"/>
                    <w:rPr>
                      <w:color w:val="auto"/>
                      <w:sz w:val="21"/>
                      <w:szCs w:val="21"/>
                    </w:rPr>
                  </w:pPr>
                </w:p>
              </w:tc>
              <w:tc>
                <w:tcPr>
                  <w:tcW w:w="1284" w:type="pct"/>
                  <w:tcBorders>
                    <w:top w:val="single" w:color="auto" w:sz="4" w:space="0"/>
                    <w:left w:val="single" w:color="auto" w:sz="4" w:space="0"/>
                    <w:bottom w:val="single" w:color="auto" w:sz="4" w:space="0"/>
                    <w:right w:val="single" w:color="auto" w:sz="4" w:space="0"/>
                  </w:tcBorders>
                  <w:vAlign w:val="center"/>
                </w:tcPr>
                <w:p w14:paraId="784327AA">
                  <w:pPr>
                    <w:jc w:val="center"/>
                    <w:rPr>
                      <w:color w:val="auto"/>
                      <w:sz w:val="21"/>
                      <w:szCs w:val="21"/>
                    </w:rPr>
                  </w:pPr>
                  <w:r>
                    <w:rPr>
                      <w:rFonts w:hint="eastAsia"/>
                      <w:color w:val="auto"/>
                      <w:sz w:val="21"/>
                      <w:szCs w:val="21"/>
                    </w:rPr>
                    <w:t>日平均</w:t>
                  </w:r>
                </w:p>
              </w:tc>
              <w:tc>
                <w:tcPr>
                  <w:tcW w:w="1163" w:type="pct"/>
                  <w:tcBorders>
                    <w:top w:val="single" w:color="auto" w:sz="4" w:space="0"/>
                    <w:left w:val="single" w:color="auto" w:sz="4" w:space="0"/>
                    <w:bottom w:val="single" w:color="auto" w:sz="4" w:space="0"/>
                    <w:right w:val="single" w:color="auto" w:sz="4" w:space="0"/>
                  </w:tcBorders>
                  <w:vAlign w:val="center"/>
                </w:tcPr>
                <w:p w14:paraId="4355A868">
                  <w:pPr>
                    <w:jc w:val="center"/>
                    <w:rPr>
                      <w:color w:val="auto"/>
                      <w:sz w:val="21"/>
                      <w:szCs w:val="21"/>
                    </w:rPr>
                  </w:pPr>
                  <w:r>
                    <w:rPr>
                      <w:color w:val="auto"/>
                      <w:sz w:val="21"/>
                      <w:szCs w:val="21"/>
                    </w:rPr>
                    <w:t>300</w:t>
                  </w:r>
                </w:p>
              </w:tc>
              <w:tc>
                <w:tcPr>
                  <w:tcW w:w="577" w:type="pct"/>
                  <w:vMerge w:val="continue"/>
                  <w:tcBorders>
                    <w:top w:val="single" w:color="auto" w:sz="4" w:space="0"/>
                    <w:left w:val="single" w:color="auto" w:sz="4" w:space="0"/>
                    <w:bottom w:val="single" w:color="auto" w:sz="4" w:space="0"/>
                    <w:right w:val="single" w:color="auto" w:sz="4" w:space="0"/>
                  </w:tcBorders>
                  <w:vAlign w:val="center"/>
                </w:tcPr>
                <w:p w14:paraId="482A7D2A">
                  <w:pPr>
                    <w:jc w:val="center"/>
                    <w:rPr>
                      <w:color w:val="auto"/>
                      <w:sz w:val="21"/>
                      <w:szCs w:val="21"/>
                    </w:rPr>
                  </w:pPr>
                </w:p>
              </w:tc>
              <w:tc>
                <w:tcPr>
                  <w:tcW w:w="1144" w:type="pct"/>
                  <w:vMerge w:val="continue"/>
                  <w:tcBorders>
                    <w:left w:val="single" w:color="auto" w:sz="4" w:space="0"/>
                    <w:bottom w:val="single" w:color="auto" w:sz="4" w:space="0"/>
                    <w:right w:val="single" w:color="auto" w:sz="4" w:space="0"/>
                  </w:tcBorders>
                  <w:vAlign w:val="center"/>
                </w:tcPr>
                <w:p w14:paraId="211096DE">
                  <w:pPr>
                    <w:jc w:val="center"/>
                    <w:rPr>
                      <w:color w:val="auto"/>
                      <w:sz w:val="21"/>
                      <w:szCs w:val="21"/>
                    </w:rPr>
                  </w:pPr>
                </w:p>
              </w:tc>
            </w:tr>
            <w:tr w14:paraId="0B1BE4AB">
              <w:tblPrEx>
                <w:tblBorders>
                  <w:top w:val="single" w:color="auto" w:sz="2" w:space="0"/>
                  <w:left w:val="single" w:color="auto" w:sz="2" w:space="0"/>
                  <w:bottom w:val="single" w:color="auto" w:sz="2" w:space="0"/>
                  <w:right w:val="single" w:color="auto" w:sz="2"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830" w:type="pct"/>
                  <w:tcBorders>
                    <w:top w:val="single" w:color="auto" w:sz="4" w:space="0"/>
                    <w:left w:val="single" w:color="auto" w:sz="2" w:space="0"/>
                    <w:bottom w:val="single" w:color="auto" w:sz="4" w:space="0"/>
                    <w:right w:val="single" w:color="auto" w:sz="4" w:space="0"/>
                  </w:tcBorders>
                  <w:vAlign w:val="center"/>
                </w:tcPr>
                <w:p w14:paraId="6C91F8B5">
                  <w:pPr>
                    <w:jc w:val="center"/>
                    <w:rPr>
                      <w:color w:val="auto"/>
                      <w:sz w:val="21"/>
                      <w:szCs w:val="21"/>
                    </w:rPr>
                  </w:pPr>
                  <w:r>
                    <w:rPr>
                      <w:rFonts w:hint="eastAsia"/>
                      <w:color w:val="auto"/>
                      <w:sz w:val="21"/>
                      <w:szCs w:val="21"/>
                    </w:rPr>
                    <w:t>H</w:t>
                  </w:r>
                  <w:r>
                    <w:rPr>
                      <w:rFonts w:hint="eastAsia"/>
                      <w:color w:val="auto"/>
                      <w:sz w:val="21"/>
                      <w:szCs w:val="21"/>
                      <w:vertAlign w:val="subscript"/>
                    </w:rPr>
                    <w:t>2</w:t>
                  </w:r>
                  <w:r>
                    <w:rPr>
                      <w:rFonts w:hint="eastAsia"/>
                      <w:color w:val="auto"/>
                      <w:sz w:val="21"/>
                      <w:szCs w:val="21"/>
                    </w:rPr>
                    <w:t>S</w:t>
                  </w:r>
                </w:p>
              </w:tc>
              <w:tc>
                <w:tcPr>
                  <w:tcW w:w="1284" w:type="pct"/>
                  <w:tcBorders>
                    <w:top w:val="single" w:color="auto" w:sz="4" w:space="0"/>
                    <w:left w:val="single" w:color="auto" w:sz="4" w:space="0"/>
                    <w:bottom w:val="single" w:color="auto" w:sz="4" w:space="0"/>
                    <w:right w:val="single" w:color="auto" w:sz="4" w:space="0"/>
                  </w:tcBorders>
                  <w:vAlign w:val="center"/>
                </w:tcPr>
                <w:p w14:paraId="36FF31D0">
                  <w:pPr>
                    <w:jc w:val="center"/>
                    <w:rPr>
                      <w:color w:val="auto"/>
                      <w:sz w:val="21"/>
                      <w:szCs w:val="21"/>
                    </w:rPr>
                  </w:pPr>
                  <w:r>
                    <w:rPr>
                      <w:rFonts w:hint="eastAsia"/>
                      <w:color w:val="auto"/>
                      <w:sz w:val="21"/>
                      <w:szCs w:val="21"/>
                    </w:rPr>
                    <w:t>1小时平均</w:t>
                  </w:r>
                </w:p>
              </w:tc>
              <w:tc>
                <w:tcPr>
                  <w:tcW w:w="1163" w:type="pct"/>
                  <w:tcBorders>
                    <w:top w:val="single" w:color="auto" w:sz="4" w:space="0"/>
                    <w:left w:val="single" w:color="auto" w:sz="4" w:space="0"/>
                    <w:bottom w:val="single" w:color="auto" w:sz="4" w:space="0"/>
                    <w:right w:val="single" w:color="auto" w:sz="4" w:space="0"/>
                  </w:tcBorders>
                  <w:vAlign w:val="center"/>
                </w:tcPr>
                <w:p w14:paraId="7726CE5A">
                  <w:pPr>
                    <w:jc w:val="center"/>
                    <w:rPr>
                      <w:color w:val="auto"/>
                      <w:sz w:val="21"/>
                      <w:szCs w:val="21"/>
                    </w:rPr>
                  </w:pPr>
                  <w:r>
                    <w:rPr>
                      <w:rFonts w:hint="eastAsia"/>
                      <w:color w:val="auto"/>
                      <w:sz w:val="21"/>
                      <w:szCs w:val="21"/>
                    </w:rPr>
                    <w:t>10</w:t>
                  </w:r>
                </w:p>
              </w:tc>
              <w:tc>
                <w:tcPr>
                  <w:tcW w:w="577" w:type="pct"/>
                  <w:tcBorders>
                    <w:top w:val="single" w:color="auto" w:sz="4" w:space="0"/>
                    <w:left w:val="single" w:color="auto" w:sz="4" w:space="0"/>
                    <w:bottom w:val="single" w:color="auto" w:sz="4" w:space="0"/>
                    <w:right w:val="single" w:color="auto" w:sz="4" w:space="0"/>
                  </w:tcBorders>
                  <w:vAlign w:val="center"/>
                </w:tcPr>
                <w:p w14:paraId="26C75213">
                  <w:pPr>
                    <w:jc w:val="center"/>
                    <w:rPr>
                      <w:color w:val="auto"/>
                      <w:sz w:val="21"/>
                      <w:szCs w:val="21"/>
                    </w:rPr>
                  </w:pPr>
                  <w:r>
                    <w:rPr>
                      <w:color w:val="auto"/>
                      <w:sz w:val="21"/>
                      <w:szCs w:val="21"/>
                    </w:rPr>
                    <w:t>μg/m</w:t>
                  </w:r>
                  <w:r>
                    <w:rPr>
                      <w:color w:val="auto"/>
                      <w:sz w:val="21"/>
                      <w:szCs w:val="21"/>
                      <w:vertAlign w:val="superscript"/>
                    </w:rPr>
                    <w:t>3</w:t>
                  </w:r>
                </w:p>
              </w:tc>
              <w:tc>
                <w:tcPr>
                  <w:tcW w:w="1144" w:type="pct"/>
                  <w:tcBorders>
                    <w:top w:val="single" w:color="auto" w:sz="4" w:space="0"/>
                    <w:left w:val="single" w:color="auto" w:sz="4" w:space="0"/>
                    <w:bottom w:val="single" w:color="auto" w:sz="4" w:space="0"/>
                    <w:right w:val="single" w:color="auto" w:sz="4" w:space="0"/>
                  </w:tcBorders>
                  <w:vAlign w:val="center"/>
                </w:tcPr>
                <w:p w14:paraId="47A474A6">
                  <w:pPr>
                    <w:jc w:val="center"/>
                    <w:rPr>
                      <w:color w:val="auto"/>
                      <w:sz w:val="21"/>
                      <w:szCs w:val="21"/>
                    </w:rPr>
                  </w:pPr>
                  <w:r>
                    <w:rPr>
                      <w:rFonts w:hint="eastAsia"/>
                      <w:color w:val="auto"/>
                      <w:sz w:val="21"/>
                      <w:szCs w:val="21"/>
                    </w:rPr>
                    <w:t>《环境影响评价技术导则 大气环境》（HJ2.2-2018）附录D</w:t>
                  </w:r>
                </w:p>
              </w:tc>
            </w:tr>
          </w:tbl>
          <w:p w14:paraId="482017DD">
            <w:pPr>
              <w:spacing w:line="360" w:lineRule="auto"/>
              <w:rPr>
                <w:b/>
                <w:bCs/>
                <w:color w:val="auto"/>
              </w:rPr>
            </w:pPr>
            <w:r>
              <w:rPr>
                <w:rFonts w:hint="eastAsia"/>
                <w:b/>
                <w:bCs/>
                <w:color w:val="auto"/>
              </w:rPr>
              <w:t>1.2地表水环境</w:t>
            </w:r>
          </w:p>
          <w:p w14:paraId="1240456A">
            <w:pPr>
              <w:spacing w:line="360" w:lineRule="auto"/>
              <w:ind w:firstLine="480" w:firstLineChars="200"/>
              <w:rPr>
                <w:color w:val="auto"/>
              </w:rPr>
            </w:pPr>
            <w:r>
              <w:rPr>
                <w:color w:val="auto"/>
              </w:rPr>
              <w:t>项目周边地表水</w:t>
            </w:r>
            <w:r>
              <w:rPr>
                <w:rFonts w:hint="eastAsia"/>
                <w:color w:val="auto"/>
              </w:rPr>
              <w:t>融江</w:t>
            </w:r>
            <w:r>
              <w:rPr>
                <w:color w:val="auto"/>
              </w:rPr>
              <w:t>和</w:t>
            </w:r>
            <w:r>
              <w:rPr>
                <w:rFonts w:hint="eastAsia"/>
                <w:color w:val="auto"/>
              </w:rPr>
              <w:t>谢卯河</w:t>
            </w:r>
            <w:r>
              <w:rPr>
                <w:color w:val="auto"/>
              </w:rPr>
              <w:t>水质均执行《地表水环境质量标准》（GB3838-2002）Ⅲ类标准要求。</w:t>
            </w:r>
          </w:p>
          <w:p w14:paraId="46B3BBF7">
            <w:pPr>
              <w:spacing w:line="360" w:lineRule="auto"/>
              <w:jc w:val="center"/>
              <w:rPr>
                <w:b/>
                <w:bCs/>
                <w:color w:val="auto"/>
              </w:rPr>
            </w:pPr>
            <w:r>
              <w:rPr>
                <w:rFonts w:hint="eastAsia"/>
                <w:b/>
                <w:bCs/>
                <w:color w:val="auto"/>
              </w:rPr>
              <w:t>表3-</w:t>
            </w:r>
            <w:r>
              <w:rPr>
                <w:b/>
                <w:bCs/>
                <w:color w:val="auto"/>
              </w:rPr>
              <w:t>9</w:t>
            </w:r>
            <w:r>
              <w:rPr>
                <w:rFonts w:hint="eastAsia"/>
                <w:b/>
                <w:bCs/>
                <w:color w:val="auto"/>
              </w:rPr>
              <w:t xml:space="preserve"> 地表水环境质量标准（单位：mg/L，pH无量纲）</w:t>
            </w:r>
          </w:p>
          <w:tbl>
            <w:tblPr>
              <w:tblStyle w:val="2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3"/>
              <w:gridCol w:w="1003"/>
              <w:gridCol w:w="1003"/>
              <w:gridCol w:w="1003"/>
              <w:gridCol w:w="1005"/>
              <w:gridCol w:w="1005"/>
              <w:gridCol w:w="1006"/>
              <w:gridCol w:w="1006"/>
            </w:tblGrid>
            <w:tr w14:paraId="184CE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Align w:val="center"/>
                </w:tcPr>
                <w:p w14:paraId="783EBF01">
                  <w:pPr>
                    <w:jc w:val="center"/>
                    <w:rPr>
                      <w:b/>
                      <w:bCs/>
                      <w:color w:val="auto"/>
                      <w:sz w:val="21"/>
                      <w:szCs w:val="21"/>
                    </w:rPr>
                  </w:pPr>
                  <w:r>
                    <w:rPr>
                      <w:rFonts w:hint="eastAsia"/>
                      <w:b/>
                      <w:bCs/>
                      <w:color w:val="auto"/>
                      <w:sz w:val="21"/>
                      <w:szCs w:val="21"/>
                    </w:rPr>
                    <w:t>指标</w:t>
                  </w:r>
                </w:p>
              </w:tc>
              <w:tc>
                <w:tcPr>
                  <w:tcW w:w="624" w:type="pct"/>
                  <w:vAlign w:val="center"/>
                </w:tcPr>
                <w:p w14:paraId="1A32861F">
                  <w:pPr>
                    <w:jc w:val="center"/>
                    <w:rPr>
                      <w:b/>
                      <w:bCs/>
                      <w:color w:val="auto"/>
                      <w:sz w:val="21"/>
                      <w:szCs w:val="21"/>
                    </w:rPr>
                  </w:pPr>
                  <w:r>
                    <w:rPr>
                      <w:rFonts w:hint="eastAsia"/>
                      <w:b/>
                      <w:bCs/>
                      <w:color w:val="auto"/>
                      <w:sz w:val="21"/>
                      <w:szCs w:val="21"/>
                    </w:rPr>
                    <w:t>pH</w:t>
                  </w:r>
                </w:p>
              </w:tc>
              <w:tc>
                <w:tcPr>
                  <w:tcW w:w="624" w:type="pct"/>
                  <w:vAlign w:val="center"/>
                </w:tcPr>
                <w:p w14:paraId="1F501760">
                  <w:pPr>
                    <w:jc w:val="center"/>
                    <w:rPr>
                      <w:b/>
                      <w:bCs/>
                      <w:color w:val="auto"/>
                      <w:sz w:val="21"/>
                      <w:szCs w:val="21"/>
                    </w:rPr>
                  </w:pPr>
                  <w:r>
                    <w:rPr>
                      <w:rFonts w:hint="eastAsia"/>
                      <w:b/>
                      <w:bCs/>
                      <w:color w:val="auto"/>
                      <w:sz w:val="21"/>
                      <w:szCs w:val="21"/>
                    </w:rPr>
                    <w:t>溶解氧</w:t>
                  </w:r>
                </w:p>
              </w:tc>
              <w:tc>
                <w:tcPr>
                  <w:tcW w:w="624" w:type="pct"/>
                  <w:vAlign w:val="center"/>
                </w:tcPr>
                <w:p w14:paraId="5E9D759F">
                  <w:pPr>
                    <w:jc w:val="center"/>
                    <w:rPr>
                      <w:b/>
                      <w:bCs/>
                      <w:color w:val="auto"/>
                      <w:sz w:val="21"/>
                      <w:szCs w:val="21"/>
                    </w:rPr>
                  </w:pPr>
                  <w:r>
                    <w:rPr>
                      <w:rFonts w:hint="eastAsia"/>
                      <w:b/>
                      <w:bCs/>
                      <w:color w:val="auto"/>
                      <w:sz w:val="21"/>
                      <w:szCs w:val="21"/>
                    </w:rPr>
                    <w:t>TP</w:t>
                  </w:r>
                </w:p>
              </w:tc>
              <w:tc>
                <w:tcPr>
                  <w:tcW w:w="625" w:type="pct"/>
                  <w:vAlign w:val="center"/>
                </w:tcPr>
                <w:p w14:paraId="59B633FF">
                  <w:pPr>
                    <w:jc w:val="center"/>
                    <w:rPr>
                      <w:b/>
                      <w:bCs/>
                      <w:color w:val="auto"/>
                      <w:sz w:val="21"/>
                      <w:szCs w:val="21"/>
                    </w:rPr>
                  </w:pPr>
                  <w:r>
                    <w:rPr>
                      <w:rFonts w:hint="eastAsia"/>
                      <w:b/>
                      <w:bCs/>
                      <w:color w:val="auto"/>
                      <w:sz w:val="21"/>
                      <w:szCs w:val="21"/>
                    </w:rPr>
                    <w:t>COD</w:t>
                  </w:r>
                  <w:r>
                    <w:rPr>
                      <w:rFonts w:hint="eastAsia"/>
                      <w:b/>
                      <w:bCs/>
                      <w:color w:val="auto"/>
                      <w:sz w:val="21"/>
                      <w:szCs w:val="21"/>
                      <w:vertAlign w:val="subscript"/>
                    </w:rPr>
                    <w:t>Cr</w:t>
                  </w:r>
                </w:p>
              </w:tc>
              <w:tc>
                <w:tcPr>
                  <w:tcW w:w="625" w:type="pct"/>
                  <w:vAlign w:val="center"/>
                </w:tcPr>
                <w:p w14:paraId="3DF5924E">
                  <w:pPr>
                    <w:jc w:val="center"/>
                    <w:rPr>
                      <w:b/>
                      <w:bCs/>
                      <w:color w:val="auto"/>
                      <w:sz w:val="21"/>
                      <w:szCs w:val="21"/>
                    </w:rPr>
                  </w:pPr>
                  <w:r>
                    <w:rPr>
                      <w:rFonts w:hint="eastAsia"/>
                      <w:b/>
                      <w:bCs/>
                      <w:color w:val="auto"/>
                      <w:sz w:val="21"/>
                      <w:szCs w:val="21"/>
                    </w:rPr>
                    <w:t>BOD</w:t>
                  </w:r>
                  <w:r>
                    <w:rPr>
                      <w:rFonts w:hint="eastAsia"/>
                      <w:b/>
                      <w:bCs/>
                      <w:color w:val="auto"/>
                      <w:sz w:val="21"/>
                      <w:szCs w:val="21"/>
                      <w:vertAlign w:val="subscript"/>
                    </w:rPr>
                    <w:t>5</w:t>
                  </w:r>
                </w:p>
              </w:tc>
              <w:tc>
                <w:tcPr>
                  <w:tcW w:w="626" w:type="pct"/>
                  <w:vAlign w:val="center"/>
                </w:tcPr>
                <w:p w14:paraId="10FA9DEB">
                  <w:pPr>
                    <w:jc w:val="center"/>
                    <w:rPr>
                      <w:b/>
                      <w:bCs/>
                      <w:color w:val="auto"/>
                      <w:sz w:val="21"/>
                      <w:szCs w:val="21"/>
                    </w:rPr>
                  </w:pPr>
                  <w:r>
                    <w:rPr>
                      <w:rFonts w:hint="eastAsia"/>
                      <w:b/>
                      <w:bCs/>
                      <w:color w:val="auto"/>
                      <w:sz w:val="21"/>
                      <w:szCs w:val="21"/>
                    </w:rPr>
                    <w:t>NH</w:t>
                  </w:r>
                  <w:r>
                    <w:rPr>
                      <w:rFonts w:hint="eastAsia"/>
                      <w:b/>
                      <w:bCs/>
                      <w:color w:val="auto"/>
                      <w:sz w:val="21"/>
                      <w:szCs w:val="21"/>
                      <w:vertAlign w:val="subscript"/>
                    </w:rPr>
                    <w:t>3</w:t>
                  </w:r>
                  <w:r>
                    <w:rPr>
                      <w:rFonts w:hint="eastAsia"/>
                      <w:b/>
                      <w:bCs/>
                      <w:color w:val="auto"/>
                      <w:sz w:val="21"/>
                      <w:szCs w:val="21"/>
                    </w:rPr>
                    <w:t>-N</w:t>
                  </w:r>
                </w:p>
              </w:tc>
              <w:tc>
                <w:tcPr>
                  <w:tcW w:w="626" w:type="pct"/>
                  <w:vAlign w:val="center"/>
                </w:tcPr>
                <w:p w14:paraId="79890334">
                  <w:pPr>
                    <w:jc w:val="center"/>
                    <w:rPr>
                      <w:b/>
                      <w:bCs/>
                      <w:color w:val="auto"/>
                      <w:sz w:val="21"/>
                      <w:szCs w:val="21"/>
                    </w:rPr>
                  </w:pPr>
                  <w:r>
                    <w:rPr>
                      <w:rFonts w:hint="eastAsia"/>
                      <w:b/>
                      <w:bCs/>
                      <w:color w:val="auto"/>
                      <w:sz w:val="21"/>
                      <w:szCs w:val="21"/>
                    </w:rPr>
                    <w:t>石油类</w:t>
                  </w:r>
                </w:p>
              </w:tc>
            </w:tr>
            <w:tr w14:paraId="15AD7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4" w:type="pct"/>
                  <w:vAlign w:val="center"/>
                </w:tcPr>
                <w:p w14:paraId="58AD02EA">
                  <w:pPr>
                    <w:jc w:val="center"/>
                    <w:rPr>
                      <w:color w:val="auto"/>
                      <w:sz w:val="21"/>
                      <w:szCs w:val="21"/>
                    </w:rPr>
                  </w:pPr>
                  <w:r>
                    <w:rPr>
                      <w:color w:val="auto"/>
                      <w:sz w:val="21"/>
                      <w:szCs w:val="21"/>
                    </w:rPr>
                    <w:t>Ⅲ类</w:t>
                  </w:r>
                </w:p>
              </w:tc>
              <w:tc>
                <w:tcPr>
                  <w:tcW w:w="624" w:type="pct"/>
                  <w:vAlign w:val="center"/>
                </w:tcPr>
                <w:p w14:paraId="0055A048">
                  <w:pPr>
                    <w:jc w:val="center"/>
                    <w:rPr>
                      <w:color w:val="auto"/>
                      <w:sz w:val="21"/>
                      <w:szCs w:val="21"/>
                    </w:rPr>
                  </w:pPr>
                  <w:r>
                    <w:rPr>
                      <w:rFonts w:hint="eastAsia"/>
                      <w:color w:val="auto"/>
                      <w:sz w:val="21"/>
                      <w:szCs w:val="21"/>
                    </w:rPr>
                    <w:t>6～9</w:t>
                  </w:r>
                </w:p>
              </w:tc>
              <w:tc>
                <w:tcPr>
                  <w:tcW w:w="624" w:type="pct"/>
                  <w:vAlign w:val="center"/>
                </w:tcPr>
                <w:p w14:paraId="6FF29264">
                  <w:pPr>
                    <w:jc w:val="center"/>
                    <w:rPr>
                      <w:color w:val="auto"/>
                      <w:sz w:val="21"/>
                      <w:szCs w:val="21"/>
                    </w:rPr>
                  </w:pPr>
                  <w:r>
                    <w:rPr>
                      <w:rFonts w:hint="eastAsia"/>
                      <w:color w:val="auto"/>
                      <w:sz w:val="21"/>
                      <w:szCs w:val="21"/>
                    </w:rPr>
                    <w:t>≥5</w:t>
                  </w:r>
                </w:p>
              </w:tc>
              <w:tc>
                <w:tcPr>
                  <w:tcW w:w="624" w:type="pct"/>
                  <w:vAlign w:val="center"/>
                </w:tcPr>
                <w:p w14:paraId="47E6F4EC">
                  <w:pPr>
                    <w:jc w:val="center"/>
                    <w:rPr>
                      <w:color w:val="auto"/>
                      <w:sz w:val="21"/>
                      <w:szCs w:val="21"/>
                    </w:rPr>
                  </w:pPr>
                  <w:r>
                    <w:rPr>
                      <w:rFonts w:hint="eastAsia"/>
                      <w:color w:val="auto"/>
                      <w:sz w:val="21"/>
                      <w:szCs w:val="21"/>
                    </w:rPr>
                    <w:t>≤0.2</w:t>
                  </w:r>
                </w:p>
              </w:tc>
              <w:tc>
                <w:tcPr>
                  <w:tcW w:w="625" w:type="pct"/>
                  <w:vAlign w:val="center"/>
                </w:tcPr>
                <w:p w14:paraId="024EEDDC">
                  <w:pPr>
                    <w:jc w:val="center"/>
                    <w:rPr>
                      <w:color w:val="auto"/>
                      <w:sz w:val="21"/>
                      <w:szCs w:val="21"/>
                    </w:rPr>
                  </w:pPr>
                  <w:r>
                    <w:rPr>
                      <w:rFonts w:hint="eastAsia"/>
                      <w:color w:val="auto"/>
                      <w:sz w:val="21"/>
                      <w:szCs w:val="21"/>
                    </w:rPr>
                    <w:t>≤20</w:t>
                  </w:r>
                </w:p>
              </w:tc>
              <w:tc>
                <w:tcPr>
                  <w:tcW w:w="625" w:type="pct"/>
                  <w:vAlign w:val="center"/>
                </w:tcPr>
                <w:p w14:paraId="2907C885">
                  <w:pPr>
                    <w:jc w:val="center"/>
                    <w:rPr>
                      <w:color w:val="auto"/>
                      <w:sz w:val="21"/>
                      <w:szCs w:val="21"/>
                    </w:rPr>
                  </w:pPr>
                  <w:r>
                    <w:rPr>
                      <w:rFonts w:hint="eastAsia"/>
                      <w:color w:val="auto"/>
                      <w:sz w:val="21"/>
                      <w:szCs w:val="21"/>
                    </w:rPr>
                    <w:t>≤4</w:t>
                  </w:r>
                </w:p>
              </w:tc>
              <w:tc>
                <w:tcPr>
                  <w:tcW w:w="626" w:type="pct"/>
                  <w:vAlign w:val="center"/>
                </w:tcPr>
                <w:p w14:paraId="2AA4679E">
                  <w:pPr>
                    <w:jc w:val="center"/>
                    <w:rPr>
                      <w:color w:val="auto"/>
                      <w:sz w:val="21"/>
                      <w:szCs w:val="21"/>
                    </w:rPr>
                  </w:pPr>
                  <w:r>
                    <w:rPr>
                      <w:rFonts w:hint="eastAsia"/>
                      <w:color w:val="auto"/>
                      <w:sz w:val="21"/>
                      <w:szCs w:val="21"/>
                    </w:rPr>
                    <w:t>≤1</w:t>
                  </w:r>
                </w:p>
              </w:tc>
              <w:tc>
                <w:tcPr>
                  <w:tcW w:w="626" w:type="pct"/>
                  <w:vAlign w:val="center"/>
                </w:tcPr>
                <w:p w14:paraId="0027E5F4">
                  <w:pPr>
                    <w:jc w:val="center"/>
                    <w:rPr>
                      <w:color w:val="auto"/>
                      <w:sz w:val="21"/>
                      <w:szCs w:val="21"/>
                    </w:rPr>
                  </w:pPr>
                  <w:r>
                    <w:rPr>
                      <w:rFonts w:hint="eastAsia"/>
                      <w:color w:val="auto"/>
                      <w:sz w:val="21"/>
                      <w:szCs w:val="21"/>
                    </w:rPr>
                    <w:t>≤0.05</w:t>
                  </w:r>
                </w:p>
              </w:tc>
            </w:tr>
          </w:tbl>
          <w:p w14:paraId="3A6FF1B4">
            <w:pPr>
              <w:spacing w:line="360" w:lineRule="auto"/>
              <w:rPr>
                <w:b/>
                <w:bCs/>
                <w:color w:val="auto"/>
              </w:rPr>
            </w:pPr>
            <w:r>
              <w:rPr>
                <w:rFonts w:hint="eastAsia"/>
                <w:b/>
                <w:bCs/>
                <w:color w:val="auto"/>
              </w:rPr>
              <w:t>1.3声环境</w:t>
            </w:r>
          </w:p>
          <w:p w14:paraId="73984BE7">
            <w:pPr>
              <w:spacing w:line="360" w:lineRule="auto"/>
              <w:ind w:firstLine="480" w:firstLineChars="200"/>
              <w:rPr>
                <w:color w:val="auto"/>
              </w:rPr>
            </w:pPr>
            <w:r>
              <w:rPr>
                <w:color w:val="auto"/>
              </w:rPr>
              <w:t>项目位于柳州市融水县和睦镇伏虎华侨农场二队附近，所在区域属于农村区域，项目区域执行《声环境质量标准》（GB3096-2008）1类标准，标准值详见下表。</w:t>
            </w:r>
          </w:p>
          <w:p w14:paraId="34A4D434">
            <w:pPr>
              <w:spacing w:line="360" w:lineRule="auto"/>
              <w:jc w:val="center"/>
              <w:rPr>
                <w:b/>
                <w:bCs/>
                <w:color w:val="auto"/>
              </w:rPr>
            </w:pPr>
            <w:r>
              <w:rPr>
                <w:rFonts w:hint="eastAsia"/>
                <w:b/>
                <w:bCs/>
                <w:color w:val="auto"/>
              </w:rPr>
              <w:t>表3-</w:t>
            </w:r>
            <w:r>
              <w:rPr>
                <w:b/>
                <w:bCs/>
                <w:color w:val="auto"/>
              </w:rPr>
              <w:t>10</w:t>
            </w:r>
            <w:r>
              <w:rPr>
                <w:rFonts w:hint="eastAsia"/>
                <w:b/>
                <w:bCs/>
                <w:color w:val="auto"/>
              </w:rPr>
              <w:t xml:space="preserve"> 声环境质量标准  单位：dB（A）</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499"/>
              <w:gridCol w:w="2853"/>
              <w:gridCol w:w="2683"/>
            </w:tblGrid>
            <w:tr w14:paraId="56397D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55" w:type="pct"/>
                  <w:vMerge w:val="restart"/>
                  <w:tcBorders>
                    <w:top w:val="single" w:color="auto" w:sz="4" w:space="0"/>
                    <w:left w:val="single" w:color="auto" w:sz="4" w:space="0"/>
                    <w:bottom w:val="single" w:color="auto" w:sz="6" w:space="0"/>
                    <w:right w:val="single" w:color="auto" w:sz="6" w:space="0"/>
                  </w:tcBorders>
                  <w:tcMar>
                    <w:left w:w="57" w:type="dxa"/>
                    <w:right w:w="57" w:type="dxa"/>
                  </w:tcMar>
                  <w:vAlign w:val="center"/>
                </w:tcPr>
                <w:p w14:paraId="326DAF53">
                  <w:pPr>
                    <w:jc w:val="center"/>
                    <w:rPr>
                      <w:b/>
                      <w:bCs/>
                      <w:color w:val="auto"/>
                      <w:sz w:val="21"/>
                      <w:szCs w:val="21"/>
                    </w:rPr>
                  </w:pPr>
                  <w:r>
                    <w:rPr>
                      <w:rFonts w:hint="eastAsia"/>
                      <w:b/>
                      <w:bCs/>
                      <w:color w:val="auto"/>
                      <w:sz w:val="21"/>
                      <w:szCs w:val="21"/>
                    </w:rPr>
                    <w:t>声环境功能区类别</w:t>
                  </w:r>
                </w:p>
              </w:tc>
              <w:tc>
                <w:tcPr>
                  <w:tcW w:w="3444" w:type="pct"/>
                  <w:gridSpan w:val="2"/>
                  <w:tcBorders>
                    <w:top w:val="single" w:color="auto" w:sz="4" w:space="0"/>
                    <w:left w:val="single" w:color="auto" w:sz="6" w:space="0"/>
                    <w:bottom w:val="single" w:color="auto" w:sz="6" w:space="0"/>
                    <w:right w:val="single" w:color="auto" w:sz="6" w:space="0"/>
                  </w:tcBorders>
                  <w:tcMar>
                    <w:left w:w="57" w:type="dxa"/>
                    <w:right w:w="57" w:type="dxa"/>
                  </w:tcMar>
                  <w:vAlign w:val="center"/>
                </w:tcPr>
                <w:p w14:paraId="34EBD43A">
                  <w:pPr>
                    <w:jc w:val="center"/>
                    <w:rPr>
                      <w:b/>
                      <w:bCs/>
                      <w:color w:val="auto"/>
                      <w:sz w:val="21"/>
                      <w:szCs w:val="21"/>
                    </w:rPr>
                  </w:pPr>
                  <w:r>
                    <w:rPr>
                      <w:rFonts w:hint="eastAsia"/>
                      <w:b/>
                      <w:bCs/>
                      <w:color w:val="auto"/>
                      <w:sz w:val="21"/>
                      <w:szCs w:val="21"/>
                    </w:rPr>
                    <w:t>标准限值</w:t>
                  </w:r>
                </w:p>
              </w:tc>
            </w:tr>
            <w:tr w14:paraId="2DEC5F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55" w:type="pct"/>
                  <w:vMerge w:val="continue"/>
                  <w:tcBorders>
                    <w:top w:val="single" w:color="auto" w:sz="4" w:space="0"/>
                    <w:left w:val="single" w:color="auto" w:sz="4" w:space="0"/>
                    <w:bottom w:val="single" w:color="auto" w:sz="6" w:space="0"/>
                    <w:right w:val="single" w:color="auto" w:sz="6" w:space="0"/>
                  </w:tcBorders>
                  <w:tcMar>
                    <w:left w:w="57" w:type="dxa"/>
                    <w:right w:w="57" w:type="dxa"/>
                  </w:tcMar>
                  <w:vAlign w:val="center"/>
                </w:tcPr>
                <w:p w14:paraId="76803118">
                  <w:pPr>
                    <w:jc w:val="center"/>
                    <w:rPr>
                      <w:b/>
                      <w:bCs/>
                      <w:color w:val="auto"/>
                      <w:sz w:val="21"/>
                      <w:szCs w:val="21"/>
                    </w:rPr>
                  </w:pPr>
                </w:p>
              </w:tc>
              <w:tc>
                <w:tcPr>
                  <w:tcW w:w="1775" w:type="pct"/>
                  <w:tcBorders>
                    <w:top w:val="single" w:color="auto" w:sz="6" w:space="0"/>
                    <w:left w:val="single" w:color="auto" w:sz="6" w:space="0"/>
                    <w:bottom w:val="single" w:color="auto" w:sz="6" w:space="0"/>
                    <w:right w:val="single" w:color="auto" w:sz="6" w:space="0"/>
                  </w:tcBorders>
                  <w:tcMar>
                    <w:left w:w="57" w:type="dxa"/>
                    <w:right w:w="57" w:type="dxa"/>
                  </w:tcMar>
                  <w:vAlign w:val="center"/>
                </w:tcPr>
                <w:p w14:paraId="2EE854D7">
                  <w:pPr>
                    <w:jc w:val="center"/>
                    <w:rPr>
                      <w:b/>
                      <w:bCs/>
                      <w:color w:val="auto"/>
                      <w:sz w:val="21"/>
                      <w:szCs w:val="21"/>
                    </w:rPr>
                  </w:pPr>
                  <w:r>
                    <w:rPr>
                      <w:rFonts w:hint="eastAsia"/>
                      <w:b/>
                      <w:bCs/>
                      <w:color w:val="auto"/>
                      <w:sz w:val="21"/>
                      <w:szCs w:val="21"/>
                    </w:rPr>
                    <w:t>昼间</w:t>
                  </w:r>
                </w:p>
              </w:tc>
              <w:tc>
                <w:tcPr>
                  <w:tcW w:w="1669" w:type="pct"/>
                  <w:tcBorders>
                    <w:top w:val="single" w:color="auto" w:sz="6" w:space="0"/>
                    <w:left w:val="single" w:color="auto" w:sz="6" w:space="0"/>
                    <w:bottom w:val="single" w:color="auto" w:sz="6" w:space="0"/>
                    <w:right w:val="single" w:color="auto" w:sz="6" w:space="0"/>
                  </w:tcBorders>
                  <w:vAlign w:val="center"/>
                </w:tcPr>
                <w:p w14:paraId="220B7DF8">
                  <w:pPr>
                    <w:jc w:val="center"/>
                    <w:rPr>
                      <w:b/>
                      <w:bCs/>
                      <w:color w:val="auto"/>
                      <w:sz w:val="21"/>
                      <w:szCs w:val="21"/>
                    </w:rPr>
                  </w:pPr>
                  <w:r>
                    <w:rPr>
                      <w:rFonts w:hint="eastAsia"/>
                      <w:b/>
                      <w:bCs/>
                      <w:color w:val="auto"/>
                      <w:sz w:val="21"/>
                      <w:szCs w:val="21"/>
                    </w:rPr>
                    <w:t>夜间</w:t>
                  </w:r>
                </w:p>
              </w:tc>
            </w:tr>
            <w:tr w14:paraId="40DBDBF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95" w:hRule="atLeast"/>
                <w:jc w:val="center"/>
              </w:trPr>
              <w:tc>
                <w:tcPr>
                  <w:tcW w:w="1555" w:type="pct"/>
                  <w:tcBorders>
                    <w:top w:val="single" w:color="auto" w:sz="6" w:space="0"/>
                    <w:left w:val="single" w:color="auto" w:sz="4" w:space="0"/>
                    <w:bottom w:val="single" w:color="auto" w:sz="6" w:space="0"/>
                    <w:right w:val="single" w:color="auto" w:sz="6" w:space="0"/>
                  </w:tcBorders>
                  <w:vAlign w:val="center"/>
                </w:tcPr>
                <w:p w14:paraId="602A94DE">
                  <w:pPr>
                    <w:jc w:val="center"/>
                    <w:rPr>
                      <w:color w:val="auto"/>
                      <w:sz w:val="21"/>
                      <w:szCs w:val="21"/>
                    </w:rPr>
                  </w:pPr>
                  <w:r>
                    <w:rPr>
                      <w:rFonts w:hint="eastAsia"/>
                      <w:color w:val="auto"/>
                      <w:sz w:val="21"/>
                      <w:szCs w:val="21"/>
                    </w:rPr>
                    <w:t>1类</w:t>
                  </w:r>
                </w:p>
              </w:tc>
              <w:tc>
                <w:tcPr>
                  <w:tcW w:w="1775" w:type="pct"/>
                  <w:tcBorders>
                    <w:top w:val="single" w:color="auto" w:sz="6" w:space="0"/>
                    <w:left w:val="single" w:color="auto" w:sz="6" w:space="0"/>
                    <w:bottom w:val="single" w:color="auto" w:sz="6" w:space="0"/>
                    <w:right w:val="single" w:color="auto" w:sz="6" w:space="0"/>
                  </w:tcBorders>
                  <w:vAlign w:val="center"/>
                </w:tcPr>
                <w:p w14:paraId="5C9DF871">
                  <w:pPr>
                    <w:jc w:val="center"/>
                    <w:rPr>
                      <w:color w:val="auto"/>
                      <w:sz w:val="21"/>
                      <w:szCs w:val="21"/>
                    </w:rPr>
                  </w:pPr>
                  <w:r>
                    <w:rPr>
                      <w:rFonts w:hint="eastAsia"/>
                      <w:color w:val="auto"/>
                      <w:sz w:val="21"/>
                      <w:szCs w:val="21"/>
                    </w:rPr>
                    <w:t>55</w:t>
                  </w:r>
                </w:p>
              </w:tc>
              <w:tc>
                <w:tcPr>
                  <w:tcW w:w="1669" w:type="pct"/>
                  <w:tcBorders>
                    <w:top w:val="single" w:color="auto" w:sz="6" w:space="0"/>
                    <w:left w:val="single" w:color="auto" w:sz="6" w:space="0"/>
                    <w:bottom w:val="single" w:color="auto" w:sz="6" w:space="0"/>
                    <w:right w:val="single" w:color="auto" w:sz="6" w:space="0"/>
                  </w:tcBorders>
                  <w:vAlign w:val="center"/>
                </w:tcPr>
                <w:p w14:paraId="3350E131">
                  <w:pPr>
                    <w:jc w:val="center"/>
                    <w:rPr>
                      <w:color w:val="auto"/>
                      <w:sz w:val="21"/>
                      <w:szCs w:val="21"/>
                    </w:rPr>
                  </w:pPr>
                  <w:r>
                    <w:rPr>
                      <w:rFonts w:hint="eastAsia"/>
                      <w:color w:val="auto"/>
                      <w:sz w:val="21"/>
                      <w:szCs w:val="21"/>
                    </w:rPr>
                    <w:t>45</w:t>
                  </w:r>
                </w:p>
              </w:tc>
            </w:tr>
          </w:tbl>
          <w:p w14:paraId="4D931B74">
            <w:pPr>
              <w:spacing w:line="360" w:lineRule="auto"/>
              <w:rPr>
                <w:b/>
                <w:bCs/>
                <w:color w:val="auto"/>
              </w:rPr>
            </w:pPr>
            <w:r>
              <w:rPr>
                <w:rFonts w:hint="eastAsia"/>
                <w:b/>
                <w:bCs/>
                <w:color w:val="auto"/>
              </w:rPr>
              <w:t>1.4土壤环境</w:t>
            </w:r>
          </w:p>
          <w:p w14:paraId="1F9100DE">
            <w:pPr>
              <w:spacing w:line="360" w:lineRule="auto"/>
              <w:ind w:firstLine="480" w:firstLineChars="200"/>
              <w:rPr>
                <w:color w:val="auto"/>
              </w:rPr>
            </w:pPr>
            <w:r>
              <w:rPr>
                <w:color w:val="auto"/>
              </w:rPr>
              <w:t>项目用地为</w:t>
            </w:r>
            <w:r>
              <w:rPr>
                <w:rFonts w:hint="eastAsia"/>
                <w:color w:val="auto"/>
              </w:rPr>
              <w:t>农用地</w:t>
            </w:r>
            <w:r>
              <w:rPr>
                <w:color w:val="auto"/>
              </w:rPr>
              <w:t>，执行《土壤环境质量 农用地土壤污染风险管控标准》（GB15618-2018），详见下表。</w:t>
            </w:r>
          </w:p>
          <w:p w14:paraId="18DB0251">
            <w:pPr>
              <w:spacing w:line="360" w:lineRule="auto"/>
              <w:jc w:val="center"/>
              <w:rPr>
                <w:b/>
                <w:bCs/>
                <w:color w:val="auto"/>
                <w:lang w:val="zh-CN"/>
              </w:rPr>
            </w:pPr>
            <w:r>
              <w:rPr>
                <w:b/>
                <w:bCs/>
                <w:color w:val="auto"/>
              </w:rPr>
              <w:t>表</w:t>
            </w:r>
            <w:r>
              <w:rPr>
                <w:rFonts w:hint="eastAsia"/>
                <w:b/>
                <w:bCs/>
                <w:color w:val="auto"/>
              </w:rPr>
              <w:t>3-1</w:t>
            </w:r>
            <w:r>
              <w:rPr>
                <w:b/>
                <w:bCs/>
                <w:color w:val="auto"/>
              </w:rPr>
              <w:t>1</w:t>
            </w:r>
            <w:r>
              <w:rPr>
                <w:rFonts w:hint="eastAsia"/>
                <w:b/>
                <w:bCs/>
                <w:color w:val="auto"/>
              </w:rPr>
              <w:t xml:space="preserve"> 农</w:t>
            </w:r>
            <w:r>
              <w:rPr>
                <w:b/>
                <w:bCs/>
                <w:color w:val="auto"/>
              </w:rPr>
              <w:t>用地土壤污染风险筛选值  单位：mg/kg</w:t>
            </w:r>
          </w:p>
          <w:tbl>
            <w:tblPr>
              <w:tblStyle w:val="19"/>
              <w:tblW w:w="4999"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854"/>
              <w:gridCol w:w="687"/>
              <w:gridCol w:w="690"/>
              <w:gridCol w:w="1443"/>
              <w:gridCol w:w="1498"/>
              <w:gridCol w:w="1498"/>
              <w:gridCol w:w="1355"/>
            </w:tblGrid>
            <w:tr w14:paraId="1E602B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F4A3B6">
                  <w:pPr>
                    <w:jc w:val="center"/>
                    <w:rPr>
                      <w:b/>
                      <w:bCs/>
                      <w:color w:val="auto"/>
                      <w:sz w:val="21"/>
                      <w:szCs w:val="21"/>
                    </w:rPr>
                  </w:pPr>
                  <w:r>
                    <w:rPr>
                      <w:b/>
                      <w:bCs/>
                      <w:color w:val="auto"/>
                      <w:sz w:val="21"/>
                      <w:szCs w:val="21"/>
                    </w:rPr>
                    <w:t>序号</w:t>
                  </w:r>
                </w:p>
              </w:tc>
              <w:tc>
                <w:tcPr>
                  <w:tcW w:w="858" w:type="pct"/>
                  <w:gridSpan w:val="2"/>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8393F21">
                  <w:pPr>
                    <w:jc w:val="center"/>
                    <w:rPr>
                      <w:b/>
                      <w:bCs/>
                      <w:color w:val="auto"/>
                      <w:sz w:val="21"/>
                      <w:szCs w:val="21"/>
                    </w:rPr>
                  </w:pPr>
                  <w:r>
                    <w:rPr>
                      <w:b/>
                      <w:bCs/>
                      <w:color w:val="auto"/>
                      <w:sz w:val="21"/>
                      <w:szCs w:val="21"/>
                    </w:rPr>
                    <w:t>污染物项目</w:t>
                  </w:r>
                </w:p>
              </w:tc>
              <w:tc>
                <w:tcPr>
                  <w:tcW w:w="3609" w:type="pct"/>
                  <w:gridSpan w:val="4"/>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37AFCE">
                  <w:pPr>
                    <w:jc w:val="center"/>
                    <w:rPr>
                      <w:b/>
                      <w:bCs/>
                      <w:color w:val="auto"/>
                      <w:sz w:val="21"/>
                      <w:szCs w:val="21"/>
                    </w:rPr>
                  </w:pPr>
                  <w:r>
                    <w:rPr>
                      <w:rFonts w:hint="eastAsia"/>
                      <w:b/>
                      <w:bCs/>
                      <w:color w:val="auto"/>
                      <w:sz w:val="21"/>
                      <w:szCs w:val="21"/>
                    </w:rPr>
                    <w:t>风险</w:t>
                  </w:r>
                  <w:r>
                    <w:rPr>
                      <w:b/>
                      <w:bCs/>
                      <w:color w:val="auto"/>
                      <w:sz w:val="21"/>
                      <w:szCs w:val="21"/>
                    </w:rPr>
                    <w:t>筛选值</w:t>
                  </w:r>
                </w:p>
              </w:tc>
            </w:tr>
            <w:tr w14:paraId="43FE4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5EB5E7">
                  <w:pPr>
                    <w:jc w:val="center"/>
                    <w:rPr>
                      <w:b/>
                      <w:bCs/>
                      <w:color w:val="auto"/>
                      <w:sz w:val="21"/>
                      <w:szCs w:val="21"/>
                    </w:rPr>
                  </w:pPr>
                </w:p>
              </w:tc>
              <w:tc>
                <w:tcPr>
                  <w:tcW w:w="858" w:type="pct"/>
                  <w:gridSpan w:val="2"/>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755860">
                  <w:pPr>
                    <w:jc w:val="center"/>
                    <w:rPr>
                      <w:b/>
                      <w:bCs/>
                      <w:color w:val="auto"/>
                      <w:sz w:val="21"/>
                      <w:szCs w:val="21"/>
                    </w:rPr>
                  </w:pP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CC4594">
                  <w:pPr>
                    <w:jc w:val="center"/>
                    <w:rPr>
                      <w:b/>
                      <w:bCs/>
                      <w:color w:val="auto"/>
                      <w:sz w:val="21"/>
                      <w:szCs w:val="21"/>
                    </w:rPr>
                  </w:pPr>
                  <w:r>
                    <w:rPr>
                      <w:rFonts w:hint="eastAsia"/>
                      <w:b/>
                      <w:bCs/>
                      <w:color w:val="auto"/>
                      <w:sz w:val="21"/>
                      <w:szCs w:val="21"/>
                    </w:rPr>
                    <w:t>pH≤5.5</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95E50D">
                  <w:pPr>
                    <w:jc w:val="center"/>
                    <w:rPr>
                      <w:b/>
                      <w:bCs/>
                      <w:color w:val="auto"/>
                      <w:sz w:val="21"/>
                      <w:szCs w:val="21"/>
                    </w:rPr>
                  </w:pPr>
                  <w:r>
                    <w:rPr>
                      <w:rFonts w:hint="eastAsia"/>
                      <w:b/>
                      <w:bCs/>
                      <w:color w:val="auto"/>
                      <w:sz w:val="21"/>
                      <w:szCs w:val="21"/>
                    </w:rPr>
                    <w:t>5.5＜pH≤6.5</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2811CF5">
                  <w:pPr>
                    <w:jc w:val="center"/>
                    <w:rPr>
                      <w:b/>
                      <w:bCs/>
                      <w:color w:val="auto"/>
                      <w:sz w:val="21"/>
                      <w:szCs w:val="21"/>
                    </w:rPr>
                  </w:pPr>
                  <w:r>
                    <w:rPr>
                      <w:rFonts w:hint="eastAsia"/>
                      <w:b/>
                      <w:bCs/>
                      <w:color w:val="auto"/>
                      <w:sz w:val="21"/>
                      <w:szCs w:val="21"/>
                    </w:rPr>
                    <w:t>6.5＜pH≤7.5</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40B8CB">
                  <w:pPr>
                    <w:jc w:val="center"/>
                    <w:rPr>
                      <w:b/>
                      <w:bCs/>
                      <w:color w:val="auto"/>
                      <w:sz w:val="21"/>
                      <w:szCs w:val="21"/>
                    </w:rPr>
                  </w:pPr>
                  <w:r>
                    <w:rPr>
                      <w:rFonts w:hint="eastAsia"/>
                      <w:b/>
                      <w:bCs/>
                      <w:color w:val="auto"/>
                      <w:sz w:val="21"/>
                      <w:szCs w:val="21"/>
                    </w:rPr>
                    <w:t>pH＞7.5</w:t>
                  </w:r>
                </w:p>
              </w:tc>
            </w:tr>
            <w:tr w14:paraId="3AC5A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0C61F460">
                  <w:pPr>
                    <w:jc w:val="center"/>
                    <w:rPr>
                      <w:color w:val="auto"/>
                      <w:sz w:val="21"/>
                      <w:szCs w:val="21"/>
                    </w:rPr>
                  </w:pPr>
                  <w:r>
                    <w:rPr>
                      <w:color w:val="auto"/>
                      <w:sz w:val="21"/>
                      <w:szCs w:val="21"/>
                    </w:rPr>
                    <w:t>1</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E8C0DF">
                  <w:pPr>
                    <w:jc w:val="center"/>
                    <w:rPr>
                      <w:color w:val="auto"/>
                      <w:sz w:val="21"/>
                      <w:szCs w:val="21"/>
                    </w:rPr>
                  </w:pPr>
                  <w:r>
                    <w:rPr>
                      <w:color w:val="auto"/>
                      <w:sz w:val="21"/>
                      <w:szCs w:val="21"/>
                    </w:rPr>
                    <w:t>镉</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03BF51E">
                  <w:pPr>
                    <w:jc w:val="center"/>
                    <w:rPr>
                      <w:color w:val="auto"/>
                      <w:sz w:val="21"/>
                      <w:szCs w:val="21"/>
                    </w:rPr>
                  </w:pPr>
                  <w:r>
                    <w:rPr>
                      <w:rFonts w:hint="eastAsia"/>
                      <w:color w:val="auto"/>
                      <w:sz w:val="21"/>
                      <w:szCs w:val="21"/>
                    </w:rPr>
                    <w:t>水田</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7374C06">
                  <w:pPr>
                    <w:jc w:val="center"/>
                    <w:rPr>
                      <w:color w:val="auto"/>
                      <w:sz w:val="21"/>
                      <w:szCs w:val="21"/>
                    </w:rPr>
                  </w:pPr>
                  <w:r>
                    <w:rPr>
                      <w:rFonts w:hint="eastAsia"/>
                      <w:color w:val="auto"/>
                      <w:sz w:val="21"/>
                      <w:szCs w:val="21"/>
                    </w:rPr>
                    <w:t>0.3</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F6C70FF">
                  <w:pPr>
                    <w:jc w:val="center"/>
                    <w:rPr>
                      <w:color w:val="auto"/>
                      <w:sz w:val="21"/>
                      <w:szCs w:val="21"/>
                    </w:rPr>
                  </w:pPr>
                  <w:r>
                    <w:rPr>
                      <w:rFonts w:hint="eastAsia"/>
                      <w:color w:val="auto"/>
                      <w:sz w:val="21"/>
                      <w:szCs w:val="21"/>
                    </w:rPr>
                    <w:t>0.4</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37D948">
                  <w:pPr>
                    <w:jc w:val="center"/>
                    <w:rPr>
                      <w:color w:val="auto"/>
                      <w:sz w:val="21"/>
                      <w:szCs w:val="21"/>
                    </w:rPr>
                  </w:pPr>
                  <w:r>
                    <w:rPr>
                      <w:rFonts w:hint="eastAsia"/>
                      <w:color w:val="auto"/>
                      <w:sz w:val="21"/>
                      <w:szCs w:val="21"/>
                    </w:rPr>
                    <w:t>0.6</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974F30">
                  <w:pPr>
                    <w:jc w:val="center"/>
                    <w:rPr>
                      <w:color w:val="auto"/>
                      <w:sz w:val="21"/>
                      <w:szCs w:val="21"/>
                    </w:rPr>
                  </w:pPr>
                  <w:r>
                    <w:rPr>
                      <w:rFonts w:hint="eastAsia"/>
                      <w:color w:val="auto"/>
                      <w:sz w:val="21"/>
                      <w:szCs w:val="21"/>
                    </w:rPr>
                    <w:t>0.8</w:t>
                  </w:r>
                </w:p>
              </w:tc>
            </w:tr>
            <w:tr w14:paraId="51A9F7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4BDD0119">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87FFF6F">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1773FFB">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DE675C">
                  <w:pPr>
                    <w:jc w:val="center"/>
                    <w:rPr>
                      <w:color w:val="auto"/>
                      <w:sz w:val="21"/>
                      <w:szCs w:val="21"/>
                    </w:rPr>
                  </w:pPr>
                  <w:r>
                    <w:rPr>
                      <w:rFonts w:hint="eastAsia"/>
                      <w:color w:val="auto"/>
                      <w:sz w:val="21"/>
                      <w:szCs w:val="21"/>
                    </w:rPr>
                    <w:t>0.3</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D3012D6">
                  <w:pPr>
                    <w:jc w:val="center"/>
                    <w:rPr>
                      <w:color w:val="auto"/>
                      <w:sz w:val="21"/>
                      <w:szCs w:val="21"/>
                    </w:rPr>
                  </w:pPr>
                  <w:r>
                    <w:rPr>
                      <w:rFonts w:hint="eastAsia"/>
                      <w:color w:val="auto"/>
                      <w:sz w:val="21"/>
                      <w:szCs w:val="21"/>
                    </w:rPr>
                    <w:t>0.3</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84F4A20">
                  <w:pPr>
                    <w:jc w:val="center"/>
                    <w:rPr>
                      <w:color w:val="auto"/>
                      <w:sz w:val="21"/>
                      <w:szCs w:val="21"/>
                    </w:rPr>
                  </w:pPr>
                  <w:r>
                    <w:rPr>
                      <w:rFonts w:hint="eastAsia"/>
                      <w:color w:val="auto"/>
                      <w:sz w:val="21"/>
                      <w:szCs w:val="21"/>
                    </w:rPr>
                    <w:t>0.3</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DB71CF">
                  <w:pPr>
                    <w:jc w:val="center"/>
                    <w:rPr>
                      <w:color w:val="auto"/>
                      <w:sz w:val="21"/>
                      <w:szCs w:val="21"/>
                    </w:rPr>
                  </w:pPr>
                  <w:r>
                    <w:rPr>
                      <w:rFonts w:hint="eastAsia"/>
                      <w:color w:val="auto"/>
                      <w:sz w:val="21"/>
                      <w:szCs w:val="21"/>
                    </w:rPr>
                    <w:t>0.6</w:t>
                  </w:r>
                </w:p>
              </w:tc>
            </w:tr>
            <w:tr w14:paraId="2E8C7C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008039E9">
                  <w:pPr>
                    <w:jc w:val="center"/>
                    <w:rPr>
                      <w:color w:val="auto"/>
                      <w:sz w:val="21"/>
                      <w:szCs w:val="21"/>
                    </w:rPr>
                  </w:pPr>
                  <w:r>
                    <w:rPr>
                      <w:rFonts w:hint="eastAsia"/>
                      <w:color w:val="auto"/>
                      <w:sz w:val="21"/>
                      <w:szCs w:val="21"/>
                    </w:rPr>
                    <w:t>2</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23A4E53">
                  <w:pPr>
                    <w:jc w:val="center"/>
                    <w:rPr>
                      <w:color w:val="auto"/>
                      <w:sz w:val="21"/>
                      <w:szCs w:val="21"/>
                    </w:rPr>
                  </w:pPr>
                  <w:r>
                    <w:rPr>
                      <w:color w:val="auto"/>
                      <w:sz w:val="21"/>
                      <w:szCs w:val="21"/>
                    </w:rPr>
                    <w:t>汞</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1DBA637">
                  <w:pPr>
                    <w:jc w:val="center"/>
                    <w:rPr>
                      <w:color w:val="auto"/>
                      <w:sz w:val="21"/>
                      <w:szCs w:val="21"/>
                    </w:rPr>
                  </w:pPr>
                  <w:r>
                    <w:rPr>
                      <w:rFonts w:hint="eastAsia"/>
                      <w:color w:val="auto"/>
                      <w:sz w:val="21"/>
                      <w:szCs w:val="21"/>
                    </w:rPr>
                    <w:t>水田</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8445AE">
                  <w:pPr>
                    <w:jc w:val="center"/>
                    <w:rPr>
                      <w:color w:val="auto"/>
                      <w:sz w:val="21"/>
                      <w:szCs w:val="21"/>
                    </w:rPr>
                  </w:pPr>
                  <w:r>
                    <w:rPr>
                      <w:rFonts w:hint="eastAsia"/>
                      <w:color w:val="auto"/>
                      <w:sz w:val="21"/>
                      <w:szCs w:val="21"/>
                    </w:rPr>
                    <w:t>0.5</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71D272">
                  <w:pPr>
                    <w:jc w:val="center"/>
                    <w:rPr>
                      <w:color w:val="auto"/>
                      <w:sz w:val="21"/>
                      <w:szCs w:val="21"/>
                    </w:rPr>
                  </w:pPr>
                  <w:r>
                    <w:rPr>
                      <w:rFonts w:hint="eastAsia"/>
                      <w:color w:val="auto"/>
                      <w:sz w:val="21"/>
                      <w:szCs w:val="21"/>
                    </w:rPr>
                    <w:t>0.5</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A315AA">
                  <w:pPr>
                    <w:jc w:val="center"/>
                    <w:rPr>
                      <w:color w:val="auto"/>
                      <w:sz w:val="21"/>
                      <w:szCs w:val="21"/>
                    </w:rPr>
                  </w:pPr>
                  <w:r>
                    <w:rPr>
                      <w:rFonts w:hint="eastAsia"/>
                      <w:color w:val="auto"/>
                      <w:sz w:val="21"/>
                      <w:szCs w:val="21"/>
                    </w:rPr>
                    <w:t>0.6</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F82F8B9">
                  <w:pPr>
                    <w:jc w:val="center"/>
                    <w:rPr>
                      <w:color w:val="auto"/>
                      <w:sz w:val="21"/>
                      <w:szCs w:val="21"/>
                    </w:rPr>
                  </w:pPr>
                  <w:r>
                    <w:rPr>
                      <w:rFonts w:hint="eastAsia"/>
                      <w:color w:val="auto"/>
                      <w:sz w:val="21"/>
                      <w:szCs w:val="21"/>
                    </w:rPr>
                    <w:t>1.0</w:t>
                  </w:r>
                </w:p>
              </w:tc>
            </w:tr>
            <w:tr w14:paraId="4A183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5E834DFD">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53C5BD">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ED5D3E8">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2F22A8">
                  <w:pPr>
                    <w:jc w:val="center"/>
                    <w:rPr>
                      <w:color w:val="auto"/>
                      <w:sz w:val="21"/>
                      <w:szCs w:val="21"/>
                    </w:rPr>
                  </w:pPr>
                  <w:r>
                    <w:rPr>
                      <w:rFonts w:hint="eastAsia"/>
                      <w:color w:val="auto"/>
                      <w:sz w:val="21"/>
                      <w:szCs w:val="21"/>
                    </w:rPr>
                    <w:t>1.3</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751436D">
                  <w:pPr>
                    <w:jc w:val="center"/>
                    <w:rPr>
                      <w:color w:val="auto"/>
                      <w:sz w:val="21"/>
                      <w:szCs w:val="21"/>
                    </w:rPr>
                  </w:pPr>
                  <w:r>
                    <w:rPr>
                      <w:color w:val="auto"/>
                      <w:sz w:val="21"/>
                      <w:szCs w:val="21"/>
                    </w:rPr>
                    <w:t>1</w:t>
                  </w:r>
                  <w:r>
                    <w:rPr>
                      <w:rFonts w:hint="eastAsia"/>
                      <w:color w:val="auto"/>
                      <w:sz w:val="21"/>
                      <w:szCs w:val="21"/>
                    </w:rPr>
                    <w:t>.8</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946F82">
                  <w:pPr>
                    <w:jc w:val="center"/>
                    <w:rPr>
                      <w:color w:val="auto"/>
                      <w:sz w:val="21"/>
                      <w:szCs w:val="21"/>
                    </w:rPr>
                  </w:pPr>
                  <w:r>
                    <w:rPr>
                      <w:rFonts w:hint="eastAsia"/>
                      <w:color w:val="auto"/>
                      <w:sz w:val="21"/>
                      <w:szCs w:val="21"/>
                    </w:rPr>
                    <w:t>2.4</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086AFF0">
                  <w:pPr>
                    <w:jc w:val="center"/>
                    <w:rPr>
                      <w:color w:val="auto"/>
                      <w:sz w:val="21"/>
                      <w:szCs w:val="21"/>
                    </w:rPr>
                  </w:pPr>
                  <w:r>
                    <w:rPr>
                      <w:rFonts w:hint="eastAsia"/>
                      <w:color w:val="auto"/>
                      <w:sz w:val="21"/>
                      <w:szCs w:val="21"/>
                    </w:rPr>
                    <w:t>3.4</w:t>
                  </w:r>
                </w:p>
              </w:tc>
            </w:tr>
            <w:tr w14:paraId="36B6F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1E337DBF">
                  <w:pPr>
                    <w:jc w:val="center"/>
                    <w:rPr>
                      <w:color w:val="auto"/>
                      <w:sz w:val="21"/>
                      <w:szCs w:val="21"/>
                    </w:rPr>
                  </w:pPr>
                  <w:r>
                    <w:rPr>
                      <w:rFonts w:hint="eastAsia"/>
                      <w:color w:val="auto"/>
                      <w:sz w:val="21"/>
                      <w:szCs w:val="21"/>
                    </w:rPr>
                    <w:t>3</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86BBCB0">
                  <w:pPr>
                    <w:jc w:val="center"/>
                    <w:rPr>
                      <w:color w:val="auto"/>
                      <w:sz w:val="21"/>
                      <w:szCs w:val="21"/>
                    </w:rPr>
                  </w:pPr>
                  <w:r>
                    <w:rPr>
                      <w:rFonts w:hint="eastAsia"/>
                      <w:color w:val="auto"/>
                      <w:sz w:val="21"/>
                      <w:szCs w:val="21"/>
                    </w:rPr>
                    <w:t>砷</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8327D8A">
                  <w:pPr>
                    <w:jc w:val="center"/>
                    <w:rPr>
                      <w:color w:val="auto"/>
                      <w:sz w:val="21"/>
                      <w:szCs w:val="21"/>
                    </w:rPr>
                  </w:pPr>
                  <w:r>
                    <w:rPr>
                      <w:rFonts w:hint="eastAsia"/>
                      <w:color w:val="auto"/>
                      <w:sz w:val="21"/>
                      <w:szCs w:val="21"/>
                    </w:rPr>
                    <w:t>水田</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06C330">
                  <w:pPr>
                    <w:jc w:val="center"/>
                    <w:rPr>
                      <w:color w:val="auto"/>
                      <w:sz w:val="21"/>
                      <w:szCs w:val="21"/>
                    </w:rPr>
                  </w:pPr>
                  <w:r>
                    <w:rPr>
                      <w:rFonts w:hint="eastAsia"/>
                      <w:color w:val="auto"/>
                      <w:sz w:val="21"/>
                      <w:szCs w:val="21"/>
                    </w:rPr>
                    <w:t>30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7B0125">
                  <w:pPr>
                    <w:jc w:val="center"/>
                    <w:rPr>
                      <w:color w:val="auto"/>
                      <w:sz w:val="21"/>
                      <w:szCs w:val="21"/>
                    </w:rPr>
                  </w:pPr>
                  <w:r>
                    <w:rPr>
                      <w:rFonts w:hint="eastAsia"/>
                      <w:color w:val="auto"/>
                      <w:sz w:val="21"/>
                      <w:szCs w:val="21"/>
                    </w:rPr>
                    <w:t>30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3E7DA2E">
                  <w:pPr>
                    <w:jc w:val="center"/>
                    <w:rPr>
                      <w:color w:val="auto"/>
                      <w:sz w:val="21"/>
                      <w:szCs w:val="21"/>
                    </w:rPr>
                  </w:pPr>
                  <w:r>
                    <w:rPr>
                      <w:rFonts w:hint="eastAsia"/>
                      <w:color w:val="auto"/>
                      <w:sz w:val="21"/>
                      <w:szCs w:val="21"/>
                    </w:rPr>
                    <w:t>25</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0AA0CBA">
                  <w:pPr>
                    <w:jc w:val="center"/>
                    <w:rPr>
                      <w:color w:val="auto"/>
                      <w:sz w:val="21"/>
                      <w:szCs w:val="21"/>
                    </w:rPr>
                  </w:pPr>
                  <w:r>
                    <w:rPr>
                      <w:rFonts w:hint="eastAsia"/>
                      <w:color w:val="auto"/>
                      <w:sz w:val="21"/>
                      <w:szCs w:val="21"/>
                    </w:rPr>
                    <w:t>20</w:t>
                  </w:r>
                </w:p>
              </w:tc>
            </w:tr>
            <w:tr w14:paraId="73390A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237BEB58">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4004C7C">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830FC1">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004FBC">
                  <w:pPr>
                    <w:jc w:val="center"/>
                    <w:rPr>
                      <w:color w:val="auto"/>
                      <w:sz w:val="21"/>
                      <w:szCs w:val="21"/>
                    </w:rPr>
                  </w:pPr>
                  <w:r>
                    <w:rPr>
                      <w:rFonts w:hint="eastAsia"/>
                      <w:color w:val="auto"/>
                      <w:sz w:val="21"/>
                      <w:szCs w:val="21"/>
                    </w:rPr>
                    <w:t>40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3FF9312">
                  <w:pPr>
                    <w:jc w:val="center"/>
                    <w:rPr>
                      <w:color w:val="auto"/>
                      <w:sz w:val="21"/>
                      <w:szCs w:val="21"/>
                    </w:rPr>
                  </w:pPr>
                  <w:r>
                    <w:rPr>
                      <w:rFonts w:hint="eastAsia"/>
                      <w:color w:val="auto"/>
                      <w:sz w:val="21"/>
                      <w:szCs w:val="21"/>
                    </w:rPr>
                    <w:t>40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EBA0716">
                  <w:pPr>
                    <w:jc w:val="center"/>
                    <w:rPr>
                      <w:color w:val="auto"/>
                      <w:sz w:val="21"/>
                      <w:szCs w:val="21"/>
                    </w:rPr>
                  </w:pPr>
                  <w:r>
                    <w:rPr>
                      <w:rFonts w:hint="eastAsia"/>
                      <w:color w:val="auto"/>
                      <w:sz w:val="21"/>
                      <w:szCs w:val="21"/>
                    </w:rPr>
                    <w:t>30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AE9FE7">
                  <w:pPr>
                    <w:jc w:val="center"/>
                    <w:rPr>
                      <w:color w:val="auto"/>
                      <w:sz w:val="21"/>
                      <w:szCs w:val="21"/>
                    </w:rPr>
                  </w:pPr>
                  <w:r>
                    <w:rPr>
                      <w:rFonts w:hint="eastAsia"/>
                      <w:color w:val="auto"/>
                      <w:sz w:val="21"/>
                      <w:szCs w:val="21"/>
                    </w:rPr>
                    <w:t>25</w:t>
                  </w:r>
                </w:p>
              </w:tc>
            </w:tr>
            <w:tr w14:paraId="54ADCB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6E4C29D2">
                  <w:pPr>
                    <w:jc w:val="center"/>
                    <w:rPr>
                      <w:color w:val="auto"/>
                      <w:sz w:val="21"/>
                      <w:szCs w:val="21"/>
                    </w:rPr>
                  </w:pPr>
                  <w:r>
                    <w:rPr>
                      <w:rFonts w:hint="eastAsia"/>
                      <w:color w:val="auto"/>
                      <w:sz w:val="21"/>
                      <w:szCs w:val="21"/>
                    </w:rPr>
                    <w:t>4</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ED4A02">
                  <w:pPr>
                    <w:jc w:val="center"/>
                    <w:rPr>
                      <w:color w:val="auto"/>
                      <w:sz w:val="21"/>
                      <w:szCs w:val="21"/>
                    </w:rPr>
                  </w:pPr>
                  <w:r>
                    <w:rPr>
                      <w:rFonts w:hint="eastAsia"/>
                      <w:color w:val="auto"/>
                      <w:sz w:val="21"/>
                      <w:szCs w:val="21"/>
                    </w:rPr>
                    <w:t>铅</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3D1E24">
                  <w:pPr>
                    <w:jc w:val="center"/>
                    <w:rPr>
                      <w:color w:val="auto"/>
                      <w:sz w:val="21"/>
                      <w:szCs w:val="21"/>
                    </w:rPr>
                  </w:pPr>
                  <w:r>
                    <w:rPr>
                      <w:rFonts w:hint="eastAsia"/>
                      <w:color w:val="auto"/>
                      <w:sz w:val="21"/>
                      <w:szCs w:val="21"/>
                    </w:rPr>
                    <w:t>水田</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FBA4F2D">
                  <w:pPr>
                    <w:jc w:val="center"/>
                    <w:rPr>
                      <w:color w:val="auto"/>
                      <w:sz w:val="21"/>
                      <w:szCs w:val="21"/>
                    </w:rPr>
                  </w:pPr>
                  <w:r>
                    <w:rPr>
                      <w:rFonts w:hint="eastAsia"/>
                      <w:color w:val="auto"/>
                      <w:sz w:val="21"/>
                      <w:szCs w:val="21"/>
                    </w:rPr>
                    <w:t>80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7C542E">
                  <w:pPr>
                    <w:jc w:val="center"/>
                    <w:rPr>
                      <w:color w:val="auto"/>
                      <w:sz w:val="21"/>
                      <w:szCs w:val="21"/>
                    </w:rPr>
                  </w:pPr>
                  <w:r>
                    <w:rPr>
                      <w:rFonts w:hint="eastAsia"/>
                      <w:color w:val="auto"/>
                      <w:sz w:val="21"/>
                      <w:szCs w:val="21"/>
                    </w:rPr>
                    <w:t>100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B63296">
                  <w:pPr>
                    <w:jc w:val="center"/>
                    <w:rPr>
                      <w:color w:val="auto"/>
                      <w:sz w:val="21"/>
                      <w:szCs w:val="21"/>
                    </w:rPr>
                  </w:pPr>
                  <w:r>
                    <w:rPr>
                      <w:rFonts w:hint="eastAsia"/>
                      <w:color w:val="auto"/>
                      <w:sz w:val="21"/>
                      <w:szCs w:val="21"/>
                    </w:rPr>
                    <w:t>140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5BFA870">
                  <w:pPr>
                    <w:jc w:val="center"/>
                    <w:rPr>
                      <w:color w:val="auto"/>
                      <w:sz w:val="21"/>
                      <w:szCs w:val="21"/>
                    </w:rPr>
                  </w:pPr>
                  <w:r>
                    <w:rPr>
                      <w:rFonts w:hint="eastAsia"/>
                      <w:color w:val="auto"/>
                      <w:sz w:val="21"/>
                      <w:szCs w:val="21"/>
                    </w:rPr>
                    <w:t>240</w:t>
                  </w:r>
                </w:p>
              </w:tc>
            </w:tr>
            <w:tr w14:paraId="04425B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2A75D51D">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57D76FB">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4A2C90">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9C5EAF">
                  <w:pPr>
                    <w:jc w:val="center"/>
                    <w:rPr>
                      <w:color w:val="auto"/>
                      <w:sz w:val="21"/>
                      <w:szCs w:val="21"/>
                    </w:rPr>
                  </w:pPr>
                  <w:r>
                    <w:rPr>
                      <w:rFonts w:hint="eastAsia"/>
                      <w:color w:val="auto"/>
                      <w:sz w:val="21"/>
                      <w:szCs w:val="21"/>
                    </w:rPr>
                    <w:t>70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E95FA1">
                  <w:pPr>
                    <w:jc w:val="center"/>
                    <w:rPr>
                      <w:color w:val="auto"/>
                      <w:sz w:val="21"/>
                      <w:szCs w:val="21"/>
                    </w:rPr>
                  </w:pPr>
                  <w:r>
                    <w:rPr>
                      <w:rFonts w:hint="eastAsia"/>
                      <w:color w:val="auto"/>
                      <w:sz w:val="21"/>
                      <w:szCs w:val="21"/>
                    </w:rPr>
                    <w:t>90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06674C">
                  <w:pPr>
                    <w:jc w:val="center"/>
                    <w:rPr>
                      <w:color w:val="auto"/>
                      <w:sz w:val="21"/>
                      <w:szCs w:val="21"/>
                    </w:rPr>
                  </w:pPr>
                  <w:r>
                    <w:rPr>
                      <w:rFonts w:hint="eastAsia"/>
                      <w:color w:val="auto"/>
                      <w:sz w:val="21"/>
                      <w:szCs w:val="21"/>
                    </w:rPr>
                    <w:t>120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B5B737">
                  <w:pPr>
                    <w:jc w:val="center"/>
                    <w:rPr>
                      <w:color w:val="auto"/>
                      <w:sz w:val="21"/>
                      <w:szCs w:val="21"/>
                    </w:rPr>
                  </w:pPr>
                  <w:r>
                    <w:rPr>
                      <w:rFonts w:hint="eastAsia"/>
                      <w:color w:val="auto"/>
                      <w:sz w:val="21"/>
                      <w:szCs w:val="21"/>
                    </w:rPr>
                    <w:t>170</w:t>
                  </w:r>
                </w:p>
              </w:tc>
            </w:tr>
            <w:tr w14:paraId="524281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00CF32A2">
                  <w:pPr>
                    <w:jc w:val="center"/>
                    <w:rPr>
                      <w:color w:val="auto"/>
                      <w:sz w:val="21"/>
                      <w:szCs w:val="21"/>
                    </w:rPr>
                  </w:pPr>
                  <w:r>
                    <w:rPr>
                      <w:rFonts w:hint="eastAsia"/>
                      <w:color w:val="auto"/>
                      <w:sz w:val="21"/>
                      <w:szCs w:val="21"/>
                    </w:rPr>
                    <w:t>5</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D615CB">
                  <w:pPr>
                    <w:jc w:val="center"/>
                    <w:rPr>
                      <w:color w:val="auto"/>
                      <w:sz w:val="21"/>
                      <w:szCs w:val="21"/>
                    </w:rPr>
                  </w:pPr>
                  <w:r>
                    <w:rPr>
                      <w:rFonts w:hint="eastAsia"/>
                      <w:color w:val="auto"/>
                      <w:sz w:val="21"/>
                      <w:szCs w:val="21"/>
                    </w:rPr>
                    <w:t>铬</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B0ED547">
                  <w:pPr>
                    <w:jc w:val="center"/>
                    <w:rPr>
                      <w:color w:val="auto"/>
                      <w:sz w:val="21"/>
                      <w:szCs w:val="21"/>
                    </w:rPr>
                  </w:pPr>
                  <w:r>
                    <w:rPr>
                      <w:rFonts w:hint="eastAsia"/>
                      <w:color w:val="auto"/>
                      <w:sz w:val="21"/>
                      <w:szCs w:val="21"/>
                    </w:rPr>
                    <w:t>水田</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318E38A">
                  <w:pPr>
                    <w:jc w:val="center"/>
                    <w:rPr>
                      <w:color w:val="auto"/>
                      <w:sz w:val="21"/>
                      <w:szCs w:val="21"/>
                    </w:rPr>
                  </w:pPr>
                  <w:r>
                    <w:rPr>
                      <w:rFonts w:hint="eastAsia"/>
                      <w:color w:val="auto"/>
                      <w:sz w:val="21"/>
                      <w:szCs w:val="21"/>
                    </w:rPr>
                    <w:t>250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CDE0617">
                  <w:pPr>
                    <w:jc w:val="center"/>
                    <w:rPr>
                      <w:color w:val="auto"/>
                      <w:sz w:val="21"/>
                      <w:szCs w:val="21"/>
                    </w:rPr>
                  </w:pPr>
                  <w:r>
                    <w:rPr>
                      <w:rFonts w:hint="eastAsia"/>
                      <w:color w:val="auto"/>
                      <w:sz w:val="21"/>
                      <w:szCs w:val="21"/>
                    </w:rPr>
                    <w:t>250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C9C7BD7">
                  <w:pPr>
                    <w:jc w:val="center"/>
                    <w:rPr>
                      <w:color w:val="auto"/>
                      <w:sz w:val="21"/>
                      <w:szCs w:val="21"/>
                    </w:rPr>
                  </w:pPr>
                  <w:r>
                    <w:rPr>
                      <w:rFonts w:hint="eastAsia"/>
                      <w:color w:val="auto"/>
                      <w:sz w:val="21"/>
                      <w:szCs w:val="21"/>
                    </w:rPr>
                    <w:t>300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47DEFE">
                  <w:pPr>
                    <w:jc w:val="center"/>
                    <w:rPr>
                      <w:color w:val="auto"/>
                      <w:sz w:val="21"/>
                      <w:szCs w:val="21"/>
                    </w:rPr>
                  </w:pPr>
                  <w:r>
                    <w:rPr>
                      <w:rFonts w:hint="eastAsia"/>
                      <w:color w:val="auto"/>
                      <w:sz w:val="21"/>
                      <w:szCs w:val="21"/>
                    </w:rPr>
                    <w:t>350</w:t>
                  </w:r>
                </w:p>
              </w:tc>
            </w:tr>
            <w:tr w14:paraId="2AEB6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5C779309">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50B1A2">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BB8D3D">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261A86">
                  <w:pPr>
                    <w:jc w:val="center"/>
                    <w:rPr>
                      <w:color w:val="auto"/>
                      <w:sz w:val="21"/>
                      <w:szCs w:val="21"/>
                    </w:rPr>
                  </w:pPr>
                  <w:r>
                    <w:rPr>
                      <w:rFonts w:hint="eastAsia"/>
                      <w:color w:val="auto"/>
                      <w:sz w:val="21"/>
                      <w:szCs w:val="21"/>
                    </w:rPr>
                    <w:t>150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D47DD0">
                  <w:pPr>
                    <w:jc w:val="center"/>
                    <w:rPr>
                      <w:color w:val="auto"/>
                      <w:sz w:val="21"/>
                      <w:szCs w:val="21"/>
                    </w:rPr>
                  </w:pPr>
                  <w:r>
                    <w:rPr>
                      <w:rFonts w:hint="eastAsia"/>
                      <w:color w:val="auto"/>
                      <w:sz w:val="21"/>
                      <w:szCs w:val="21"/>
                    </w:rPr>
                    <w:t>150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EB8D6B">
                  <w:pPr>
                    <w:jc w:val="center"/>
                    <w:rPr>
                      <w:color w:val="auto"/>
                      <w:sz w:val="21"/>
                      <w:szCs w:val="21"/>
                    </w:rPr>
                  </w:pPr>
                  <w:r>
                    <w:rPr>
                      <w:rFonts w:hint="eastAsia"/>
                      <w:color w:val="auto"/>
                      <w:sz w:val="21"/>
                      <w:szCs w:val="21"/>
                    </w:rPr>
                    <w:t>200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9D41A1">
                  <w:pPr>
                    <w:jc w:val="center"/>
                    <w:rPr>
                      <w:color w:val="auto"/>
                      <w:sz w:val="21"/>
                      <w:szCs w:val="21"/>
                    </w:rPr>
                  </w:pPr>
                  <w:r>
                    <w:rPr>
                      <w:rFonts w:hint="eastAsia"/>
                      <w:color w:val="auto"/>
                      <w:sz w:val="21"/>
                      <w:szCs w:val="21"/>
                    </w:rPr>
                    <w:t>250</w:t>
                  </w:r>
                </w:p>
              </w:tc>
            </w:tr>
            <w:tr w14:paraId="1A6CDA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239ED952">
                  <w:pPr>
                    <w:jc w:val="center"/>
                    <w:rPr>
                      <w:color w:val="auto"/>
                      <w:sz w:val="21"/>
                      <w:szCs w:val="21"/>
                    </w:rPr>
                  </w:pPr>
                  <w:r>
                    <w:rPr>
                      <w:rFonts w:hint="eastAsia"/>
                      <w:color w:val="auto"/>
                      <w:sz w:val="21"/>
                      <w:szCs w:val="21"/>
                    </w:rPr>
                    <w:t>6</w:t>
                  </w:r>
                </w:p>
              </w:tc>
              <w:tc>
                <w:tcPr>
                  <w:tcW w:w="428"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003E6A6">
                  <w:pPr>
                    <w:jc w:val="center"/>
                    <w:rPr>
                      <w:color w:val="auto"/>
                      <w:sz w:val="21"/>
                      <w:szCs w:val="21"/>
                    </w:rPr>
                  </w:pPr>
                  <w:r>
                    <w:rPr>
                      <w:rFonts w:hint="eastAsia"/>
                      <w:color w:val="auto"/>
                      <w:sz w:val="21"/>
                      <w:szCs w:val="21"/>
                    </w:rPr>
                    <w:t>铜</w:t>
                  </w: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B42933">
                  <w:pPr>
                    <w:jc w:val="center"/>
                    <w:rPr>
                      <w:color w:val="auto"/>
                      <w:sz w:val="21"/>
                      <w:szCs w:val="21"/>
                    </w:rPr>
                  </w:pPr>
                  <w:r>
                    <w:rPr>
                      <w:rFonts w:hint="eastAsia"/>
                      <w:color w:val="auto"/>
                      <w:sz w:val="21"/>
                      <w:szCs w:val="21"/>
                    </w:rPr>
                    <w:t>果园</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9D5A87">
                  <w:pPr>
                    <w:jc w:val="center"/>
                    <w:rPr>
                      <w:color w:val="auto"/>
                      <w:sz w:val="21"/>
                      <w:szCs w:val="21"/>
                    </w:rPr>
                  </w:pPr>
                  <w:r>
                    <w:rPr>
                      <w:rFonts w:hint="eastAsia"/>
                      <w:color w:val="auto"/>
                      <w:sz w:val="21"/>
                      <w:szCs w:val="21"/>
                    </w:rPr>
                    <w:t>150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A6AE14">
                  <w:pPr>
                    <w:jc w:val="center"/>
                    <w:rPr>
                      <w:color w:val="auto"/>
                      <w:sz w:val="21"/>
                      <w:szCs w:val="21"/>
                    </w:rPr>
                  </w:pPr>
                  <w:r>
                    <w:rPr>
                      <w:rFonts w:hint="eastAsia"/>
                      <w:color w:val="auto"/>
                      <w:sz w:val="21"/>
                      <w:szCs w:val="21"/>
                    </w:rPr>
                    <w:t>150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712895">
                  <w:pPr>
                    <w:jc w:val="center"/>
                    <w:rPr>
                      <w:color w:val="auto"/>
                      <w:sz w:val="21"/>
                      <w:szCs w:val="21"/>
                    </w:rPr>
                  </w:pPr>
                  <w:r>
                    <w:rPr>
                      <w:rFonts w:hint="eastAsia"/>
                      <w:color w:val="auto"/>
                      <w:sz w:val="21"/>
                      <w:szCs w:val="21"/>
                    </w:rPr>
                    <w:t>200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A2EA495">
                  <w:pPr>
                    <w:jc w:val="center"/>
                    <w:rPr>
                      <w:color w:val="auto"/>
                      <w:sz w:val="21"/>
                      <w:szCs w:val="21"/>
                    </w:rPr>
                  </w:pPr>
                  <w:r>
                    <w:rPr>
                      <w:rFonts w:hint="eastAsia"/>
                      <w:color w:val="auto"/>
                      <w:sz w:val="21"/>
                      <w:szCs w:val="21"/>
                    </w:rPr>
                    <w:t>200</w:t>
                  </w:r>
                </w:p>
              </w:tc>
            </w:tr>
            <w:tr w14:paraId="4AE198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5D118DF5">
                  <w:pPr>
                    <w:jc w:val="center"/>
                    <w:rPr>
                      <w:color w:val="auto"/>
                      <w:sz w:val="21"/>
                      <w:szCs w:val="21"/>
                    </w:rPr>
                  </w:pPr>
                </w:p>
              </w:tc>
              <w:tc>
                <w:tcPr>
                  <w:tcW w:w="428"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57FDA68">
                  <w:pPr>
                    <w:jc w:val="center"/>
                    <w:rPr>
                      <w:color w:val="auto"/>
                      <w:sz w:val="21"/>
                      <w:szCs w:val="21"/>
                    </w:rPr>
                  </w:pPr>
                </w:p>
              </w:tc>
              <w:tc>
                <w:tcPr>
                  <w:tcW w:w="42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4EA7890">
                  <w:pPr>
                    <w:jc w:val="center"/>
                    <w:rPr>
                      <w:color w:val="auto"/>
                      <w:sz w:val="21"/>
                      <w:szCs w:val="21"/>
                    </w:rPr>
                  </w:pPr>
                  <w:r>
                    <w:rPr>
                      <w:rFonts w:hint="eastAsia"/>
                      <w:color w:val="auto"/>
                      <w:sz w:val="21"/>
                      <w:szCs w:val="21"/>
                    </w:rPr>
                    <w:t>其他</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1FE94F">
                  <w:pPr>
                    <w:jc w:val="center"/>
                    <w:rPr>
                      <w:color w:val="auto"/>
                      <w:sz w:val="21"/>
                      <w:szCs w:val="21"/>
                    </w:rPr>
                  </w:pPr>
                  <w:r>
                    <w:rPr>
                      <w:rFonts w:hint="eastAsia"/>
                      <w:color w:val="auto"/>
                      <w:sz w:val="21"/>
                      <w:szCs w:val="21"/>
                    </w:rPr>
                    <w:t>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D4629A2">
                  <w:pPr>
                    <w:jc w:val="center"/>
                    <w:rPr>
                      <w:color w:val="auto"/>
                      <w:sz w:val="21"/>
                      <w:szCs w:val="21"/>
                    </w:rPr>
                  </w:pPr>
                  <w:r>
                    <w:rPr>
                      <w:rFonts w:hint="eastAsia"/>
                      <w:color w:val="auto"/>
                      <w:sz w:val="21"/>
                      <w:szCs w:val="21"/>
                    </w:rPr>
                    <w:t>50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B7EC98">
                  <w:pPr>
                    <w:jc w:val="center"/>
                    <w:rPr>
                      <w:color w:val="auto"/>
                      <w:sz w:val="21"/>
                      <w:szCs w:val="21"/>
                    </w:rPr>
                  </w:pPr>
                  <w:r>
                    <w:rPr>
                      <w:rFonts w:hint="eastAsia"/>
                      <w:color w:val="auto"/>
                      <w:sz w:val="21"/>
                      <w:szCs w:val="21"/>
                    </w:rPr>
                    <w:t>100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FC4B4C">
                  <w:pPr>
                    <w:jc w:val="center"/>
                    <w:rPr>
                      <w:color w:val="auto"/>
                      <w:sz w:val="21"/>
                      <w:szCs w:val="21"/>
                    </w:rPr>
                  </w:pPr>
                  <w:r>
                    <w:rPr>
                      <w:rFonts w:hint="eastAsia"/>
                      <w:color w:val="auto"/>
                      <w:sz w:val="21"/>
                      <w:szCs w:val="21"/>
                    </w:rPr>
                    <w:t>100</w:t>
                  </w:r>
                </w:p>
              </w:tc>
            </w:tr>
            <w:tr w14:paraId="0D7C3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AEA890">
                  <w:pPr>
                    <w:jc w:val="center"/>
                    <w:rPr>
                      <w:color w:val="auto"/>
                      <w:sz w:val="21"/>
                      <w:szCs w:val="21"/>
                    </w:rPr>
                  </w:pPr>
                  <w:r>
                    <w:rPr>
                      <w:rFonts w:hint="eastAsia"/>
                      <w:color w:val="auto"/>
                      <w:sz w:val="21"/>
                      <w:szCs w:val="21"/>
                    </w:rPr>
                    <w:t>7</w:t>
                  </w:r>
                </w:p>
              </w:tc>
              <w:tc>
                <w:tcPr>
                  <w:tcW w:w="858" w:type="pct"/>
                  <w:gridSpan w:val="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8584D7">
                  <w:pPr>
                    <w:jc w:val="center"/>
                    <w:rPr>
                      <w:color w:val="auto"/>
                      <w:sz w:val="21"/>
                      <w:szCs w:val="21"/>
                    </w:rPr>
                  </w:pPr>
                  <w:r>
                    <w:rPr>
                      <w:rFonts w:hint="eastAsia"/>
                      <w:color w:val="auto"/>
                      <w:sz w:val="21"/>
                      <w:szCs w:val="21"/>
                    </w:rPr>
                    <w:t>镍</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45EE7E">
                  <w:pPr>
                    <w:jc w:val="center"/>
                    <w:rPr>
                      <w:color w:val="auto"/>
                      <w:sz w:val="21"/>
                      <w:szCs w:val="21"/>
                    </w:rPr>
                  </w:pPr>
                  <w:r>
                    <w:rPr>
                      <w:rFonts w:hint="eastAsia"/>
                      <w:color w:val="auto"/>
                      <w:sz w:val="21"/>
                      <w:szCs w:val="21"/>
                    </w:rPr>
                    <w:t>60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4DB2F10">
                  <w:pPr>
                    <w:jc w:val="center"/>
                    <w:rPr>
                      <w:color w:val="auto"/>
                      <w:sz w:val="21"/>
                      <w:szCs w:val="21"/>
                    </w:rPr>
                  </w:pPr>
                  <w:r>
                    <w:rPr>
                      <w:rFonts w:hint="eastAsia"/>
                      <w:color w:val="auto"/>
                      <w:sz w:val="21"/>
                      <w:szCs w:val="21"/>
                    </w:rPr>
                    <w:t>70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A96A1A">
                  <w:pPr>
                    <w:jc w:val="center"/>
                    <w:rPr>
                      <w:color w:val="auto"/>
                      <w:sz w:val="21"/>
                      <w:szCs w:val="21"/>
                    </w:rPr>
                  </w:pPr>
                  <w:r>
                    <w:rPr>
                      <w:rFonts w:hint="eastAsia"/>
                      <w:color w:val="auto"/>
                      <w:sz w:val="21"/>
                      <w:szCs w:val="21"/>
                    </w:rPr>
                    <w:t>100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95859DD">
                  <w:pPr>
                    <w:jc w:val="center"/>
                    <w:rPr>
                      <w:color w:val="auto"/>
                      <w:sz w:val="21"/>
                      <w:szCs w:val="21"/>
                    </w:rPr>
                  </w:pPr>
                  <w:r>
                    <w:rPr>
                      <w:rFonts w:hint="eastAsia"/>
                      <w:color w:val="auto"/>
                      <w:sz w:val="21"/>
                      <w:szCs w:val="21"/>
                    </w:rPr>
                    <w:t>190</w:t>
                  </w:r>
                </w:p>
              </w:tc>
            </w:tr>
            <w:tr w14:paraId="07BC3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blHeader/>
                <w:jc w:val="center"/>
              </w:trPr>
              <w:tc>
                <w:tcPr>
                  <w:tcW w:w="53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044032">
                  <w:pPr>
                    <w:jc w:val="center"/>
                    <w:rPr>
                      <w:color w:val="auto"/>
                      <w:sz w:val="21"/>
                      <w:szCs w:val="21"/>
                    </w:rPr>
                  </w:pPr>
                  <w:r>
                    <w:rPr>
                      <w:rFonts w:hint="eastAsia"/>
                      <w:color w:val="auto"/>
                      <w:sz w:val="21"/>
                      <w:szCs w:val="21"/>
                    </w:rPr>
                    <w:t>8</w:t>
                  </w:r>
                </w:p>
              </w:tc>
              <w:tc>
                <w:tcPr>
                  <w:tcW w:w="858" w:type="pct"/>
                  <w:gridSpan w:val="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1FB66C">
                  <w:pPr>
                    <w:jc w:val="center"/>
                    <w:rPr>
                      <w:color w:val="auto"/>
                      <w:sz w:val="21"/>
                      <w:szCs w:val="21"/>
                    </w:rPr>
                  </w:pPr>
                  <w:r>
                    <w:rPr>
                      <w:rFonts w:hint="eastAsia"/>
                      <w:color w:val="auto"/>
                      <w:sz w:val="21"/>
                      <w:szCs w:val="21"/>
                    </w:rPr>
                    <w:t>锌</w:t>
                  </w:r>
                </w:p>
              </w:tc>
              <w:tc>
                <w:tcPr>
                  <w:tcW w:w="899"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A63B9B">
                  <w:pPr>
                    <w:jc w:val="center"/>
                    <w:rPr>
                      <w:color w:val="auto"/>
                      <w:sz w:val="21"/>
                      <w:szCs w:val="21"/>
                    </w:rPr>
                  </w:pPr>
                  <w:r>
                    <w:rPr>
                      <w:rFonts w:hint="eastAsia"/>
                      <w:color w:val="auto"/>
                      <w:sz w:val="21"/>
                      <w:szCs w:val="21"/>
                    </w:rPr>
                    <w:t>200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6497223">
                  <w:pPr>
                    <w:jc w:val="center"/>
                    <w:rPr>
                      <w:color w:val="auto"/>
                      <w:sz w:val="21"/>
                      <w:szCs w:val="21"/>
                    </w:rPr>
                  </w:pPr>
                  <w:r>
                    <w:rPr>
                      <w:rFonts w:hint="eastAsia"/>
                      <w:color w:val="auto"/>
                      <w:sz w:val="21"/>
                      <w:szCs w:val="21"/>
                    </w:rPr>
                    <w:t>200</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AC97D5">
                  <w:pPr>
                    <w:jc w:val="center"/>
                    <w:rPr>
                      <w:color w:val="auto"/>
                      <w:sz w:val="21"/>
                      <w:szCs w:val="21"/>
                    </w:rPr>
                  </w:pPr>
                  <w:r>
                    <w:rPr>
                      <w:rFonts w:hint="eastAsia"/>
                      <w:color w:val="auto"/>
                      <w:sz w:val="21"/>
                      <w:szCs w:val="21"/>
                    </w:rPr>
                    <w:t>250</w:t>
                  </w:r>
                </w:p>
              </w:tc>
              <w:tc>
                <w:tcPr>
                  <w:tcW w:w="84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A49AE9B">
                  <w:pPr>
                    <w:jc w:val="center"/>
                    <w:rPr>
                      <w:color w:val="auto"/>
                      <w:sz w:val="21"/>
                      <w:szCs w:val="21"/>
                    </w:rPr>
                  </w:pPr>
                  <w:r>
                    <w:rPr>
                      <w:rFonts w:hint="eastAsia"/>
                      <w:color w:val="auto"/>
                      <w:sz w:val="21"/>
                      <w:szCs w:val="21"/>
                    </w:rPr>
                    <w:t>300</w:t>
                  </w:r>
                </w:p>
              </w:tc>
            </w:tr>
          </w:tbl>
          <w:p w14:paraId="5B86FBB8">
            <w:pPr>
              <w:spacing w:line="360" w:lineRule="auto"/>
              <w:rPr>
                <w:b/>
                <w:bCs/>
                <w:color w:val="auto"/>
              </w:rPr>
            </w:pPr>
            <w:r>
              <w:rPr>
                <w:rFonts w:hint="eastAsia"/>
                <w:b/>
                <w:bCs/>
                <w:color w:val="auto"/>
              </w:rPr>
              <w:t>2、污染物排放标准</w:t>
            </w:r>
          </w:p>
          <w:p w14:paraId="6473AD84">
            <w:pPr>
              <w:spacing w:line="360" w:lineRule="auto"/>
              <w:rPr>
                <w:b/>
                <w:bCs/>
                <w:color w:val="auto"/>
              </w:rPr>
            </w:pPr>
            <w:r>
              <w:rPr>
                <w:rFonts w:hint="eastAsia"/>
                <w:b/>
                <w:bCs/>
                <w:color w:val="auto"/>
              </w:rPr>
              <w:t>2.1废气</w:t>
            </w:r>
          </w:p>
          <w:p w14:paraId="44D47B77">
            <w:pPr>
              <w:spacing w:line="360" w:lineRule="auto"/>
              <w:ind w:firstLine="480" w:firstLineChars="200"/>
              <w:rPr>
                <w:color w:val="auto"/>
              </w:rPr>
            </w:pPr>
            <w:r>
              <w:rPr>
                <w:rFonts w:hint="eastAsia"/>
                <w:color w:val="auto"/>
              </w:rPr>
              <w:t>项目施工期扬尘和施工机械燃油废气均</w:t>
            </w:r>
            <w:r>
              <w:rPr>
                <w:color w:val="auto"/>
              </w:rPr>
              <w:t>执行《大气污染物综合排放标准》（GB16297-1996）中表2新污染源无组织排放监控浓度限值，详见</w:t>
            </w:r>
            <w:r>
              <w:rPr>
                <w:rFonts w:hint="eastAsia"/>
                <w:color w:val="auto"/>
              </w:rPr>
              <w:t>下表</w:t>
            </w:r>
            <w:r>
              <w:rPr>
                <w:color w:val="auto"/>
              </w:rPr>
              <w:t>。</w:t>
            </w:r>
          </w:p>
          <w:p w14:paraId="26916E42">
            <w:pPr>
              <w:spacing w:line="360" w:lineRule="auto"/>
              <w:jc w:val="center"/>
              <w:rPr>
                <w:b/>
                <w:bCs/>
                <w:color w:val="auto"/>
              </w:rPr>
            </w:pPr>
            <w:r>
              <w:rPr>
                <w:rFonts w:hint="eastAsia"/>
                <w:b/>
                <w:bCs/>
                <w:color w:val="auto"/>
              </w:rPr>
              <w:t>表3-1</w:t>
            </w:r>
            <w:r>
              <w:rPr>
                <w:b/>
                <w:bCs/>
                <w:color w:val="auto"/>
              </w:rPr>
              <w:t>2</w:t>
            </w:r>
            <w:r>
              <w:rPr>
                <w:rFonts w:hint="eastAsia"/>
                <w:b/>
                <w:bCs/>
                <w:color w:val="auto"/>
              </w:rPr>
              <w:t xml:space="preserve"> 大气污染物排放标准</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3433"/>
              <w:gridCol w:w="2646"/>
            </w:tblGrid>
            <w:tr w14:paraId="51BB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7" w:type="pct"/>
                  <w:vMerge w:val="restart"/>
                  <w:vAlign w:val="center"/>
                </w:tcPr>
                <w:p w14:paraId="343F8E47">
                  <w:pPr>
                    <w:jc w:val="center"/>
                    <w:rPr>
                      <w:b/>
                      <w:bCs/>
                      <w:color w:val="auto"/>
                      <w:sz w:val="21"/>
                      <w:szCs w:val="21"/>
                    </w:rPr>
                  </w:pPr>
                  <w:r>
                    <w:rPr>
                      <w:b/>
                      <w:bCs/>
                      <w:color w:val="auto"/>
                      <w:sz w:val="21"/>
                      <w:szCs w:val="21"/>
                    </w:rPr>
                    <w:t>污染物</w:t>
                  </w:r>
                </w:p>
              </w:tc>
              <w:tc>
                <w:tcPr>
                  <w:tcW w:w="3782" w:type="pct"/>
                  <w:gridSpan w:val="2"/>
                  <w:vAlign w:val="center"/>
                </w:tcPr>
                <w:p w14:paraId="05420B65">
                  <w:pPr>
                    <w:jc w:val="center"/>
                    <w:rPr>
                      <w:b/>
                      <w:bCs/>
                      <w:color w:val="auto"/>
                      <w:sz w:val="21"/>
                      <w:szCs w:val="21"/>
                    </w:rPr>
                  </w:pPr>
                  <w:r>
                    <w:rPr>
                      <w:b/>
                      <w:bCs/>
                      <w:color w:val="auto"/>
                      <w:sz w:val="21"/>
                      <w:szCs w:val="21"/>
                    </w:rPr>
                    <w:t>无组织排放监控浓度限值</w:t>
                  </w:r>
                </w:p>
              </w:tc>
            </w:tr>
            <w:tr w14:paraId="201E5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7" w:type="pct"/>
                  <w:vMerge w:val="continue"/>
                  <w:vAlign w:val="center"/>
                </w:tcPr>
                <w:p w14:paraId="2CD11119">
                  <w:pPr>
                    <w:jc w:val="center"/>
                    <w:rPr>
                      <w:b/>
                      <w:bCs/>
                      <w:color w:val="auto"/>
                      <w:sz w:val="21"/>
                      <w:szCs w:val="21"/>
                    </w:rPr>
                  </w:pPr>
                </w:p>
              </w:tc>
              <w:tc>
                <w:tcPr>
                  <w:tcW w:w="2136" w:type="pct"/>
                  <w:vAlign w:val="center"/>
                </w:tcPr>
                <w:p w14:paraId="6B89B775">
                  <w:pPr>
                    <w:jc w:val="center"/>
                    <w:rPr>
                      <w:b/>
                      <w:bCs/>
                      <w:color w:val="auto"/>
                      <w:sz w:val="21"/>
                      <w:szCs w:val="21"/>
                    </w:rPr>
                  </w:pPr>
                  <w:r>
                    <w:rPr>
                      <w:b/>
                      <w:bCs/>
                      <w:color w:val="auto"/>
                      <w:sz w:val="21"/>
                      <w:szCs w:val="21"/>
                    </w:rPr>
                    <w:t>监控点</w:t>
                  </w:r>
                </w:p>
              </w:tc>
              <w:tc>
                <w:tcPr>
                  <w:tcW w:w="1645" w:type="pct"/>
                  <w:vAlign w:val="center"/>
                </w:tcPr>
                <w:p w14:paraId="1D4FF95E">
                  <w:pPr>
                    <w:jc w:val="center"/>
                    <w:rPr>
                      <w:b/>
                      <w:bCs/>
                      <w:color w:val="auto"/>
                      <w:sz w:val="21"/>
                      <w:szCs w:val="21"/>
                    </w:rPr>
                  </w:pPr>
                  <w:r>
                    <w:rPr>
                      <w:b/>
                      <w:bCs/>
                      <w:color w:val="auto"/>
                      <w:sz w:val="21"/>
                      <w:szCs w:val="21"/>
                    </w:rPr>
                    <w:t>浓度(mg/m</w:t>
                  </w:r>
                  <w:r>
                    <w:rPr>
                      <w:b/>
                      <w:bCs/>
                      <w:color w:val="auto"/>
                      <w:sz w:val="21"/>
                      <w:szCs w:val="21"/>
                      <w:vertAlign w:val="superscript"/>
                    </w:rPr>
                    <w:t>3</w:t>
                  </w:r>
                  <w:r>
                    <w:rPr>
                      <w:b/>
                      <w:bCs/>
                      <w:color w:val="auto"/>
                      <w:sz w:val="21"/>
                      <w:szCs w:val="21"/>
                    </w:rPr>
                    <w:t>)</w:t>
                  </w:r>
                </w:p>
              </w:tc>
            </w:tr>
            <w:tr w14:paraId="3CAF1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pct"/>
                  <w:vAlign w:val="center"/>
                </w:tcPr>
                <w:p w14:paraId="477CE1F2">
                  <w:pPr>
                    <w:jc w:val="center"/>
                    <w:rPr>
                      <w:color w:val="auto"/>
                      <w:sz w:val="21"/>
                      <w:szCs w:val="21"/>
                    </w:rPr>
                  </w:pPr>
                  <w:r>
                    <w:rPr>
                      <w:color w:val="auto"/>
                      <w:sz w:val="21"/>
                      <w:szCs w:val="21"/>
                    </w:rPr>
                    <w:t>颗粒物</w:t>
                  </w:r>
                </w:p>
              </w:tc>
              <w:tc>
                <w:tcPr>
                  <w:tcW w:w="2136" w:type="pct"/>
                  <w:vMerge w:val="restart"/>
                  <w:vAlign w:val="center"/>
                </w:tcPr>
                <w:p w14:paraId="1CF4E40C">
                  <w:pPr>
                    <w:jc w:val="center"/>
                    <w:rPr>
                      <w:color w:val="auto"/>
                      <w:sz w:val="21"/>
                      <w:szCs w:val="21"/>
                    </w:rPr>
                  </w:pPr>
                  <w:r>
                    <w:rPr>
                      <w:color w:val="auto"/>
                      <w:sz w:val="21"/>
                      <w:szCs w:val="21"/>
                    </w:rPr>
                    <w:t>周界外浓度最高点</w:t>
                  </w:r>
                </w:p>
              </w:tc>
              <w:tc>
                <w:tcPr>
                  <w:tcW w:w="1645" w:type="pct"/>
                  <w:vAlign w:val="center"/>
                </w:tcPr>
                <w:p w14:paraId="79DD5FBF">
                  <w:pPr>
                    <w:jc w:val="center"/>
                    <w:rPr>
                      <w:color w:val="auto"/>
                      <w:sz w:val="21"/>
                      <w:szCs w:val="21"/>
                    </w:rPr>
                  </w:pPr>
                  <w:r>
                    <w:rPr>
                      <w:color w:val="auto"/>
                      <w:sz w:val="21"/>
                      <w:szCs w:val="21"/>
                    </w:rPr>
                    <w:t>1.0</w:t>
                  </w:r>
                </w:p>
              </w:tc>
            </w:tr>
            <w:tr w14:paraId="05179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pct"/>
                  <w:vAlign w:val="center"/>
                </w:tcPr>
                <w:p w14:paraId="23E62297">
                  <w:pPr>
                    <w:jc w:val="center"/>
                    <w:rPr>
                      <w:color w:val="auto"/>
                      <w:sz w:val="21"/>
                      <w:szCs w:val="21"/>
                    </w:rPr>
                  </w:pPr>
                  <w:r>
                    <w:rPr>
                      <w:color w:val="auto"/>
                      <w:sz w:val="21"/>
                      <w:szCs w:val="21"/>
                    </w:rPr>
                    <w:t>SO</w:t>
                  </w:r>
                  <w:r>
                    <w:rPr>
                      <w:color w:val="auto"/>
                      <w:sz w:val="21"/>
                      <w:szCs w:val="21"/>
                      <w:vertAlign w:val="subscript"/>
                    </w:rPr>
                    <w:t>2</w:t>
                  </w:r>
                </w:p>
              </w:tc>
              <w:tc>
                <w:tcPr>
                  <w:tcW w:w="2136" w:type="pct"/>
                  <w:vMerge w:val="continue"/>
                  <w:vAlign w:val="center"/>
                </w:tcPr>
                <w:p w14:paraId="4EC9BEE4">
                  <w:pPr>
                    <w:jc w:val="center"/>
                    <w:rPr>
                      <w:color w:val="auto"/>
                      <w:sz w:val="21"/>
                      <w:szCs w:val="21"/>
                    </w:rPr>
                  </w:pPr>
                </w:p>
              </w:tc>
              <w:tc>
                <w:tcPr>
                  <w:tcW w:w="1645" w:type="pct"/>
                  <w:vAlign w:val="center"/>
                </w:tcPr>
                <w:p w14:paraId="2CAD07F9">
                  <w:pPr>
                    <w:jc w:val="center"/>
                    <w:rPr>
                      <w:color w:val="auto"/>
                      <w:sz w:val="21"/>
                      <w:szCs w:val="21"/>
                    </w:rPr>
                  </w:pPr>
                  <w:r>
                    <w:rPr>
                      <w:color w:val="auto"/>
                      <w:sz w:val="21"/>
                      <w:szCs w:val="21"/>
                    </w:rPr>
                    <w:t>0.40</w:t>
                  </w:r>
                </w:p>
              </w:tc>
            </w:tr>
            <w:tr w14:paraId="4A3D0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7" w:type="pct"/>
                  <w:vAlign w:val="center"/>
                </w:tcPr>
                <w:p w14:paraId="75404812">
                  <w:pPr>
                    <w:jc w:val="center"/>
                    <w:rPr>
                      <w:color w:val="auto"/>
                      <w:sz w:val="21"/>
                      <w:szCs w:val="21"/>
                    </w:rPr>
                  </w:pPr>
                  <w:r>
                    <w:rPr>
                      <w:color w:val="auto"/>
                      <w:sz w:val="21"/>
                      <w:szCs w:val="21"/>
                    </w:rPr>
                    <w:t>NO</w:t>
                  </w:r>
                  <w:r>
                    <w:rPr>
                      <w:color w:val="auto"/>
                      <w:sz w:val="21"/>
                      <w:szCs w:val="21"/>
                      <w:vertAlign w:val="subscript"/>
                    </w:rPr>
                    <w:t>x</w:t>
                  </w:r>
                </w:p>
              </w:tc>
              <w:tc>
                <w:tcPr>
                  <w:tcW w:w="2136" w:type="pct"/>
                  <w:vMerge w:val="continue"/>
                  <w:vAlign w:val="center"/>
                </w:tcPr>
                <w:p w14:paraId="3E19C1A4">
                  <w:pPr>
                    <w:jc w:val="center"/>
                    <w:rPr>
                      <w:color w:val="auto"/>
                      <w:sz w:val="21"/>
                      <w:szCs w:val="21"/>
                    </w:rPr>
                  </w:pPr>
                </w:p>
              </w:tc>
              <w:tc>
                <w:tcPr>
                  <w:tcW w:w="1645" w:type="pct"/>
                  <w:vAlign w:val="center"/>
                </w:tcPr>
                <w:p w14:paraId="7D268804">
                  <w:pPr>
                    <w:jc w:val="center"/>
                    <w:rPr>
                      <w:color w:val="auto"/>
                      <w:sz w:val="21"/>
                      <w:szCs w:val="21"/>
                    </w:rPr>
                  </w:pPr>
                  <w:r>
                    <w:rPr>
                      <w:color w:val="auto"/>
                      <w:sz w:val="21"/>
                      <w:szCs w:val="21"/>
                    </w:rPr>
                    <w:t>0.12</w:t>
                  </w:r>
                </w:p>
              </w:tc>
            </w:tr>
          </w:tbl>
          <w:p w14:paraId="214FFD89">
            <w:pPr>
              <w:spacing w:line="360" w:lineRule="auto"/>
              <w:rPr>
                <w:b/>
                <w:bCs/>
                <w:color w:val="auto"/>
              </w:rPr>
            </w:pPr>
            <w:r>
              <w:rPr>
                <w:rFonts w:hint="eastAsia"/>
                <w:b/>
                <w:bCs/>
                <w:color w:val="auto"/>
              </w:rPr>
              <w:t>2.2废水</w:t>
            </w:r>
          </w:p>
          <w:p w14:paraId="14BE40F2">
            <w:pPr>
              <w:spacing w:line="360" w:lineRule="auto"/>
              <w:ind w:firstLine="480" w:firstLineChars="200"/>
              <w:rPr>
                <w:color w:val="auto"/>
              </w:rPr>
            </w:pPr>
            <w:r>
              <w:rPr>
                <w:rFonts w:hint="eastAsia"/>
                <w:color w:val="auto"/>
              </w:rPr>
              <w:t>项目在开工前与污水处理单位签订协议，项目施工期井队生活污水采用环保厕所收集处置后外运污水处理单位处置，不外排；收集的雨水、洗井废水等大部分回用，少部分进入污水池，不外排。</w:t>
            </w:r>
          </w:p>
          <w:p w14:paraId="61CE4506">
            <w:pPr>
              <w:spacing w:line="360" w:lineRule="auto"/>
              <w:rPr>
                <w:b/>
                <w:bCs/>
                <w:color w:val="auto"/>
              </w:rPr>
            </w:pPr>
            <w:r>
              <w:rPr>
                <w:rFonts w:hint="eastAsia"/>
                <w:b/>
                <w:bCs/>
                <w:color w:val="auto"/>
              </w:rPr>
              <w:t>2.3噪声</w:t>
            </w:r>
          </w:p>
          <w:p w14:paraId="413AF177">
            <w:pPr>
              <w:spacing w:line="360" w:lineRule="auto"/>
              <w:ind w:firstLine="480" w:firstLineChars="200"/>
              <w:rPr>
                <w:color w:val="auto"/>
              </w:rPr>
            </w:pPr>
            <w:r>
              <w:rPr>
                <w:rFonts w:hint="eastAsia"/>
                <w:color w:val="auto"/>
              </w:rPr>
              <w:t>项目施工期噪声执行《建筑施工噪声排放标准》（GB12523—2025）。</w:t>
            </w:r>
          </w:p>
          <w:p w14:paraId="0D4E267E">
            <w:pPr>
              <w:spacing w:line="360" w:lineRule="auto"/>
              <w:jc w:val="center"/>
              <w:rPr>
                <w:b/>
                <w:bCs/>
                <w:color w:val="auto"/>
              </w:rPr>
            </w:pPr>
            <w:r>
              <w:rPr>
                <w:rFonts w:hint="eastAsia"/>
                <w:b/>
                <w:bCs/>
                <w:color w:val="auto"/>
              </w:rPr>
              <w:t>表3-1</w:t>
            </w:r>
            <w:r>
              <w:rPr>
                <w:b/>
                <w:bCs/>
                <w:color w:val="auto"/>
              </w:rPr>
              <w:t>3</w:t>
            </w:r>
            <w:r>
              <w:rPr>
                <w:rFonts w:hint="eastAsia"/>
                <w:b/>
                <w:bCs/>
                <w:color w:val="auto"/>
              </w:rPr>
              <w:t xml:space="preserve"> 噪声排放标准  单位：dB(A)</w:t>
            </w:r>
          </w:p>
          <w:tbl>
            <w:tblPr>
              <w:tblStyle w:val="19"/>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8"/>
              <w:gridCol w:w="1299"/>
              <w:gridCol w:w="5258"/>
            </w:tblGrid>
            <w:tr w14:paraId="3DAC4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2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0A277576">
                  <w:pPr>
                    <w:jc w:val="center"/>
                    <w:rPr>
                      <w:b/>
                      <w:bCs/>
                      <w:color w:val="auto"/>
                      <w:sz w:val="21"/>
                      <w:szCs w:val="21"/>
                      <w:lang w:val="zh-CN"/>
                    </w:rPr>
                  </w:pPr>
                  <w:r>
                    <w:rPr>
                      <w:b/>
                      <w:bCs/>
                      <w:color w:val="auto"/>
                      <w:sz w:val="21"/>
                      <w:szCs w:val="21"/>
                      <w:lang w:val="zh-CN"/>
                    </w:rPr>
                    <w:t>昼间</w:t>
                  </w:r>
                </w:p>
              </w:tc>
              <w:tc>
                <w:tcPr>
                  <w:tcW w:w="8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1E07F">
                  <w:pPr>
                    <w:jc w:val="center"/>
                    <w:rPr>
                      <w:b/>
                      <w:bCs/>
                      <w:color w:val="auto"/>
                      <w:sz w:val="21"/>
                      <w:szCs w:val="21"/>
                      <w:lang w:val="zh-CN"/>
                    </w:rPr>
                  </w:pPr>
                  <w:r>
                    <w:rPr>
                      <w:b/>
                      <w:bCs/>
                      <w:color w:val="auto"/>
                      <w:sz w:val="21"/>
                      <w:szCs w:val="21"/>
                      <w:lang w:val="zh-CN"/>
                    </w:rPr>
                    <w:t>夜间</w:t>
                  </w:r>
                </w:p>
              </w:tc>
              <w:tc>
                <w:tcPr>
                  <w:tcW w:w="32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9E3D8E">
                  <w:pPr>
                    <w:jc w:val="center"/>
                    <w:rPr>
                      <w:b/>
                      <w:bCs/>
                      <w:color w:val="auto"/>
                      <w:sz w:val="21"/>
                      <w:szCs w:val="21"/>
                      <w:lang w:val="zh-CN"/>
                    </w:rPr>
                  </w:pPr>
                  <w:r>
                    <w:rPr>
                      <w:b/>
                      <w:bCs/>
                      <w:color w:val="auto"/>
                      <w:sz w:val="21"/>
                      <w:szCs w:val="21"/>
                    </w:rPr>
                    <w:t>标准来源</w:t>
                  </w:r>
                </w:p>
              </w:tc>
            </w:tr>
            <w:tr w14:paraId="76AD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920" w:type="pct"/>
                  <w:tcBorders>
                    <w:top w:val="single" w:color="000000" w:sz="4" w:space="0"/>
                    <w:left w:val="single" w:color="000000" w:sz="4" w:space="0"/>
                    <w:bottom w:val="single" w:color="000000" w:sz="4" w:space="0"/>
                    <w:right w:val="single" w:color="000000" w:sz="4" w:space="0"/>
                    <w:tl2br w:val="nil"/>
                  </w:tcBorders>
                  <w:shd w:val="clear" w:color="auto" w:fill="FFFFFF"/>
                  <w:vAlign w:val="center"/>
                </w:tcPr>
                <w:p w14:paraId="1617849E">
                  <w:pPr>
                    <w:jc w:val="center"/>
                    <w:rPr>
                      <w:color w:val="auto"/>
                      <w:sz w:val="21"/>
                      <w:szCs w:val="21"/>
                      <w:lang w:val="zh-CN"/>
                    </w:rPr>
                  </w:pPr>
                  <w:r>
                    <w:rPr>
                      <w:color w:val="auto"/>
                      <w:sz w:val="21"/>
                      <w:szCs w:val="21"/>
                    </w:rPr>
                    <w:t>70</w:t>
                  </w:r>
                </w:p>
              </w:tc>
              <w:tc>
                <w:tcPr>
                  <w:tcW w:w="80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475986">
                  <w:pPr>
                    <w:jc w:val="center"/>
                    <w:rPr>
                      <w:color w:val="auto"/>
                      <w:sz w:val="21"/>
                      <w:szCs w:val="21"/>
                      <w:lang w:val="zh-CN"/>
                    </w:rPr>
                  </w:pPr>
                  <w:r>
                    <w:rPr>
                      <w:color w:val="auto"/>
                      <w:sz w:val="21"/>
                      <w:szCs w:val="21"/>
                      <w:lang w:val="zh-CN"/>
                    </w:rPr>
                    <w:t>55</w:t>
                  </w:r>
                </w:p>
              </w:tc>
              <w:tc>
                <w:tcPr>
                  <w:tcW w:w="327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421F08">
                  <w:pPr>
                    <w:jc w:val="center"/>
                    <w:rPr>
                      <w:color w:val="auto"/>
                      <w:sz w:val="21"/>
                      <w:szCs w:val="21"/>
                    </w:rPr>
                  </w:pPr>
                  <w:r>
                    <w:rPr>
                      <w:rFonts w:hint="eastAsia"/>
                      <w:color w:val="auto"/>
                      <w:sz w:val="21"/>
                      <w:szCs w:val="21"/>
                    </w:rPr>
                    <w:t>《建筑施工噪声排放标准》（GB12523—2025）</w:t>
                  </w:r>
                </w:p>
              </w:tc>
            </w:tr>
          </w:tbl>
          <w:p w14:paraId="6DFC508B">
            <w:pPr>
              <w:spacing w:line="360" w:lineRule="auto"/>
              <w:rPr>
                <w:rFonts w:hint="eastAsia"/>
                <w:b/>
                <w:bCs/>
                <w:color w:val="auto"/>
              </w:rPr>
            </w:pPr>
            <w:r>
              <w:rPr>
                <w:rFonts w:hint="eastAsia"/>
                <w:b/>
                <w:bCs/>
                <w:color w:val="auto"/>
              </w:rPr>
              <w:t>2.4固体废物</w:t>
            </w:r>
          </w:p>
          <w:p w14:paraId="72B68F59">
            <w:pPr>
              <w:spacing w:line="360" w:lineRule="auto"/>
              <w:ind w:firstLine="480" w:firstLineChars="200"/>
              <w:rPr>
                <w:color w:val="auto"/>
              </w:rPr>
            </w:pPr>
            <w:r>
              <w:rPr>
                <w:rFonts w:hint="eastAsia"/>
                <w:color w:val="auto"/>
              </w:rPr>
              <w:t>项目一般固废管理执行《一般工业固体废物环境管理工作指南》（环办固体函(2026)18号）相关要求；危险废物管理执行《危险废物贮存污染控制标准》（GB 18597-2023）相关要求。</w:t>
            </w:r>
          </w:p>
        </w:tc>
      </w:tr>
      <w:tr w14:paraId="1A0413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94" w:type="dxa"/>
            <w:vAlign w:val="center"/>
          </w:tcPr>
          <w:p w14:paraId="6271CBC7">
            <w:pPr>
              <w:adjustRightInd w:val="0"/>
              <w:snapToGrid w:val="0"/>
              <w:jc w:val="center"/>
              <w:rPr>
                <w:rFonts w:ascii="宋体" w:hAnsi="宋体" w:cs="宋体"/>
                <w:color w:val="auto"/>
                <w:kern w:val="0"/>
                <w:szCs w:val="21"/>
              </w:rPr>
            </w:pPr>
            <w:r>
              <w:rPr>
                <w:rFonts w:hint="eastAsia" w:ascii="宋体" w:hAnsi="宋体" w:cs="宋体"/>
                <w:color w:val="auto"/>
                <w:kern w:val="0"/>
                <w:szCs w:val="21"/>
              </w:rPr>
              <w:t>其他</w:t>
            </w:r>
          </w:p>
        </w:tc>
        <w:tc>
          <w:tcPr>
            <w:tcW w:w="8263" w:type="dxa"/>
            <w:vAlign w:val="center"/>
          </w:tcPr>
          <w:p w14:paraId="443E02F4">
            <w:pPr>
              <w:pStyle w:val="4"/>
              <w:spacing w:line="480" w:lineRule="exact"/>
              <w:ind w:firstLine="480"/>
              <w:rPr>
                <w:rFonts w:ascii="宋体" w:hAnsi="宋体" w:cs="宋体"/>
                <w:color w:val="auto"/>
                <w:kern w:val="0"/>
                <w:szCs w:val="21"/>
              </w:rPr>
            </w:pPr>
            <w:r>
              <w:rPr>
                <w:rFonts w:hint="eastAsia"/>
                <w:color w:val="auto"/>
                <w:kern w:val="0"/>
                <w:sz w:val="24"/>
              </w:rPr>
              <w:t>本项目为天然气钻井工程，不涉及运营期相关内容。项目在开工前与污水处理单位签订协议，产生的污水拉运至有资质的污水处理单位处置；钻井期间柴油发电机组产生的</w:t>
            </w:r>
            <w:r>
              <w:rPr>
                <w:rFonts w:hint="eastAsia"/>
                <w:color w:val="auto"/>
                <w:sz w:val="24"/>
              </w:rPr>
              <w:t>少量二氧化硫、氮氧化物和颗粒物，试采放喷过程中产生的</w:t>
            </w:r>
            <w:r>
              <w:rPr>
                <w:rFonts w:eastAsia="Times New Roman"/>
                <w:color w:val="auto"/>
                <w:sz w:val="24"/>
              </w:rPr>
              <w:t>NO</w:t>
            </w:r>
            <w:r>
              <w:rPr>
                <w:rFonts w:eastAsia="Times New Roman"/>
                <w:color w:val="auto"/>
                <w:sz w:val="24"/>
                <w:vertAlign w:val="subscript"/>
              </w:rPr>
              <w:t>x</w:t>
            </w:r>
            <w:r>
              <w:rPr>
                <w:color w:val="auto"/>
                <w:spacing w:val="4"/>
                <w:sz w:val="24"/>
              </w:rPr>
              <w:t>、</w:t>
            </w:r>
            <w:r>
              <w:rPr>
                <w:rFonts w:eastAsia="Times New Roman"/>
                <w:color w:val="auto"/>
                <w:sz w:val="24"/>
              </w:rPr>
              <w:t>CO</w:t>
            </w:r>
            <w:r>
              <w:rPr>
                <w:rFonts w:eastAsia="Times New Roman"/>
                <w:color w:val="auto"/>
                <w:spacing w:val="4"/>
                <w:position w:val="-1"/>
                <w:sz w:val="24"/>
                <w:vertAlign w:val="subscript"/>
              </w:rPr>
              <w:t>2</w:t>
            </w:r>
            <w:r>
              <w:rPr>
                <w:color w:val="auto"/>
                <w:spacing w:val="4"/>
                <w:sz w:val="24"/>
              </w:rPr>
              <w:t>、</w:t>
            </w:r>
            <w:r>
              <w:rPr>
                <w:rFonts w:eastAsia="Times New Roman"/>
                <w:color w:val="auto"/>
                <w:sz w:val="24"/>
              </w:rPr>
              <w:t>H</w:t>
            </w:r>
            <w:r>
              <w:rPr>
                <w:rFonts w:eastAsia="Times New Roman"/>
                <w:color w:val="auto"/>
                <w:spacing w:val="4"/>
                <w:position w:val="-1"/>
                <w:sz w:val="24"/>
                <w:vertAlign w:val="subscript"/>
              </w:rPr>
              <w:t>2</w:t>
            </w:r>
            <w:r>
              <w:rPr>
                <w:rFonts w:eastAsia="Times New Roman"/>
                <w:color w:val="auto"/>
                <w:sz w:val="24"/>
              </w:rPr>
              <w:t>O</w:t>
            </w:r>
            <w:r>
              <w:rPr>
                <w:rFonts w:hint="eastAsia"/>
                <w:color w:val="auto"/>
                <w:spacing w:val="4"/>
                <w:sz w:val="24"/>
              </w:rPr>
              <w:t>，</w:t>
            </w:r>
            <w:r>
              <w:rPr>
                <w:rFonts w:hint="eastAsia"/>
                <w:color w:val="auto"/>
                <w:sz w:val="24"/>
              </w:rPr>
              <w:t>均以无组织形式排放，随着施工结束而结束。本项目井别为评价井，不涉及运营期相关内容，各类污染物均随着项目的完成而消失，因此本次评价建议不设总量控制指标。</w:t>
            </w:r>
          </w:p>
        </w:tc>
      </w:tr>
    </w:tbl>
    <w:p w14:paraId="28591B45">
      <w:pPr>
        <w:rPr>
          <w:color w:val="auto"/>
        </w:rPr>
        <w:sectPr>
          <w:pgSz w:w="11906" w:h="16838"/>
          <w:pgMar w:top="1417" w:right="1417" w:bottom="1417" w:left="1417" w:header="851" w:footer="992" w:gutter="0"/>
          <w:cols w:space="425" w:num="1"/>
          <w:docGrid w:type="lines" w:linePitch="312" w:charSpace="0"/>
        </w:sectPr>
      </w:pPr>
    </w:p>
    <w:p w14:paraId="7D77EBF9">
      <w:pPr>
        <w:pStyle w:val="2"/>
        <w:rPr>
          <w:color w:val="auto"/>
        </w:rPr>
      </w:pPr>
      <w:bookmarkStart w:id="26" w:name="_Toc10005"/>
      <w:r>
        <w:rPr>
          <w:rFonts w:hint="eastAsia"/>
          <w:color w:val="auto"/>
        </w:rPr>
        <w:t>四、生态环境影响分析</w:t>
      </w:r>
      <w:bookmarkEnd w:id="26"/>
    </w:p>
    <w:tbl>
      <w:tblPr>
        <w:tblStyle w:val="19"/>
        <w:tblW w:w="917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8736"/>
      </w:tblGrid>
      <w:tr w14:paraId="263752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70" w:hRule="atLeast"/>
          <w:jc w:val="center"/>
        </w:trPr>
        <w:tc>
          <w:tcPr>
            <w:tcW w:w="506" w:type="dxa"/>
            <w:tcMar>
              <w:left w:w="28" w:type="dxa"/>
              <w:right w:w="28" w:type="dxa"/>
            </w:tcMar>
            <w:vAlign w:val="center"/>
          </w:tcPr>
          <w:p w14:paraId="7CA49B5A">
            <w:pPr>
              <w:adjustRightInd w:val="0"/>
              <w:snapToGrid w:val="0"/>
              <w:jc w:val="center"/>
              <w:rPr>
                <w:rFonts w:cs="宋体"/>
                <w:bCs/>
                <w:color w:val="auto"/>
                <w:sz w:val="21"/>
                <w:szCs w:val="21"/>
              </w:rPr>
            </w:pPr>
            <w:bookmarkStart w:id="27" w:name="_Hlk49796138"/>
            <w:r>
              <w:rPr>
                <w:rFonts w:hint="eastAsia" w:ascii="宋体" w:hAnsi="宋体" w:cs="宋体"/>
                <w:color w:val="auto"/>
                <w:kern w:val="0"/>
                <w:szCs w:val="21"/>
              </w:rPr>
              <w:t>施工期生态环境影响分析</w:t>
            </w:r>
            <w:bookmarkEnd w:id="27"/>
          </w:p>
        </w:tc>
        <w:tc>
          <w:tcPr>
            <w:tcW w:w="8668" w:type="dxa"/>
          </w:tcPr>
          <w:p w14:paraId="51E8BB1D">
            <w:pPr>
              <w:spacing w:line="360" w:lineRule="auto"/>
              <w:rPr>
                <w:b/>
                <w:bCs/>
                <w:color w:val="auto"/>
              </w:rPr>
            </w:pPr>
            <w:r>
              <w:rPr>
                <w:rFonts w:hint="eastAsia"/>
                <w:b/>
                <w:bCs/>
                <w:color w:val="auto"/>
              </w:rPr>
              <w:t>1、生态环境影响分析</w:t>
            </w:r>
          </w:p>
          <w:p w14:paraId="685F2545">
            <w:pPr>
              <w:spacing w:line="360" w:lineRule="auto"/>
              <w:ind w:firstLine="480" w:firstLineChars="200"/>
              <w:rPr>
                <w:color w:val="auto"/>
              </w:rPr>
            </w:pPr>
            <w:r>
              <w:rPr>
                <w:rFonts w:hint="eastAsia"/>
                <w:color w:val="auto"/>
              </w:rPr>
              <w:t>项目施工内容主要为钻前工程、钻井工程以及完井工程。包含井场、放喷池、生活区等建构筑物及给排水、供配电等辅助工程建设，施工内容较简单，生态环境影响主要为水土流失、对土地利用的影响、对陆生动植物、对土壤的影响。</w:t>
            </w:r>
          </w:p>
          <w:p w14:paraId="2525AAD3">
            <w:pPr>
              <w:spacing w:line="360" w:lineRule="auto"/>
              <w:rPr>
                <w:b/>
                <w:bCs/>
                <w:color w:val="auto"/>
              </w:rPr>
            </w:pPr>
            <w:r>
              <w:rPr>
                <w:rFonts w:hint="eastAsia"/>
                <w:b/>
                <w:bCs/>
                <w:color w:val="auto"/>
              </w:rPr>
              <w:t>1.1水土流失影响分析</w:t>
            </w:r>
          </w:p>
          <w:p w14:paraId="6DA4921F">
            <w:pPr>
              <w:spacing w:line="360" w:lineRule="auto"/>
              <w:ind w:firstLine="480" w:firstLineChars="200"/>
              <w:rPr>
                <w:color w:val="auto"/>
              </w:rPr>
            </w:pPr>
            <w:r>
              <w:rPr>
                <w:rFonts w:hint="eastAsia"/>
                <w:color w:val="auto"/>
              </w:rPr>
              <w:t>项目现已完成钻前工程的施工，产生的表土堆放在表土场，为防止水土流失、保持剥离表土土壤质量，采取以下措施：在储存区四周修建排水设施，防止雨水对土场侵蚀；根据现场情况、堆土方量，采用顶部撒播草籽，避免表土肥力流失；堆土区土壤堆置高度为3.5m，堆放边坡按1:1.5设计。表土场现已有茂密植被生长，能够有效防止水土流失。</w:t>
            </w:r>
          </w:p>
          <w:p w14:paraId="6C64BCCB">
            <w:pPr>
              <w:spacing w:line="360" w:lineRule="auto"/>
              <w:rPr>
                <w:color w:val="auto"/>
              </w:rPr>
            </w:pPr>
            <w:r>
              <w:rPr>
                <w:rFonts w:hint="eastAsia"/>
                <w:color w:val="auto"/>
              </w:rPr>
              <w:drawing>
                <wp:inline distT="0" distB="0" distL="114300" distR="114300">
                  <wp:extent cx="5402580" cy="3228975"/>
                  <wp:effectExtent l="0" t="0" r="7620" b="9525"/>
                  <wp:docPr id="8" name="图片 8" descr="DJI_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JI_0158"/>
                          <pic:cNvPicPr>
                            <a:picLocks noChangeAspect="1"/>
                          </pic:cNvPicPr>
                        </pic:nvPicPr>
                        <pic:blipFill>
                          <a:blip r:embed="rId16"/>
                          <a:stretch>
                            <a:fillRect/>
                          </a:stretch>
                        </pic:blipFill>
                        <pic:spPr>
                          <a:xfrm>
                            <a:off x="0" y="0"/>
                            <a:ext cx="5402580" cy="3228975"/>
                          </a:xfrm>
                          <a:prstGeom prst="rect">
                            <a:avLst/>
                          </a:prstGeom>
                        </pic:spPr>
                      </pic:pic>
                    </a:graphicData>
                  </a:graphic>
                </wp:inline>
              </w:drawing>
            </w:r>
          </w:p>
          <w:p w14:paraId="73E157B6">
            <w:pPr>
              <w:spacing w:line="360" w:lineRule="auto"/>
              <w:jc w:val="center"/>
              <w:rPr>
                <w:b/>
                <w:bCs/>
                <w:color w:val="auto"/>
              </w:rPr>
            </w:pPr>
            <w:r>
              <w:rPr>
                <w:rFonts w:hint="eastAsia"/>
                <w:b/>
                <w:bCs/>
                <w:color w:val="auto"/>
              </w:rPr>
              <w:t>图4-1 表土场现状图</w:t>
            </w:r>
          </w:p>
          <w:p w14:paraId="5FBC2D04">
            <w:pPr>
              <w:spacing w:line="360" w:lineRule="auto"/>
              <w:rPr>
                <w:b/>
                <w:bCs/>
                <w:color w:val="auto"/>
              </w:rPr>
            </w:pPr>
            <w:r>
              <w:rPr>
                <w:rFonts w:hint="eastAsia"/>
                <w:b/>
                <w:bCs/>
                <w:color w:val="auto"/>
              </w:rPr>
              <w:t>1.2对区域土地利用影响分析</w:t>
            </w:r>
          </w:p>
          <w:p w14:paraId="5117ED43">
            <w:pPr>
              <w:spacing w:line="360" w:lineRule="auto"/>
              <w:ind w:firstLine="480" w:firstLineChars="200"/>
              <w:rPr>
                <w:color w:val="auto"/>
              </w:rPr>
            </w:pPr>
            <w:r>
              <w:rPr>
                <w:rFonts w:hint="eastAsia"/>
                <w:color w:val="auto"/>
              </w:rPr>
              <w:t>项目建设对土地的影响主要表现为项目占地使土地功能临时发生改变，将导致农作物减产等。桂融地4井钻井工程井场等施工占地总计8776m</w:t>
            </w:r>
            <w:r>
              <w:rPr>
                <w:rFonts w:hint="eastAsia"/>
                <w:color w:val="auto"/>
                <w:vertAlign w:val="superscript"/>
              </w:rPr>
              <w:t>2</w:t>
            </w:r>
            <w:r>
              <w:rPr>
                <w:rFonts w:hint="eastAsia"/>
                <w:color w:val="auto"/>
              </w:rPr>
              <w:t>，主要为旱地、果园，不涉及基本农田。</w:t>
            </w:r>
          </w:p>
          <w:p w14:paraId="1DF5F204">
            <w:pPr>
              <w:spacing w:line="360" w:lineRule="auto"/>
              <w:ind w:firstLine="480" w:firstLineChars="200"/>
              <w:rPr>
                <w:color w:val="auto"/>
              </w:rPr>
            </w:pPr>
            <w:r>
              <w:rPr>
                <w:rFonts w:hint="eastAsia"/>
                <w:color w:val="auto"/>
              </w:rPr>
              <w:t>本项目为天然气勘探工程，仅涉及施工期临时占地，临时占地在占用完毕后都可在较短时间内恢复。本项目占融水苗族自治县整体农用地面积的比例较小，本项目的临时占地在占用完毕后都可在较短时间内恢复，区域土地利用格局造成轻微影响，对农业生产的直接影响主要体现为因临时占用旱地、果园而造成甘蔗等经济作物减产。对于临时占地造成的农作物减产，除应对种植户进行经济补偿外，工程开工前，应先剥离占地范围内表层土，独立堆存于井场西南侧表土场内，并对表土场做好水保措施，在施工结束后根据《土地复垦技术要求与验收规范》（DB45/T892-2012）要求并结合临时用地区特性对临时用地进行复垦工作，恢复临时占用园地的生产力。项目已编制《广西柳城北区块伏虎西页岩气资源评价与选区研究（桂融地4井勘探项目）项目临时用地土地复垦方案报告书》，并取得融水苗族自治县自然资源和规划局出示的关于土地复垦方案报告的审查意见的函，见</w:t>
            </w:r>
            <w:r>
              <w:rPr>
                <w:rFonts w:hint="eastAsia"/>
                <w:b/>
                <w:bCs/>
                <w:color w:val="auto"/>
              </w:rPr>
              <w:t>附件10</w:t>
            </w:r>
            <w:r>
              <w:rPr>
                <w:rFonts w:hint="eastAsia"/>
                <w:color w:val="auto"/>
              </w:rPr>
              <w:t>。</w:t>
            </w:r>
          </w:p>
          <w:p w14:paraId="7F5252A6">
            <w:pPr>
              <w:spacing w:line="360" w:lineRule="auto"/>
              <w:rPr>
                <w:b/>
                <w:bCs/>
                <w:color w:val="auto"/>
              </w:rPr>
            </w:pPr>
            <w:r>
              <w:rPr>
                <w:rFonts w:hint="eastAsia"/>
                <w:b/>
                <w:bCs/>
                <w:color w:val="auto"/>
              </w:rPr>
              <w:t>1.3对植物的影响分析</w:t>
            </w:r>
          </w:p>
          <w:p w14:paraId="1439AA49">
            <w:pPr>
              <w:spacing w:line="360" w:lineRule="auto"/>
              <w:ind w:firstLine="480" w:firstLineChars="200"/>
              <w:rPr>
                <w:color w:val="auto"/>
              </w:rPr>
            </w:pPr>
            <w:r>
              <w:rPr>
                <w:rFonts w:hint="eastAsia"/>
                <w:color w:val="auto"/>
              </w:rPr>
              <w:t>项目</w:t>
            </w:r>
            <w:r>
              <w:rPr>
                <w:rFonts w:hint="eastAsia"/>
                <w:color w:val="auto"/>
                <w:lang w:val="en-US" w:eastAsia="zh-CN"/>
              </w:rPr>
              <w:t>临时用</w:t>
            </w:r>
            <w:r>
              <w:rPr>
                <w:rFonts w:hint="eastAsia"/>
                <w:color w:val="auto"/>
              </w:rPr>
              <w:t>地类型主要为旱地、园地，主要种植柑橘、玉米，区域内未发现珍稀保护植物。项目对植被的影响主要表现在占地对少量园地的破坏，使被开挖地段的土壤层耕作层发生破坏，导致园地质量下降，这种影响是临时的，因此，施工结束后即可恢复生产。</w:t>
            </w:r>
          </w:p>
          <w:p w14:paraId="03466F4A">
            <w:pPr>
              <w:spacing w:line="360" w:lineRule="auto"/>
              <w:ind w:firstLine="480" w:firstLineChars="200"/>
              <w:rPr>
                <w:color w:val="auto"/>
              </w:rPr>
            </w:pPr>
            <w:r>
              <w:rPr>
                <w:rFonts w:hint="eastAsia"/>
                <w:color w:val="auto"/>
              </w:rPr>
              <w:t>本次环评要求施工单位对临时</w:t>
            </w:r>
            <w:r>
              <w:rPr>
                <w:rFonts w:hint="eastAsia"/>
                <w:color w:val="auto"/>
                <w:lang w:val="en-US" w:eastAsia="zh-CN"/>
              </w:rPr>
              <w:t>用</w:t>
            </w:r>
            <w:r>
              <w:rPr>
                <w:rFonts w:hint="eastAsia"/>
                <w:color w:val="auto"/>
              </w:rPr>
              <w:t>地除了在施工中采取措施减少园地破坏外，在施工结束后，一定要负责开挖破坏段园地质量的恢复，除补偿因临时占地对园地产量的直接损失外，还将考虑施工结束后因土壤结构破坏、养分流失而造成的影响，对农作物产量的间接损失以及土壤恢复进行补偿，以用于耕作层土恢复。在恢复期对土壤进行熟化和培肥，切实做好园地质量调查及监测工作，及时掌握园地质量变化状况，直至恢复到原来的生产力水平。</w:t>
            </w:r>
          </w:p>
          <w:p w14:paraId="40282946">
            <w:pPr>
              <w:spacing w:line="360" w:lineRule="auto"/>
              <w:rPr>
                <w:b/>
                <w:bCs/>
                <w:color w:val="auto"/>
              </w:rPr>
            </w:pPr>
            <w:r>
              <w:rPr>
                <w:rFonts w:hint="eastAsia"/>
                <w:b/>
                <w:bCs/>
                <w:color w:val="auto"/>
              </w:rPr>
              <w:t>1.4对动物的影响分析</w:t>
            </w:r>
          </w:p>
          <w:p w14:paraId="5FC42F88">
            <w:pPr>
              <w:spacing w:line="360" w:lineRule="auto"/>
              <w:ind w:firstLine="480" w:firstLineChars="200"/>
              <w:rPr>
                <w:color w:val="auto"/>
              </w:rPr>
            </w:pPr>
            <w:r>
              <w:rPr>
                <w:rFonts w:hint="eastAsia"/>
                <w:color w:val="auto"/>
              </w:rPr>
              <w:t>项目</w:t>
            </w:r>
            <w:r>
              <w:rPr>
                <w:rFonts w:hint="eastAsia"/>
                <w:color w:val="auto"/>
                <w:lang w:val="en-US" w:eastAsia="zh-CN"/>
              </w:rPr>
              <w:t>临时</w:t>
            </w:r>
            <w:r>
              <w:rPr>
                <w:rFonts w:hint="eastAsia"/>
                <w:color w:val="auto"/>
              </w:rPr>
              <w:t>用地主要是旱地、园地，所在区域人类活动频繁，区域范围内野生动物的种类及数量较少，常见物种主要有小型哺乳动物、爬行类、昆虫和常见鸟类。钻井活动对野生动物的影响主要来自钻井过程中人类活动、生产机具噪声等影响，但这种影响是局部和暂时的，随钻井工程的结束而消失，不会引起该区域野生动物大面积迁移或消亡。项目施工期间将使原栖息地上的动物丧失栖息地和觅食地，导致动物为觅食和寻找适宜的栖息地而向四周迁移，使生物量有所下降。但这种影响是暂时的，且项目区范围及周边动物都是当地常见种类，评价区域内地形地貌等因素对野生动逃遁较为有利，项目区外有大面积生境与项目施工所破坏的生境相似，只要在施工过程中，不乱捕杀野生动物，最终它们大多数会辗转至井场周边其它地带，不会影响区域野生动物区系组成，对整个区域的野生动物种群结构及资源影响较小。</w:t>
            </w:r>
          </w:p>
          <w:p w14:paraId="046061BB">
            <w:pPr>
              <w:spacing w:line="360" w:lineRule="auto"/>
              <w:rPr>
                <w:rFonts w:hint="eastAsia"/>
                <w:b/>
                <w:bCs/>
                <w:color w:val="auto"/>
              </w:rPr>
            </w:pPr>
            <w:r>
              <w:rPr>
                <w:rFonts w:hint="eastAsia"/>
                <w:b/>
                <w:bCs/>
                <w:color w:val="auto"/>
              </w:rPr>
              <w:t>1.5对土壤环境的影响分析</w:t>
            </w:r>
          </w:p>
          <w:p w14:paraId="0091F6F0">
            <w:pPr>
              <w:spacing w:line="360" w:lineRule="auto"/>
              <w:ind w:firstLine="480" w:firstLineChars="200"/>
              <w:rPr>
                <w:color w:val="auto"/>
              </w:rPr>
            </w:pPr>
            <w:r>
              <w:rPr>
                <w:rFonts w:hint="eastAsia"/>
                <w:color w:val="auto"/>
              </w:rPr>
              <w:t>工程对土壤的影响主要有两方面，一是工程排放的污染物对土壤质地性状的影响；二是工程建设期的开挖、填埋行为对土壤结构的破坏。对场地平整产生的剥离表层土在井场西北侧的表土场独立集中临时堆放，钻井结束后用于场地复垦和水池回填用土。剥离表层土临时堆放场地设置截排水沟等严格的水保措施防止水土流失。</w:t>
            </w:r>
          </w:p>
          <w:p w14:paraId="7ABB0AE8">
            <w:pPr>
              <w:spacing w:line="360" w:lineRule="auto"/>
              <w:ind w:firstLine="480" w:firstLineChars="200"/>
              <w:rPr>
                <w:color w:val="auto"/>
              </w:rPr>
            </w:pPr>
            <w:r>
              <w:rPr>
                <w:rFonts w:hint="eastAsia"/>
                <w:color w:val="auto"/>
              </w:rPr>
              <w:t>通过对井场内排水沟、地表硬化处理和各池体采取防腐防渗处理，井场地面采用碎石和混凝土敷设，有效保护</w:t>
            </w:r>
            <w:r>
              <w:rPr>
                <w:rFonts w:hint="eastAsia"/>
                <w:color w:val="auto"/>
                <w:lang w:val="en-US" w:eastAsia="zh-CN"/>
              </w:rPr>
              <w:t>占</w:t>
            </w:r>
            <w:r>
              <w:rPr>
                <w:rFonts w:hint="eastAsia"/>
                <w:color w:val="auto"/>
              </w:rPr>
              <w:t>地原表层土壤。对于被占地农户进行青苗补偿，根据园地不同作物的市场价格，与损失方协商后进行经济补偿。对于临时性</w:t>
            </w:r>
            <w:r>
              <w:rPr>
                <w:rFonts w:hint="eastAsia"/>
                <w:color w:val="auto"/>
                <w:lang w:val="en-US" w:eastAsia="zh-CN"/>
              </w:rPr>
              <w:t>占地</w:t>
            </w:r>
            <w:r>
              <w:rPr>
                <w:rFonts w:hint="eastAsia"/>
                <w:color w:val="auto"/>
              </w:rPr>
              <w:t>地，钻井工程施工结束后，拆除临时设施，由建设方给予被占地农民经济补偿，并恢复地表植被或作物。随着工程施工的结束，生态保护和临时</w:t>
            </w:r>
            <w:r>
              <w:rPr>
                <w:rFonts w:hint="eastAsia"/>
                <w:color w:val="auto"/>
                <w:lang w:val="en-US" w:eastAsia="zh-CN"/>
              </w:rPr>
              <w:t>占</w:t>
            </w:r>
            <w:r>
              <w:rPr>
                <w:rFonts w:hint="eastAsia"/>
                <w:color w:val="auto"/>
              </w:rPr>
              <w:t>地的植被恢复措施的进行，有效的保护和恢复措施能保证工程对井场周边的土壤和农作物的影响得到尽快的恢复。通过上述措施，本项目建设对项目所在地土壤环境影响在当地环境可接受范围内。</w:t>
            </w:r>
          </w:p>
          <w:p w14:paraId="749E6F8C">
            <w:pPr>
              <w:spacing w:line="360" w:lineRule="auto"/>
              <w:rPr>
                <w:rFonts w:hint="eastAsia"/>
                <w:b/>
                <w:bCs/>
                <w:color w:val="auto"/>
              </w:rPr>
            </w:pPr>
            <w:r>
              <w:rPr>
                <w:rFonts w:hint="eastAsia"/>
                <w:b/>
                <w:bCs/>
                <w:color w:val="auto"/>
              </w:rPr>
              <w:t>2、钻前工程环境影响分析</w:t>
            </w:r>
          </w:p>
          <w:p w14:paraId="7D2A509B">
            <w:pPr>
              <w:spacing w:line="360" w:lineRule="auto"/>
              <w:ind w:firstLine="480" w:firstLineChars="200"/>
              <w:rPr>
                <w:color w:val="auto"/>
              </w:rPr>
            </w:pPr>
            <w:r>
              <w:rPr>
                <w:rFonts w:hint="eastAsia"/>
                <w:color w:val="auto"/>
              </w:rPr>
              <w:t>根据钻前工程工程分析，钻前工程主要产生施工扬尘、机械设备废气、施工废水、生活污水、生活垃圾等。</w:t>
            </w:r>
            <w:r>
              <w:rPr>
                <w:rFonts w:hint="eastAsia" w:cs="宋体"/>
                <w:color w:val="auto"/>
                <w:spacing w:val="3"/>
                <w:szCs w:val="23"/>
              </w:rPr>
              <w:t>钻前工程结束产生的环境影响随之结束，</w:t>
            </w:r>
            <w:r>
              <w:rPr>
                <w:rFonts w:hint="eastAsia"/>
                <w:color w:val="auto"/>
              </w:rPr>
              <w:t>无遗留环境问题。</w:t>
            </w:r>
          </w:p>
          <w:p w14:paraId="5B634929">
            <w:pPr>
              <w:spacing w:line="360" w:lineRule="auto"/>
              <w:ind w:firstLine="480" w:firstLineChars="200"/>
              <w:rPr>
                <w:color w:val="auto"/>
              </w:rPr>
            </w:pPr>
            <w:r>
              <w:rPr>
                <w:rFonts w:hint="eastAsia"/>
                <w:color w:val="auto"/>
              </w:rPr>
              <w:t>项目现已完成钻前工程，新增加的5口井于完成钻前工程的基础上进行施工。</w:t>
            </w:r>
          </w:p>
          <w:p w14:paraId="0AFA97AB">
            <w:pPr>
              <w:spacing w:line="360" w:lineRule="auto"/>
              <w:rPr>
                <w:b/>
                <w:bCs/>
                <w:color w:val="auto"/>
              </w:rPr>
            </w:pPr>
            <w:r>
              <w:rPr>
                <w:rFonts w:hint="eastAsia"/>
                <w:b/>
                <w:bCs/>
                <w:color w:val="auto"/>
              </w:rPr>
              <w:t>3、钻井及完井工程环境影响分析</w:t>
            </w:r>
          </w:p>
          <w:p w14:paraId="4A993291">
            <w:pPr>
              <w:spacing w:line="360" w:lineRule="auto"/>
              <w:rPr>
                <w:b/>
                <w:bCs/>
                <w:color w:val="auto"/>
              </w:rPr>
            </w:pPr>
            <w:r>
              <w:rPr>
                <w:rFonts w:hint="eastAsia"/>
                <w:b/>
                <w:bCs/>
                <w:color w:val="auto"/>
              </w:rPr>
              <w:t>3.1大气环境影响分析</w:t>
            </w:r>
          </w:p>
          <w:p w14:paraId="7235CE66">
            <w:pPr>
              <w:spacing w:line="360" w:lineRule="auto"/>
              <w:ind w:firstLine="480" w:firstLineChars="200"/>
              <w:rPr>
                <w:color w:val="auto"/>
              </w:rPr>
            </w:pPr>
            <w:r>
              <w:rPr>
                <w:rFonts w:hint="eastAsia"/>
                <w:color w:val="auto"/>
              </w:rPr>
              <w:t>（1）柴油燃烧废气</w:t>
            </w:r>
          </w:p>
          <w:p w14:paraId="153C0436">
            <w:pPr>
              <w:spacing w:line="360" w:lineRule="auto"/>
              <w:ind w:firstLine="480" w:firstLineChars="200"/>
              <w:rPr>
                <w:color w:val="auto"/>
              </w:rPr>
            </w:pPr>
            <w:r>
              <w:rPr>
                <w:rFonts w:hint="eastAsia"/>
                <w:color w:val="auto"/>
              </w:rPr>
              <w:t>钻井过程产生的废气主要为柴油机废气，本项目柴油发电机组使用的为合格的轻质环保型柴油成品，井场配备有2台320kW·h柴油发电机，柴油机性能参数油耗65g/kWh，钻井最低钻速为6m/h，则预计每钻进100m消耗柴油1.08t。每口井钻进约3698m，总共6口井。现在项目桂融页4-1已完成导管（0~50m）、一开（50~1213m）、二开（1213~1613m），则余下钻井耗柴油合计约222.21t（密度0.835g/mL）。项目钻井施工时间为7920小时（330天）。</w:t>
            </w:r>
          </w:p>
          <w:p w14:paraId="3A7A477C">
            <w:pPr>
              <w:spacing w:line="360" w:lineRule="auto"/>
              <w:ind w:firstLine="480" w:firstLineChars="200"/>
              <w:rPr>
                <w:color w:val="auto"/>
              </w:rPr>
            </w:pPr>
            <w:r>
              <w:rPr>
                <w:rFonts w:hint="eastAsia"/>
                <w:color w:val="auto"/>
              </w:rPr>
              <w:t>由于使用含硫量低的轻质柴油，在加强运行操作管理的情况下，燃烧较为完全，根据《大气污染工程师手册》计，项目备用柴油发电机组产生的大气污染物量下表。</w:t>
            </w:r>
          </w:p>
          <w:p w14:paraId="00153EE9">
            <w:pPr>
              <w:spacing w:line="360" w:lineRule="auto"/>
              <w:jc w:val="center"/>
              <w:rPr>
                <w:b/>
                <w:bCs/>
                <w:color w:val="auto"/>
              </w:rPr>
            </w:pPr>
            <w:r>
              <w:rPr>
                <w:rFonts w:hint="eastAsia"/>
                <w:b/>
                <w:bCs/>
                <w:color w:val="auto"/>
              </w:rPr>
              <w:t>表4-1 发电机主要大气污染物排放量</w:t>
            </w:r>
          </w:p>
          <w:tbl>
            <w:tblPr>
              <w:tblStyle w:val="19"/>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3"/>
              <w:gridCol w:w="2201"/>
              <w:gridCol w:w="999"/>
              <w:gridCol w:w="1207"/>
              <w:gridCol w:w="1207"/>
              <w:gridCol w:w="1930"/>
            </w:tblGrid>
            <w:tr w14:paraId="10813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tcBorders>
                    <w:tl2br w:val="nil"/>
                    <w:tr2bl w:val="nil"/>
                  </w:tcBorders>
                  <w:shd w:val="clear" w:color="auto" w:fill="FFFFFF"/>
                  <w:vAlign w:val="center"/>
                </w:tcPr>
                <w:p w14:paraId="4A1B2279">
                  <w:pPr>
                    <w:tabs>
                      <w:tab w:val="left" w:pos="720"/>
                    </w:tabs>
                    <w:jc w:val="center"/>
                    <w:rPr>
                      <w:b/>
                      <w:color w:val="auto"/>
                      <w:sz w:val="21"/>
                      <w:szCs w:val="21"/>
                    </w:rPr>
                  </w:pPr>
                  <w:r>
                    <w:rPr>
                      <w:rFonts w:hint="eastAsia"/>
                      <w:b/>
                      <w:color w:val="auto"/>
                      <w:sz w:val="21"/>
                      <w:szCs w:val="21"/>
                    </w:rPr>
                    <w:t>油耗量</w:t>
                  </w:r>
                </w:p>
              </w:tc>
              <w:tc>
                <w:tcPr>
                  <w:tcW w:w="1293" w:type="pct"/>
                  <w:tcBorders>
                    <w:tl2br w:val="nil"/>
                    <w:tr2bl w:val="nil"/>
                  </w:tcBorders>
                  <w:shd w:val="clear" w:color="auto" w:fill="FFFFFF"/>
                  <w:vAlign w:val="center"/>
                </w:tcPr>
                <w:p w14:paraId="0E064DC9">
                  <w:pPr>
                    <w:tabs>
                      <w:tab w:val="left" w:pos="720"/>
                    </w:tabs>
                    <w:jc w:val="center"/>
                    <w:rPr>
                      <w:b/>
                      <w:color w:val="auto"/>
                      <w:sz w:val="21"/>
                      <w:szCs w:val="21"/>
                    </w:rPr>
                  </w:pPr>
                  <w:r>
                    <w:rPr>
                      <w:rFonts w:hint="eastAsia"/>
                      <w:b/>
                      <w:color w:val="auto"/>
                      <w:sz w:val="21"/>
                      <w:szCs w:val="21"/>
                    </w:rPr>
                    <w:t>污染物项目</w:t>
                  </w:r>
                </w:p>
              </w:tc>
              <w:tc>
                <w:tcPr>
                  <w:tcW w:w="587" w:type="pct"/>
                  <w:tcBorders>
                    <w:tl2br w:val="nil"/>
                    <w:tr2bl w:val="nil"/>
                  </w:tcBorders>
                  <w:shd w:val="clear" w:color="auto" w:fill="FFFFFF"/>
                  <w:vAlign w:val="center"/>
                </w:tcPr>
                <w:p w14:paraId="22E2C042">
                  <w:pPr>
                    <w:tabs>
                      <w:tab w:val="left" w:pos="720"/>
                    </w:tabs>
                    <w:jc w:val="center"/>
                    <w:rPr>
                      <w:b/>
                      <w:color w:val="auto"/>
                      <w:sz w:val="21"/>
                      <w:szCs w:val="21"/>
                    </w:rPr>
                  </w:pPr>
                  <w:r>
                    <w:rPr>
                      <w:rFonts w:hint="eastAsia"/>
                      <w:b/>
                      <w:color w:val="auto"/>
                      <w:sz w:val="21"/>
                      <w:szCs w:val="21"/>
                    </w:rPr>
                    <w:t>SO</w:t>
                  </w:r>
                  <w:r>
                    <w:rPr>
                      <w:rFonts w:hint="eastAsia"/>
                      <w:b/>
                      <w:color w:val="auto"/>
                      <w:sz w:val="21"/>
                      <w:szCs w:val="21"/>
                      <w:vertAlign w:val="subscript"/>
                    </w:rPr>
                    <w:t>2</w:t>
                  </w:r>
                </w:p>
              </w:tc>
              <w:tc>
                <w:tcPr>
                  <w:tcW w:w="709" w:type="pct"/>
                  <w:tcBorders>
                    <w:tl2br w:val="nil"/>
                    <w:tr2bl w:val="nil"/>
                  </w:tcBorders>
                  <w:shd w:val="clear" w:color="auto" w:fill="FFFFFF"/>
                  <w:vAlign w:val="center"/>
                </w:tcPr>
                <w:p w14:paraId="6FF66C34">
                  <w:pPr>
                    <w:tabs>
                      <w:tab w:val="left" w:pos="720"/>
                    </w:tabs>
                    <w:jc w:val="center"/>
                    <w:rPr>
                      <w:b/>
                      <w:color w:val="auto"/>
                      <w:sz w:val="21"/>
                      <w:szCs w:val="21"/>
                    </w:rPr>
                  </w:pPr>
                  <w:r>
                    <w:rPr>
                      <w:rFonts w:hint="eastAsia"/>
                      <w:b/>
                      <w:color w:val="auto"/>
                      <w:sz w:val="21"/>
                      <w:szCs w:val="21"/>
                    </w:rPr>
                    <w:t>NOx</w:t>
                  </w:r>
                </w:p>
              </w:tc>
              <w:tc>
                <w:tcPr>
                  <w:tcW w:w="709" w:type="pct"/>
                  <w:tcBorders>
                    <w:tl2br w:val="nil"/>
                    <w:tr2bl w:val="nil"/>
                  </w:tcBorders>
                  <w:shd w:val="clear" w:color="auto" w:fill="FFFFFF"/>
                  <w:vAlign w:val="center"/>
                </w:tcPr>
                <w:p w14:paraId="5BA20AFD">
                  <w:pPr>
                    <w:tabs>
                      <w:tab w:val="left" w:pos="720"/>
                    </w:tabs>
                    <w:jc w:val="center"/>
                    <w:rPr>
                      <w:b/>
                      <w:color w:val="auto"/>
                      <w:sz w:val="21"/>
                      <w:szCs w:val="21"/>
                    </w:rPr>
                  </w:pPr>
                  <w:r>
                    <w:rPr>
                      <w:rFonts w:hint="eastAsia"/>
                      <w:b/>
                      <w:color w:val="auto"/>
                      <w:sz w:val="21"/>
                      <w:szCs w:val="21"/>
                    </w:rPr>
                    <w:t>烟尘</w:t>
                  </w:r>
                </w:p>
              </w:tc>
              <w:tc>
                <w:tcPr>
                  <w:tcW w:w="1134" w:type="pct"/>
                  <w:tcBorders>
                    <w:tl2br w:val="nil"/>
                    <w:tr2bl w:val="nil"/>
                  </w:tcBorders>
                  <w:shd w:val="clear" w:color="auto" w:fill="FFFFFF"/>
                  <w:vAlign w:val="center"/>
                </w:tcPr>
                <w:p w14:paraId="728C6EBD">
                  <w:pPr>
                    <w:tabs>
                      <w:tab w:val="left" w:pos="720"/>
                    </w:tabs>
                    <w:jc w:val="center"/>
                    <w:rPr>
                      <w:b/>
                      <w:color w:val="auto"/>
                      <w:sz w:val="21"/>
                      <w:szCs w:val="21"/>
                    </w:rPr>
                  </w:pPr>
                  <w:r>
                    <w:rPr>
                      <w:rFonts w:hint="eastAsia"/>
                      <w:b/>
                      <w:color w:val="auto"/>
                      <w:sz w:val="21"/>
                      <w:szCs w:val="21"/>
                    </w:rPr>
                    <w:t>废气量</w:t>
                  </w:r>
                </w:p>
              </w:tc>
            </w:tr>
            <w:tr w14:paraId="6FA5F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566" w:type="pct"/>
                  <w:vMerge w:val="restart"/>
                  <w:tcBorders>
                    <w:tl2br w:val="nil"/>
                    <w:tr2bl w:val="nil"/>
                  </w:tcBorders>
                  <w:shd w:val="clear" w:color="auto" w:fill="FFFFFF"/>
                  <w:vAlign w:val="center"/>
                </w:tcPr>
                <w:p w14:paraId="4870D3A7">
                  <w:pPr>
                    <w:tabs>
                      <w:tab w:val="left" w:pos="720"/>
                    </w:tabs>
                    <w:jc w:val="center"/>
                    <w:rPr>
                      <w:color w:val="auto"/>
                      <w:sz w:val="21"/>
                      <w:szCs w:val="21"/>
                    </w:rPr>
                  </w:pPr>
                  <w:r>
                    <w:rPr>
                      <w:rFonts w:hint="eastAsia"/>
                      <w:color w:val="auto"/>
                      <w:sz w:val="21"/>
                      <w:szCs w:val="21"/>
                    </w:rPr>
                    <w:t>226.53t</w:t>
                  </w:r>
                </w:p>
              </w:tc>
              <w:tc>
                <w:tcPr>
                  <w:tcW w:w="1293" w:type="pct"/>
                  <w:tcBorders>
                    <w:tl2br w:val="nil"/>
                    <w:tr2bl w:val="nil"/>
                  </w:tcBorders>
                  <w:shd w:val="clear" w:color="auto" w:fill="FFFFFF"/>
                  <w:vAlign w:val="center"/>
                </w:tcPr>
                <w:p w14:paraId="2B74906D">
                  <w:pPr>
                    <w:tabs>
                      <w:tab w:val="left" w:pos="720"/>
                    </w:tabs>
                    <w:jc w:val="center"/>
                    <w:rPr>
                      <w:color w:val="auto"/>
                      <w:sz w:val="21"/>
                      <w:szCs w:val="21"/>
                    </w:rPr>
                  </w:pPr>
                  <w:r>
                    <w:rPr>
                      <w:rFonts w:hint="eastAsia"/>
                      <w:color w:val="auto"/>
                      <w:sz w:val="21"/>
                      <w:szCs w:val="21"/>
                    </w:rPr>
                    <w:t>系数（kg/吨油）</w:t>
                  </w:r>
                </w:p>
              </w:tc>
              <w:tc>
                <w:tcPr>
                  <w:tcW w:w="587" w:type="pct"/>
                  <w:tcBorders>
                    <w:tl2br w:val="nil"/>
                    <w:tr2bl w:val="nil"/>
                  </w:tcBorders>
                  <w:shd w:val="clear" w:color="auto" w:fill="FFFFFF"/>
                  <w:vAlign w:val="center"/>
                </w:tcPr>
                <w:p w14:paraId="31D56883">
                  <w:pPr>
                    <w:tabs>
                      <w:tab w:val="left" w:pos="720"/>
                    </w:tabs>
                    <w:jc w:val="center"/>
                    <w:rPr>
                      <w:color w:val="auto"/>
                      <w:sz w:val="21"/>
                      <w:szCs w:val="21"/>
                    </w:rPr>
                  </w:pPr>
                  <w:r>
                    <w:rPr>
                      <w:color w:val="auto"/>
                      <w:sz w:val="21"/>
                      <w:szCs w:val="21"/>
                    </w:rPr>
                    <w:t>4</w:t>
                  </w:r>
                </w:p>
              </w:tc>
              <w:tc>
                <w:tcPr>
                  <w:tcW w:w="709" w:type="pct"/>
                  <w:tcBorders>
                    <w:tl2br w:val="nil"/>
                    <w:tr2bl w:val="nil"/>
                  </w:tcBorders>
                  <w:shd w:val="clear" w:color="auto" w:fill="FFFFFF"/>
                  <w:vAlign w:val="center"/>
                </w:tcPr>
                <w:p w14:paraId="631724EE">
                  <w:pPr>
                    <w:tabs>
                      <w:tab w:val="left" w:pos="720"/>
                    </w:tabs>
                    <w:jc w:val="center"/>
                    <w:rPr>
                      <w:color w:val="auto"/>
                      <w:sz w:val="21"/>
                      <w:szCs w:val="21"/>
                    </w:rPr>
                  </w:pPr>
                  <w:r>
                    <w:rPr>
                      <w:color w:val="auto"/>
                      <w:sz w:val="21"/>
                      <w:szCs w:val="21"/>
                    </w:rPr>
                    <w:t>3.36</w:t>
                  </w:r>
                </w:p>
              </w:tc>
              <w:tc>
                <w:tcPr>
                  <w:tcW w:w="709" w:type="pct"/>
                  <w:tcBorders>
                    <w:tl2br w:val="nil"/>
                    <w:tr2bl w:val="nil"/>
                  </w:tcBorders>
                  <w:shd w:val="clear" w:color="auto" w:fill="FFFFFF"/>
                  <w:vAlign w:val="center"/>
                </w:tcPr>
                <w:p w14:paraId="09F0B946">
                  <w:pPr>
                    <w:tabs>
                      <w:tab w:val="left" w:pos="720"/>
                    </w:tabs>
                    <w:jc w:val="center"/>
                    <w:rPr>
                      <w:color w:val="auto"/>
                      <w:sz w:val="21"/>
                      <w:szCs w:val="21"/>
                    </w:rPr>
                  </w:pPr>
                  <w:r>
                    <w:rPr>
                      <w:color w:val="auto"/>
                      <w:sz w:val="21"/>
                      <w:szCs w:val="21"/>
                    </w:rPr>
                    <w:t>2.2</w:t>
                  </w:r>
                </w:p>
              </w:tc>
              <w:tc>
                <w:tcPr>
                  <w:tcW w:w="1134" w:type="pct"/>
                  <w:tcBorders>
                    <w:tl2br w:val="nil"/>
                    <w:tr2bl w:val="nil"/>
                  </w:tcBorders>
                  <w:shd w:val="clear" w:color="auto" w:fill="FFFFFF"/>
                  <w:vAlign w:val="center"/>
                </w:tcPr>
                <w:p w14:paraId="73005ABD">
                  <w:pPr>
                    <w:tabs>
                      <w:tab w:val="left" w:pos="720"/>
                    </w:tabs>
                    <w:jc w:val="center"/>
                    <w:rPr>
                      <w:color w:val="auto"/>
                      <w:sz w:val="21"/>
                      <w:szCs w:val="21"/>
                    </w:rPr>
                  </w:pPr>
                  <w:r>
                    <w:rPr>
                      <w:rFonts w:hint="eastAsia"/>
                      <w:color w:val="auto"/>
                      <w:sz w:val="21"/>
                      <w:szCs w:val="21"/>
                    </w:rPr>
                    <w:t>20000（m</w:t>
                  </w:r>
                  <w:r>
                    <w:rPr>
                      <w:rFonts w:hint="eastAsia"/>
                      <w:color w:val="auto"/>
                      <w:sz w:val="21"/>
                      <w:szCs w:val="21"/>
                      <w:vertAlign w:val="superscript"/>
                    </w:rPr>
                    <w:t>3</w:t>
                  </w:r>
                  <w:r>
                    <w:rPr>
                      <w:rFonts w:hint="eastAsia"/>
                      <w:color w:val="auto"/>
                      <w:sz w:val="21"/>
                      <w:szCs w:val="21"/>
                    </w:rPr>
                    <w:t>/吨油）</w:t>
                  </w:r>
                </w:p>
              </w:tc>
            </w:tr>
            <w:tr w14:paraId="70032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vMerge w:val="continue"/>
                  <w:tcBorders>
                    <w:tl2br w:val="nil"/>
                    <w:tr2bl w:val="nil"/>
                  </w:tcBorders>
                  <w:shd w:val="clear" w:color="auto" w:fill="FFFFFF"/>
                  <w:vAlign w:val="center"/>
                </w:tcPr>
                <w:p w14:paraId="4D7D3665">
                  <w:pPr>
                    <w:tabs>
                      <w:tab w:val="left" w:pos="720"/>
                    </w:tabs>
                    <w:jc w:val="center"/>
                    <w:rPr>
                      <w:color w:val="auto"/>
                      <w:sz w:val="21"/>
                      <w:szCs w:val="21"/>
                    </w:rPr>
                  </w:pPr>
                </w:p>
              </w:tc>
              <w:tc>
                <w:tcPr>
                  <w:tcW w:w="1293" w:type="pct"/>
                  <w:tcBorders>
                    <w:tl2br w:val="nil"/>
                    <w:tr2bl w:val="nil"/>
                  </w:tcBorders>
                  <w:shd w:val="clear" w:color="auto" w:fill="FFFFFF"/>
                  <w:vAlign w:val="center"/>
                </w:tcPr>
                <w:p w14:paraId="579CAADD">
                  <w:pPr>
                    <w:tabs>
                      <w:tab w:val="left" w:pos="720"/>
                    </w:tabs>
                    <w:jc w:val="center"/>
                    <w:rPr>
                      <w:color w:val="auto"/>
                      <w:sz w:val="21"/>
                      <w:szCs w:val="21"/>
                    </w:rPr>
                  </w:pPr>
                  <w:r>
                    <w:rPr>
                      <w:rFonts w:hint="eastAsia"/>
                      <w:color w:val="auto"/>
                      <w:sz w:val="21"/>
                      <w:szCs w:val="21"/>
                    </w:rPr>
                    <w:t>污染物产生量（t/a）</w:t>
                  </w:r>
                </w:p>
              </w:tc>
              <w:tc>
                <w:tcPr>
                  <w:tcW w:w="587" w:type="pct"/>
                  <w:tcBorders>
                    <w:tl2br w:val="nil"/>
                    <w:tr2bl w:val="nil"/>
                  </w:tcBorders>
                  <w:shd w:val="clear" w:color="auto" w:fill="FFFFFF"/>
                  <w:vAlign w:val="center"/>
                </w:tcPr>
                <w:p w14:paraId="3053C8E3">
                  <w:pPr>
                    <w:tabs>
                      <w:tab w:val="left" w:pos="720"/>
                    </w:tabs>
                    <w:jc w:val="center"/>
                    <w:rPr>
                      <w:color w:val="auto"/>
                      <w:sz w:val="21"/>
                      <w:szCs w:val="21"/>
                    </w:rPr>
                  </w:pPr>
                  <w:r>
                    <w:rPr>
                      <w:rFonts w:hint="eastAsia"/>
                      <w:color w:val="auto"/>
                      <w:sz w:val="21"/>
                      <w:szCs w:val="21"/>
                    </w:rPr>
                    <w:t>0.88</w:t>
                  </w:r>
                </w:p>
              </w:tc>
              <w:tc>
                <w:tcPr>
                  <w:tcW w:w="709" w:type="pct"/>
                  <w:tcBorders>
                    <w:tl2br w:val="nil"/>
                    <w:tr2bl w:val="nil"/>
                  </w:tcBorders>
                  <w:shd w:val="clear" w:color="auto" w:fill="FFFFFF"/>
                  <w:vAlign w:val="center"/>
                </w:tcPr>
                <w:p w14:paraId="194E75D3">
                  <w:pPr>
                    <w:tabs>
                      <w:tab w:val="left" w:pos="720"/>
                    </w:tabs>
                    <w:jc w:val="center"/>
                    <w:rPr>
                      <w:color w:val="auto"/>
                      <w:sz w:val="21"/>
                      <w:szCs w:val="21"/>
                    </w:rPr>
                  </w:pPr>
                  <w:r>
                    <w:rPr>
                      <w:rFonts w:hint="eastAsia"/>
                      <w:color w:val="auto"/>
                      <w:sz w:val="21"/>
                      <w:szCs w:val="21"/>
                    </w:rPr>
                    <w:t>0.74</w:t>
                  </w:r>
                </w:p>
              </w:tc>
              <w:tc>
                <w:tcPr>
                  <w:tcW w:w="709" w:type="pct"/>
                  <w:tcBorders>
                    <w:tl2br w:val="nil"/>
                    <w:tr2bl w:val="nil"/>
                  </w:tcBorders>
                  <w:shd w:val="clear" w:color="auto" w:fill="FFFFFF"/>
                  <w:vAlign w:val="center"/>
                </w:tcPr>
                <w:p w14:paraId="720ACC75">
                  <w:pPr>
                    <w:tabs>
                      <w:tab w:val="left" w:pos="720"/>
                    </w:tabs>
                    <w:jc w:val="center"/>
                    <w:rPr>
                      <w:color w:val="auto"/>
                      <w:sz w:val="21"/>
                      <w:szCs w:val="21"/>
                    </w:rPr>
                  </w:pPr>
                  <w:r>
                    <w:rPr>
                      <w:rFonts w:hint="eastAsia"/>
                      <w:color w:val="auto"/>
                      <w:sz w:val="21"/>
                      <w:szCs w:val="21"/>
                    </w:rPr>
                    <w:t>0.48</w:t>
                  </w:r>
                </w:p>
              </w:tc>
              <w:tc>
                <w:tcPr>
                  <w:tcW w:w="1134" w:type="pct"/>
                  <w:tcBorders>
                    <w:tl2br w:val="nil"/>
                    <w:tr2bl w:val="nil"/>
                  </w:tcBorders>
                  <w:shd w:val="clear" w:color="auto" w:fill="FFFFFF"/>
                  <w:vAlign w:val="center"/>
                </w:tcPr>
                <w:p w14:paraId="2352962C">
                  <w:pPr>
                    <w:tabs>
                      <w:tab w:val="left" w:pos="720"/>
                    </w:tabs>
                    <w:jc w:val="center"/>
                    <w:rPr>
                      <w:color w:val="auto"/>
                      <w:sz w:val="21"/>
                      <w:szCs w:val="21"/>
                    </w:rPr>
                  </w:pPr>
                  <w:r>
                    <w:rPr>
                      <w:rFonts w:hint="eastAsia"/>
                      <w:color w:val="auto"/>
                      <w:sz w:val="21"/>
                      <w:szCs w:val="21"/>
                    </w:rPr>
                    <w:t>4444200m</w:t>
                  </w:r>
                  <w:r>
                    <w:rPr>
                      <w:rFonts w:hint="eastAsia"/>
                      <w:color w:val="auto"/>
                      <w:sz w:val="21"/>
                      <w:szCs w:val="21"/>
                      <w:vertAlign w:val="superscript"/>
                    </w:rPr>
                    <w:t>3</w:t>
                  </w:r>
                </w:p>
                <w:p w14:paraId="3257DE97">
                  <w:pPr>
                    <w:tabs>
                      <w:tab w:val="left" w:pos="720"/>
                    </w:tabs>
                    <w:jc w:val="center"/>
                    <w:rPr>
                      <w:color w:val="auto"/>
                      <w:sz w:val="21"/>
                      <w:szCs w:val="21"/>
                    </w:rPr>
                  </w:pPr>
                  <w:r>
                    <w:rPr>
                      <w:rFonts w:hint="eastAsia"/>
                      <w:color w:val="auto"/>
                      <w:sz w:val="21"/>
                      <w:szCs w:val="21"/>
                    </w:rPr>
                    <w:t>（514.38m</w:t>
                  </w:r>
                  <w:r>
                    <w:rPr>
                      <w:rFonts w:hint="eastAsia"/>
                      <w:color w:val="auto"/>
                      <w:sz w:val="21"/>
                      <w:szCs w:val="21"/>
                      <w:vertAlign w:val="superscript"/>
                    </w:rPr>
                    <w:t>3</w:t>
                  </w:r>
                  <w:r>
                    <w:rPr>
                      <w:rFonts w:hint="eastAsia"/>
                      <w:color w:val="auto"/>
                      <w:sz w:val="21"/>
                      <w:szCs w:val="21"/>
                    </w:rPr>
                    <w:t>/h)</w:t>
                  </w:r>
                </w:p>
              </w:tc>
            </w:tr>
            <w:tr w14:paraId="1BFD6D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vMerge w:val="continue"/>
                  <w:tcBorders>
                    <w:tl2br w:val="nil"/>
                    <w:tr2bl w:val="nil"/>
                  </w:tcBorders>
                  <w:shd w:val="clear" w:color="auto" w:fill="FFFFFF"/>
                  <w:vAlign w:val="center"/>
                </w:tcPr>
                <w:p w14:paraId="43187DB0">
                  <w:pPr>
                    <w:tabs>
                      <w:tab w:val="left" w:pos="720"/>
                    </w:tabs>
                    <w:jc w:val="center"/>
                    <w:rPr>
                      <w:color w:val="auto"/>
                      <w:sz w:val="21"/>
                      <w:szCs w:val="21"/>
                    </w:rPr>
                  </w:pPr>
                </w:p>
              </w:tc>
              <w:tc>
                <w:tcPr>
                  <w:tcW w:w="1293" w:type="pct"/>
                  <w:tcBorders>
                    <w:tl2br w:val="nil"/>
                    <w:tr2bl w:val="nil"/>
                  </w:tcBorders>
                  <w:shd w:val="clear" w:color="auto" w:fill="FFFFFF"/>
                  <w:vAlign w:val="center"/>
                </w:tcPr>
                <w:p w14:paraId="1D9AB42A">
                  <w:pPr>
                    <w:tabs>
                      <w:tab w:val="left" w:pos="720"/>
                    </w:tabs>
                    <w:jc w:val="center"/>
                    <w:rPr>
                      <w:color w:val="auto"/>
                      <w:sz w:val="21"/>
                      <w:szCs w:val="21"/>
                    </w:rPr>
                  </w:pPr>
                  <w:bookmarkStart w:id="28" w:name="OLE_LINK104"/>
                  <w:r>
                    <w:rPr>
                      <w:rFonts w:hint="eastAsia"/>
                      <w:color w:val="auto"/>
                      <w:sz w:val="21"/>
                      <w:szCs w:val="21"/>
                    </w:rPr>
                    <w:t>排放速率（kg/h）</w:t>
                  </w:r>
                  <w:bookmarkEnd w:id="28"/>
                </w:p>
              </w:tc>
              <w:tc>
                <w:tcPr>
                  <w:tcW w:w="587" w:type="pct"/>
                  <w:tcBorders>
                    <w:tl2br w:val="nil"/>
                    <w:tr2bl w:val="nil"/>
                  </w:tcBorders>
                  <w:shd w:val="clear" w:color="auto" w:fill="FFFFFF"/>
                  <w:vAlign w:val="center"/>
                </w:tcPr>
                <w:p w14:paraId="52FE5FF6">
                  <w:pPr>
                    <w:tabs>
                      <w:tab w:val="left" w:pos="720"/>
                    </w:tabs>
                    <w:jc w:val="center"/>
                    <w:rPr>
                      <w:color w:val="auto"/>
                      <w:sz w:val="21"/>
                      <w:szCs w:val="21"/>
                    </w:rPr>
                  </w:pPr>
                  <w:r>
                    <w:rPr>
                      <w:rFonts w:hint="eastAsia"/>
                      <w:color w:val="auto"/>
                      <w:sz w:val="21"/>
                      <w:szCs w:val="21"/>
                    </w:rPr>
                    <w:t>0.111</w:t>
                  </w:r>
                </w:p>
              </w:tc>
              <w:tc>
                <w:tcPr>
                  <w:tcW w:w="709" w:type="pct"/>
                  <w:tcBorders>
                    <w:tl2br w:val="nil"/>
                    <w:tr2bl w:val="nil"/>
                  </w:tcBorders>
                  <w:shd w:val="clear" w:color="auto" w:fill="FFFFFF"/>
                  <w:vAlign w:val="center"/>
                </w:tcPr>
                <w:p w14:paraId="03B43CC2">
                  <w:pPr>
                    <w:tabs>
                      <w:tab w:val="left" w:pos="720"/>
                    </w:tabs>
                    <w:jc w:val="center"/>
                    <w:rPr>
                      <w:color w:val="auto"/>
                      <w:sz w:val="21"/>
                      <w:szCs w:val="21"/>
                    </w:rPr>
                  </w:pPr>
                  <w:r>
                    <w:rPr>
                      <w:rFonts w:hint="eastAsia"/>
                      <w:color w:val="auto"/>
                      <w:sz w:val="21"/>
                      <w:szCs w:val="21"/>
                    </w:rPr>
                    <w:t>0.093</w:t>
                  </w:r>
                </w:p>
              </w:tc>
              <w:tc>
                <w:tcPr>
                  <w:tcW w:w="709" w:type="pct"/>
                  <w:tcBorders>
                    <w:tl2br w:val="nil"/>
                    <w:tr2bl w:val="nil"/>
                  </w:tcBorders>
                  <w:shd w:val="clear" w:color="auto" w:fill="FFFFFF"/>
                  <w:vAlign w:val="center"/>
                </w:tcPr>
                <w:p w14:paraId="348B9088">
                  <w:pPr>
                    <w:tabs>
                      <w:tab w:val="left" w:pos="720"/>
                    </w:tabs>
                    <w:jc w:val="center"/>
                    <w:rPr>
                      <w:color w:val="auto"/>
                      <w:sz w:val="21"/>
                      <w:szCs w:val="21"/>
                    </w:rPr>
                  </w:pPr>
                  <w:r>
                    <w:rPr>
                      <w:rFonts w:hint="eastAsia"/>
                      <w:color w:val="auto"/>
                      <w:sz w:val="21"/>
                      <w:szCs w:val="21"/>
                    </w:rPr>
                    <w:t>0.061</w:t>
                  </w:r>
                </w:p>
              </w:tc>
              <w:tc>
                <w:tcPr>
                  <w:tcW w:w="1134" w:type="pct"/>
                  <w:tcBorders>
                    <w:tl2br w:val="nil"/>
                    <w:tr2bl w:val="nil"/>
                  </w:tcBorders>
                  <w:shd w:val="clear" w:color="auto" w:fill="FFFFFF"/>
                  <w:vAlign w:val="center"/>
                </w:tcPr>
                <w:p w14:paraId="693471C4">
                  <w:pPr>
                    <w:tabs>
                      <w:tab w:val="left" w:pos="720"/>
                    </w:tabs>
                    <w:jc w:val="center"/>
                    <w:rPr>
                      <w:color w:val="auto"/>
                      <w:sz w:val="21"/>
                      <w:szCs w:val="21"/>
                    </w:rPr>
                  </w:pPr>
                  <w:r>
                    <w:rPr>
                      <w:rFonts w:hint="eastAsia"/>
                      <w:color w:val="auto"/>
                      <w:sz w:val="21"/>
                      <w:szCs w:val="21"/>
                    </w:rPr>
                    <w:t>/</w:t>
                  </w:r>
                </w:p>
              </w:tc>
            </w:tr>
            <w:tr w14:paraId="1C194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vMerge w:val="continue"/>
                  <w:tcBorders>
                    <w:tl2br w:val="nil"/>
                    <w:tr2bl w:val="nil"/>
                  </w:tcBorders>
                  <w:shd w:val="clear" w:color="auto" w:fill="FFFFFF"/>
                  <w:vAlign w:val="center"/>
                </w:tcPr>
                <w:p w14:paraId="645FC183">
                  <w:pPr>
                    <w:tabs>
                      <w:tab w:val="left" w:pos="720"/>
                    </w:tabs>
                    <w:jc w:val="center"/>
                    <w:rPr>
                      <w:color w:val="auto"/>
                      <w:sz w:val="21"/>
                      <w:szCs w:val="21"/>
                    </w:rPr>
                  </w:pPr>
                </w:p>
              </w:tc>
              <w:tc>
                <w:tcPr>
                  <w:tcW w:w="1293" w:type="pct"/>
                  <w:tcBorders>
                    <w:tl2br w:val="nil"/>
                    <w:tr2bl w:val="nil"/>
                  </w:tcBorders>
                  <w:shd w:val="clear" w:color="auto" w:fill="FFFFFF"/>
                  <w:vAlign w:val="center"/>
                </w:tcPr>
                <w:p w14:paraId="488FA6E4">
                  <w:pPr>
                    <w:tabs>
                      <w:tab w:val="left" w:pos="720"/>
                    </w:tabs>
                    <w:jc w:val="center"/>
                    <w:rPr>
                      <w:color w:val="auto"/>
                      <w:sz w:val="21"/>
                      <w:szCs w:val="21"/>
                    </w:rPr>
                  </w:pPr>
                  <w:r>
                    <w:rPr>
                      <w:rFonts w:hint="eastAsia"/>
                      <w:color w:val="auto"/>
                      <w:sz w:val="21"/>
                      <w:szCs w:val="21"/>
                    </w:rPr>
                    <w:t>产生浓度（mg/m</w:t>
                  </w:r>
                  <w:r>
                    <w:rPr>
                      <w:rFonts w:hint="eastAsia"/>
                      <w:color w:val="auto"/>
                      <w:sz w:val="21"/>
                      <w:szCs w:val="21"/>
                      <w:vertAlign w:val="superscript"/>
                    </w:rPr>
                    <w:t>3</w:t>
                  </w:r>
                  <w:r>
                    <w:rPr>
                      <w:rFonts w:hint="eastAsia"/>
                      <w:color w:val="auto"/>
                      <w:sz w:val="21"/>
                      <w:szCs w:val="21"/>
                    </w:rPr>
                    <w:t>）</w:t>
                  </w:r>
                </w:p>
              </w:tc>
              <w:tc>
                <w:tcPr>
                  <w:tcW w:w="587" w:type="pct"/>
                  <w:tcBorders>
                    <w:tl2br w:val="nil"/>
                    <w:tr2bl w:val="nil"/>
                  </w:tcBorders>
                  <w:shd w:val="clear" w:color="auto" w:fill="FFFFFF"/>
                  <w:vAlign w:val="center"/>
                </w:tcPr>
                <w:p w14:paraId="4A024CAC">
                  <w:pPr>
                    <w:tabs>
                      <w:tab w:val="left" w:pos="720"/>
                    </w:tabs>
                    <w:jc w:val="center"/>
                    <w:rPr>
                      <w:color w:val="auto"/>
                      <w:sz w:val="21"/>
                      <w:szCs w:val="21"/>
                    </w:rPr>
                  </w:pPr>
                  <w:r>
                    <w:rPr>
                      <w:rFonts w:hint="eastAsia"/>
                      <w:color w:val="auto"/>
                      <w:sz w:val="21"/>
                      <w:szCs w:val="21"/>
                    </w:rPr>
                    <w:t>197.43</w:t>
                  </w:r>
                </w:p>
              </w:tc>
              <w:tc>
                <w:tcPr>
                  <w:tcW w:w="709" w:type="pct"/>
                  <w:tcBorders>
                    <w:tl2br w:val="nil"/>
                    <w:tr2bl w:val="nil"/>
                  </w:tcBorders>
                  <w:shd w:val="clear" w:color="auto" w:fill="FFFFFF"/>
                  <w:vAlign w:val="center"/>
                </w:tcPr>
                <w:p w14:paraId="55444623">
                  <w:pPr>
                    <w:tabs>
                      <w:tab w:val="left" w:pos="720"/>
                    </w:tabs>
                    <w:jc w:val="center"/>
                    <w:rPr>
                      <w:color w:val="auto"/>
                      <w:sz w:val="21"/>
                      <w:szCs w:val="21"/>
                    </w:rPr>
                  </w:pPr>
                  <w:r>
                    <w:rPr>
                      <w:rFonts w:hint="eastAsia"/>
                      <w:color w:val="auto"/>
                      <w:sz w:val="21"/>
                      <w:szCs w:val="21"/>
                    </w:rPr>
                    <w:t>165.84</w:t>
                  </w:r>
                </w:p>
              </w:tc>
              <w:tc>
                <w:tcPr>
                  <w:tcW w:w="709" w:type="pct"/>
                  <w:tcBorders>
                    <w:tl2br w:val="nil"/>
                    <w:tr2bl w:val="nil"/>
                  </w:tcBorders>
                  <w:shd w:val="clear" w:color="auto" w:fill="FFFFFF"/>
                  <w:vAlign w:val="center"/>
                </w:tcPr>
                <w:p w14:paraId="37439CE2">
                  <w:pPr>
                    <w:tabs>
                      <w:tab w:val="left" w:pos="720"/>
                    </w:tabs>
                    <w:jc w:val="center"/>
                    <w:rPr>
                      <w:color w:val="auto"/>
                      <w:sz w:val="21"/>
                      <w:szCs w:val="21"/>
                    </w:rPr>
                  </w:pPr>
                  <w:r>
                    <w:rPr>
                      <w:rFonts w:hint="eastAsia"/>
                      <w:color w:val="auto"/>
                      <w:sz w:val="21"/>
                      <w:szCs w:val="21"/>
                    </w:rPr>
                    <w:t>108.59</w:t>
                  </w:r>
                </w:p>
              </w:tc>
              <w:tc>
                <w:tcPr>
                  <w:tcW w:w="1134" w:type="pct"/>
                  <w:tcBorders>
                    <w:tl2br w:val="nil"/>
                    <w:tr2bl w:val="nil"/>
                  </w:tcBorders>
                  <w:shd w:val="clear" w:color="auto" w:fill="FFFFFF"/>
                  <w:vAlign w:val="center"/>
                </w:tcPr>
                <w:p w14:paraId="37E660B8">
                  <w:pPr>
                    <w:tabs>
                      <w:tab w:val="left" w:pos="720"/>
                    </w:tabs>
                    <w:jc w:val="center"/>
                    <w:rPr>
                      <w:color w:val="auto"/>
                      <w:sz w:val="21"/>
                      <w:szCs w:val="21"/>
                    </w:rPr>
                  </w:pPr>
                  <w:r>
                    <w:rPr>
                      <w:rFonts w:hint="eastAsia"/>
                      <w:color w:val="auto"/>
                      <w:sz w:val="21"/>
                      <w:szCs w:val="21"/>
                    </w:rPr>
                    <w:t>/</w:t>
                  </w:r>
                </w:p>
              </w:tc>
            </w:tr>
            <w:tr w14:paraId="50715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vMerge w:val="continue"/>
                  <w:tcBorders>
                    <w:tl2br w:val="nil"/>
                    <w:tr2bl w:val="nil"/>
                  </w:tcBorders>
                  <w:shd w:val="clear" w:color="auto" w:fill="FFFFFF"/>
                  <w:vAlign w:val="center"/>
                </w:tcPr>
                <w:p w14:paraId="117D28CD">
                  <w:pPr>
                    <w:tabs>
                      <w:tab w:val="left" w:pos="720"/>
                    </w:tabs>
                    <w:jc w:val="center"/>
                    <w:rPr>
                      <w:color w:val="auto"/>
                      <w:sz w:val="21"/>
                      <w:szCs w:val="21"/>
                    </w:rPr>
                  </w:pPr>
                </w:p>
              </w:tc>
              <w:tc>
                <w:tcPr>
                  <w:tcW w:w="1293" w:type="pct"/>
                  <w:tcBorders>
                    <w:tl2br w:val="nil"/>
                    <w:tr2bl w:val="nil"/>
                  </w:tcBorders>
                  <w:shd w:val="clear" w:color="auto" w:fill="FFFFFF"/>
                  <w:vAlign w:val="center"/>
                </w:tcPr>
                <w:p w14:paraId="0992FE98">
                  <w:pPr>
                    <w:tabs>
                      <w:tab w:val="left" w:pos="720"/>
                    </w:tabs>
                    <w:jc w:val="center"/>
                    <w:rPr>
                      <w:color w:val="auto"/>
                      <w:sz w:val="21"/>
                      <w:szCs w:val="21"/>
                    </w:rPr>
                  </w:pPr>
                  <w:r>
                    <w:rPr>
                      <w:rFonts w:hint="eastAsia"/>
                      <w:color w:val="auto"/>
                      <w:sz w:val="21"/>
                      <w:szCs w:val="21"/>
                    </w:rPr>
                    <w:t>标准浓度（mg/m</w:t>
                  </w:r>
                  <w:r>
                    <w:rPr>
                      <w:rFonts w:hint="eastAsia"/>
                      <w:color w:val="auto"/>
                      <w:sz w:val="21"/>
                      <w:szCs w:val="21"/>
                      <w:vertAlign w:val="superscript"/>
                    </w:rPr>
                    <w:t>3</w:t>
                  </w:r>
                  <w:r>
                    <w:rPr>
                      <w:rFonts w:hint="eastAsia"/>
                      <w:color w:val="auto"/>
                      <w:sz w:val="21"/>
                      <w:szCs w:val="21"/>
                    </w:rPr>
                    <w:t>）</w:t>
                  </w:r>
                </w:p>
              </w:tc>
              <w:tc>
                <w:tcPr>
                  <w:tcW w:w="587" w:type="pct"/>
                  <w:tcBorders>
                    <w:tl2br w:val="nil"/>
                    <w:tr2bl w:val="nil"/>
                  </w:tcBorders>
                  <w:shd w:val="clear" w:color="auto" w:fill="FFFFFF"/>
                  <w:vAlign w:val="center"/>
                </w:tcPr>
                <w:p w14:paraId="673DB095">
                  <w:pPr>
                    <w:tabs>
                      <w:tab w:val="left" w:pos="720"/>
                    </w:tabs>
                    <w:jc w:val="center"/>
                    <w:rPr>
                      <w:color w:val="auto"/>
                      <w:sz w:val="21"/>
                      <w:szCs w:val="21"/>
                    </w:rPr>
                  </w:pPr>
                  <w:r>
                    <w:rPr>
                      <w:color w:val="auto"/>
                      <w:sz w:val="21"/>
                      <w:szCs w:val="21"/>
                    </w:rPr>
                    <w:t>550</w:t>
                  </w:r>
                </w:p>
              </w:tc>
              <w:tc>
                <w:tcPr>
                  <w:tcW w:w="709" w:type="pct"/>
                  <w:tcBorders>
                    <w:tl2br w:val="nil"/>
                    <w:tr2bl w:val="nil"/>
                  </w:tcBorders>
                  <w:shd w:val="clear" w:color="auto" w:fill="FFFFFF"/>
                  <w:vAlign w:val="center"/>
                </w:tcPr>
                <w:p w14:paraId="44AC3A24">
                  <w:pPr>
                    <w:tabs>
                      <w:tab w:val="left" w:pos="720"/>
                    </w:tabs>
                    <w:jc w:val="center"/>
                    <w:rPr>
                      <w:color w:val="auto"/>
                      <w:sz w:val="21"/>
                      <w:szCs w:val="21"/>
                    </w:rPr>
                  </w:pPr>
                  <w:r>
                    <w:rPr>
                      <w:color w:val="auto"/>
                      <w:sz w:val="21"/>
                      <w:szCs w:val="21"/>
                    </w:rPr>
                    <w:t>240</w:t>
                  </w:r>
                </w:p>
              </w:tc>
              <w:tc>
                <w:tcPr>
                  <w:tcW w:w="709" w:type="pct"/>
                  <w:tcBorders>
                    <w:tl2br w:val="nil"/>
                    <w:tr2bl w:val="nil"/>
                  </w:tcBorders>
                  <w:shd w:val="clear" w:color="auto" w:fill="FFFFFF"/>
                  <w:vAlign w:val="center"/>
                </w:tcPr>
                <w:p w14:paraId="1E3F5424">
                  <w:pPr>
                    <w:tabs>
                      <w:tab w:val="left" w:pos="720"/>
                    </w:tabs>
                    <w:jc w:val="center"/>
                    <w:rPr>
                      <w:color w:val="auto"/>
                      <w:sz w:val="21"/>
                      <w:szCs w:val="21"/>
                    </w:rPr>
                  </w:pPr>
                  <w:r>
                    <w:rPr>
                      <w:color w:val="auto"/>
                      <w:sz w:val="21"/>
                      <w:szCs w:val="21"/>
                    </w:rPr>
                    <w:t>120</w:t>
                  </w:r>
                </w:p>
              </w:tc>
              <w:tc>
                <w:tcPr>
                  <w:tcW w:w="1134" w:type="pct"/>
                  <w:tcBorders>
                    <w:tl2br w:val="nil"/>
                    <w:tr2bl w:val="nil"/>
                  </w:tcBorders>
                  <w:shd w:val="clear" w:color="auto" w:fill="FFFFFF"/>
                  <w:vAlign w:val="center"/>
                </w:tcPr>
                <w:p w14:paraId="7E8BB37A">
                  <w:pPr>
                    <w:tabs>
                      <w:tab w:val="left" w:pos="720"/>
                    </w:tabs>
                    <w:jc w:val="center"/>
                    <w:rPr>
                      <w:color w:val="auto"/>
                      <w:sz w:val="21"/>
                      <w:szCs w:val="21"/>
                    </w:rPr>
                  </w:pPr>
                  <w:r>
                    <w:rPr>
                      <w:rFonts w:hint="eastAsia"/>
                      <w:color w:val="auto"/>
                      <w:sz w:val="21"/>
                      <w:szCs w:val="21"/>
                    </w:rPr>
                    <w:t>/</w:t>
                  </w:r>
                </w:p>
              </w:tc>
            </w:tr>
            <w:tr w14:paraId="0E58B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66" w:type="pct"/>
                  <w:vMerge w:val="continue"/>
                  <w:tcBorders>
                    <w:tl2br w:val="nil"/>
                    <w:tr2bl w:val="nil"/>
                  </w:tcBorders>
                  <w:shd w:val="clear" w:color="auto" w:fill="FFFFFF"/>
                  <w:vAlign w:val="center"/>
                </w:tcPr>
                <w:p w14:paraId="2823E0E9">
                  <w:pPr>
                    <w:tabs>
                      <w:tab w:val="left" w:pos="720"/>
                    </w:tabs>
                    <w:jc w:val="center"/>
                    <w:rPr>
                      <w:color w:val="auto"/>
                      <w:sz w:val="21"/>
                      <w:szCs w:val="21"/>
                    </w:rPr>
                  </w:pPr>
                </w:p>
              </w:tc>
              <w:tc>
                <w:tcPr>
                  <w:tcW w:w="1293" w:type="pct"/>
                  <w:tcBorders>
                    <w:tl2br w:val="nil"/>
                    <w:tr2bl w:val="nil"/>
                  </w:tcBorders>
                  <w:shd w:val="clear" w:color="auto" w:fill="FFFFFF"/>
                  <w:vAlign w:val="center"/>
                </w:tcPr>
                <w:p w14:paraId="0378186D">
                  <w:pPr>
                    <w:tabs>
                      <w:tab w:val="left" w:pos="720"/>
                    </w:tabs>
                    <w:jc w:val="center"/>
                    <w:rPr>
                      <w:color w:val="auto"/>
                      <w:sz w:val="21"/>
                      <w:szCs w:val="21"/>
                    </w:rPr>
                  </w:pPr>
                  <w:r>
                    <w:rPr>
                      <w:rFonts w:hint="eastAsia"/>
                      <w:color w:val="auto"/>
                      <w:sz w:val="21"/>
                      <w:szCs w:val="21"/>
                    </w:rPr>
                    <w:t>是否达标</w:t>
                  </w:r>
                </w:p>
              </w:tc>
              <w:tc>
                <w:tcPr>
                  <w:tcW w:w="587" w:type="pct"/>
                  <w:tcBorders>
                    <w:tl2br w:val="nil"/>
                    <w:tr2bl w:val="nil"/>
                  </w:tcBorders>
                  <w:shd w:val="clear" w:color="auto" w:fill="FFFFFF"/>
                  <w:vAlign w:val="center"/>
                </w:tcPr>
                <w:p w14:paraId="314DAF8B">
                  <w:pPr>
                    <w:tabs>
                      <w:tab w:val="left" w:pos="720"/>
                    </w:tabs>
                    <w:jc w:val="center"/>
                    <w:rPr>
                      <w:color w:val="auto"/>
                      <w:sz w:val="21"/>
                      <w:szCs w:val="21"/>
                    </w:rPr>
                  </w:pPr>
                  <w:r>
                    <w:rPr>
                      <w:rFonts w:hint="eastAsia"/>
                      <w:color w:val="auto"/>
                      <w:sz w:val="21"/>
                      <w:szCs w:val="21"/>
                    </w:rPr>
                    <w:t>是</w:t>
                  </w:r>
                </w:p>
              </w:tc>
              <w:tc>
                <w:tcPr>
                  <w:tcW w:w="709" w:type="pct"/>
                  <w:tcBorders>
                    <w:tl2br w:val="nil"/>
                    <w:tr2bl w:val="nil"/>
                  </w:tcBorders>
                  <w:shd w:val="clear" w:color="auto" w:fill="FFFFFF"/>
                  <w:vAlign w:val="center"/>
                </w:tcPr>
                <w:p w14:paraId="0C5425D7">
                  <w:pPr>
                    <w:tabs>
                      <w:tab w:val="left" w:pos="720"/>
                    </w:tabs>
                    <w:jc w:val="center"/>
                    <w:rPr>
                      <w:color w:val="auto"/>
                      <w:sz w:val="21"/>
                      <w:szCs w:val="21"/>
                    </w:rPr>
                  </w:pPr>
                  <w:r>
                    <w:rPr>
                      <w:rFonts w:hint="eastAsia"/>
                      <w:color w:val="auto"/>
                      <w:sz w:val="21"/>
                      <w:szCs w:val="21"/>
                    </w:rPr>
                    <w:t>是</w:t>
                  </w:r>
                </w:p>
              </w:tc>
              <w:tc>
                <w:tcPr>
                  <w:tcW w:w="709" w:type="pct"/>
                  <w:tcBorders>
                    <w:tl2br w:val="nil"/>
                    <w:tr2bl w:val="nil"/>
                  </w:tcBorders>
                  <w:shd w:val="clear" w:color="auto" w:fill="FFFFFF"/>
                  <w:vAlign w:val="center"/>
                </w:tcPr>
                <w:p w14:paraId="133C6161">
                  <w:pPr>
                    <w:tabs>
                      <w:tab w:val="left" w:pos="720"/>
                    </w:tabs>
                    <w:jc w:val="center"/>
                    <w:rPr>
                      <w:color w:val="auto"/>
                      <w:sz w:val="21"/>
                      <w:szCs w:val="21"/>
                    </w:rPr>
                  </w:pPr>
                  <w:r>
                    <w:rPr>
                      <w:rFonts w:hint="eastAsia"/>
                      <w:color w:val="auto"/>
                      <w:sz w:val="21"/>
                      <w:szCs w:val="21"/>
                    </w:rPr>
                    <w:t>是</w:t>
                  </w:r>
                </w:p>
              </w:tc>
              <w:tc>
                <w:tcPr>
                  <w:tcW w:w="1134" w:type="pct"/>
                  <w:tcBorders>
                    <w:tl2br w:val="nil"/>
                    <w:tr2bl w:val="nil"/>
                  </w:tcBorders>
                  <w:shd w:val="clear" w:color="auto" w:fill="FFFFFF"/>
                  <w:vAlign w:val="center"/>
                </w:tcPr>
                <w:p w14:paraId="0E708987">
                  <w:pPr>
                    <w:tabs>
                      <w:tab w:val="left" w:pos="720"/>
                    </w:tabs>
                    <w:jc w:val="center"/>
                    <w:rPr>
                      <w:color w:val="auto"/>
                      <w:sz w:val="21"/>
                      <w:szCs w:val="21"/>
                    </w:rPr>
                  </w:pPr>
                  <w:r>
                    <w:rPr>
                      <w:rFonts w:hint="eastAsia"/>
                      <w:color w:val="auto"/>
                      <w:sz w:val="21"/>
                      <w:szCs w:val="21"/>
                    </w:rPr>
                    <w:t>/</w:t>
                  </w:r>
                </w:p>
              </w:tc>
            </w:tr>
          </w:tbl>
          <w:p w14:paraId="7C927F7C">
            <w:pPr>
              <w:spacing w:line="360" w:lineRule="auto"/>
              <w:ind w:firstLine="480" w:firstLineChars="200"/>
              <w:rPr>
                <w:color w:val="auto"/>
              </w:rPr>
            </w:pPr>
            <w:r>
              <w:rPr>
                <w:rFonts w:hint="eastAsia"/>
                <w:color w:val="auto"/>
              </w:rPr>
              <w:t>根据上表，柴油发电机产生的SO</w:t>
            </w:r>
            <w:r>
              <w:rPr>
                <w:rFonts w:hint="eastAsia"/>
                <w:color w:val="auto"/>
                <w:vertAlign w:val="subscript"/>
              </w:rPr>
              <w:t>2</w:t>
            </w:r>
            <w:r>
              <w:rPr>
                <w:rFonts w:hint="eastAsia"/>
                <w:color w:val="auto"/>
              </w:rPr>
              <w:t>、NO</w:t>
            </w:r>
            <w:r>
              <w:rPr>
                <w:rFonts w:hint="eastAsia"/>
                <w:color w:val="auto"/>
                <w:vertAlign w:val="subscript"/>
              </w:rPr>
              <w:t>x</w:t>
            </w:r>
            <w:r>
              <w:rPr>
                <w:rFonts w:hint="eastAsia"/>
                <w:color w:val="auto"/>
              </w:rPr>
              <w:t>、烟尘（颗粒物）的排放浓度可满足《大气污染物综合排放标准》（GB16297-1996）中表2中限值要求，且柴油机及发电机尾气排放浓度较小，由于钻井期较短，并处于户外空气流通性较好，扩散能力较强，对大气环境影响较小。</w:t>
            </w:r>
          </w:p>
          <w:p w14:paraId="1B31AEF6">
            <w:pPr>
              <w:spacing w:line="360" w:lineRule="auto"/>
              <w:ind w:firstLine="480" w:firstLineChars="200"/>
              <w:rPr>
                <w:color w:val="auto"/>
              </w:rPr>
            </w:pPr>
            <w:r>
              <w:rPr>
                <w:rFonts w:hint="eastAsia"/>
                <w:color w:val="auto"/>
              </w:rPr>
              <w:t>（2）放喷废气</w:t>
            </w:r>
          </w:p>
          <w:p w14:paraId="5C11D108">
            <w:pPr>
              <w:spacing w:line="360" w:lineRule="auto"/>
              <w:ind w:firstLine="480" w:firstLineChars="200"/>
              <w:rPr>
                <w:color w:val="auto"/>
              </w:rPr>
            </w:pPr>
            <w:r>
              <w:rPr>
                <w:rFonts w:hint="eastAsia"/>
                <w:color w:val="auto"/>
              </w:rPr>
              <w:t>1）事故放喷</w:t>
            </w:r>
          </w:p>
          <w:p w14:paraId="328D0C8E">
            <w:pPr>
              <w:spacing w:line="360" w:lineRule="auto"/>
              <w:ind w:firstLine="480" w:firstLineChars="200"/>
              <w:rPr>
                <w:color w:val="auto"/>
              </w:rPr>
            </w:pPr>
            <w:r>
              <w:rPr>
                <w:rFonts w:hint="eastAsia"/>
                <w:color w:val="auto"/>
              </w:rPr>
              <w:t>当钻井进入气层后，有可能遇到异常高压气流，如果井内泥浆密度值过低，达不到平衡井内压力要求时，就可能发生井涌，若井口压力过高，为防止井喷事故，需打开放喷管线阀门泄压进行放喷，放喷天然气在放喷池内，经1m高对空短火焰燃烧器点火燃烧后排放，事故放喷时间短，属临时排放，对大气环境影响不大。</w:t>
            </w:r>
          </w:p>
          <w:p w14:paraId="68276598">
            <w:pPr>
              <w:spacing w:line="360" w:lineRule="auto"/>
              <w:ind w:firstLine="480" w:firstLineChars="200"/>
              <w:rPr>
                <w:color w:val="auto"/>
              </w:rPr>
            </w:pPr>
            <w:r>
              <w:rPr>
                <w:rFonts w:hint="eastAsia"/>
                <w:color w:val="auto"/>
              </w:rPr>
              <w:t>2）测试放喷</w:t>
            </w:r>
          </w:p>
          <w:p w14:paraId="4A717965">
            <w:pPr>
              <w:spacing w:line="360" w:lineRule="auto"/>
              <w:ind w:firstLine="480" w:firstLineChars="200"/>
              <w:rPr>
                <w:color w:val="auto"/>
              </w:rPr>
            </w:pPr>
            <w:r>
              <w:rPr>
                <w:rFonts w:hint="eastAsia"/>
                <w:color w:val="auto"/>
              </w:rPr>
              <w:t>测试放喷的页岩气经专用放喷管线引至放喷池后点火燃烧，单井每次测试放喷时间约1~2天，单次测试放喷时间约4~6h。</w:t>
            </w:r>
            <w:r>
              <w:rPr>
                <w:color w:val="auto"/>
              </w:rPr>
              <w:t>根据</w:t>
            </w:r>
            <w:r>
              <w:rPr>
                <w:rFonts w:hint="eastAsia"/>
                <w:color w:val="auto"/>
              </w:rPr>
              <w:t>桂融页2-1</w:t>
            </w:r>
            <w:r>
              <w:rPr>
                <w:color w:val="auto"/>
              </w:rPr>
              <w:t>井</w:t>
            </w:r>
            <w:r>
              <w:rPr>
                <w:rFonts w:hint="eastAsia"/>
                <w:color w:val="auto"/>
              </w:rPr>
              <w:t>试采</w:t>
            </w:r>
            <w:r>
              <w:rPr>
                <w:color w:val="auto"/>
              </w:rPr>
              <w:t>结果和井岩心现场解析，本井区主要流体为天然气，成分以甲烷为主，含量95%以上，为干气，不含硫化氢</w:t>
            </w:r>
            <w:r>
              <w:rPr>
                <w:rFonts w:hint="eastAsia"/>
                <w:color w:val="auto"/>
              </w:rPr>
              <w:t>，燃烧主要产物为NO</w:t>
            </w:r>
            <w:r>
              <w:rPr>
                <w:rFonts w:hint="eastAsia"/>
                <w:color w:val="auto"/>
                <w:vertAlign w:val="subscript"/>
              </w:rPr>
              <w:t>x</w:t>
            </w:r>
            <w:r>
              <w:rPr>
                <w:rFonts w:hint="eastAsia"/>
                <w:color w:val="auto"/>
              </w:rPr>
              <w:t>、CO</w:t>
            </w:r>
            <w:r>
              <w:rPr>
                <w:rFonts w:hint="eastAsia"/>
                <w:color w:val="auto"/>
                <w:vertAlign w:val="subscript"/>
              </w:rPr>
              <w:t>2</w:t>
            </w:r>
            <w:r>
              <w:rPr>
                <w:rFonts w:hint="eastAsia"/>
                <w:color w:val="auto"/>
              </w:rPr>
              <w:t>和水。</w:t>
            </w:r>
          </w:p>
          <w:p w14:paraId="7E4AF739">
            <w:pPr>
              <w:spacing w:line="360" w:lineRule="auto"/>
              <w:ind w:firstLine="480" w:firstLineChars="200"/>
              <w:rPr>
                <w:color w:val="auto"/>
                <w:kern w:val="0"/>
                <w:szCs w:val="21"/>
              </w:rPr>
            </w:pPr>
            <w:r>
              <w:rPr>
                <w:rFonts w:hint="eastAsia"/>
                <w:color w:val="auto"/>
              </w:rPr>
              <w:t>根据同类项目测试放喷情况，热辐射影响范围在30m以内。本项目放喷池选址距离伏虎华侨农场二队185m，放喷池周边建有围墙，且放喷池为敞开式，放喷燃烧废气产生后能及时扩散。因此，测试放喷的页岩气在引至放喷池进行燃烧的情况下，其废气影响可以接受。</w:t>
            </w:r>
          </w:p>
          <w:p w14:paraId="1CFB3640">
            <w:pPr>
              <w:spacing w:line="360" w:lineRule="auto"/>
              <w:rPr>
                <w:b/>
                <w:bCs/>
                <w:color w:val="auto"/>
              </w:rPr>
            </w:pPr>
            <w:r>
              <w:rPr>
                <w:rFonts w:hint="eastAsia"/>
                <w:b/>
                <w:bCs/>
                <w:color w:val="auto"/>
              </w:rPr>
              <w:t>3.2地表水环境影响分析</w:t>
            </w:r>
          </w:p>
          <w:p w14:paraId="6C5D087E">
            <w:pPr>
              <w:spacing w:line="360" w:lineRule="auto"/>
              <w:ind w:firstLine="480" w:firstLineChars="200"/>
              <w:rPr>
                <w:color w:val="auto"/>
              </w:rPr>
            </w:pPr>
            <w:r>
              <w:rPr>
                <w:rFonts w:hint="eastAsia"/>
                <w:color w:val="auto"/>
              </w:rPr>
              <w:t>本项目施工作业期间产生的废水主要包括场地雨水、钻井废水、洗井废水、管道试压废水以及生活污水。</w:t>
            </w:r>
          </w:p>
          <w:p w14:paraId="481BC268">
            <w:pPr>
              <w:spacing w:line="360" w:lineRule="auto"/>
              <w:ind w:firstLine="480" w:firstLineChars="200"/>
              <w:rPr>
                <w:color w:val="auto"/>
              </w:rPr>
            </w:pPr>
            <w:r>
              <w:rPr>
                <w:rFonts w:hint="eastAsia"/>
                <w:color w:val="auto"/>
              </w:rPr>
              <w:t>（1）场地雨水</w:t>
            </w:r>
          </w:p>
          <w:p w14:paraId="22CBA66C">
            <w:pPr>
              <w:spacing w:line="360" w:lineRule="auto"/>
              <w:ind w:firstLine="480" w:firstLineChars="200"/>
              <w:rPr>
                <w:color w:val="auto"/>
              </w:rPr>
            </w:pPr>
            <w:r>
              <w:rPr>
                <w:rFonts w:hint="eastAsia"/>
                <w:color w:val="auto"/>
              </w:rPr>
              <w:t>场地雨水根据融水苗族自治县暴雨强度公式：</w:t>
            </w:r>
          </w:p>
          <w:p w14:paraId="79BC3846">
            <w:pPr>
              <w:spacing w:line="360" w:lineRule="auto"/>
              <w:jc w:val="center"/>
              <w:rPr>
                <w:color w:val="auto"/>
              </w:rPr>
            </w:pPr>
            <w:r>
              <w:rPr>
                <w:rFonts w:hint="eastAsia"/>
                <w:color w:val="auto"/>
              </w:rPr>
              <w:drawing>
                <wp:inline distT="0" distB="0" distL="114300" distR="114300">
                  <wp:extent cx="2422525" cy="228600"/>
                  <wp:effectExtent l="0" t="0" r="15875" b="0"/>
                  <wp:docPr id="16" name="图片 4" descr="7c836cf9-f2ac-4df3-8cb3-16fdd35339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descr="7c836cf9-f2ac-4df3-8cb3-16fdd353393b"/>
                          <pic:cNvPicPr>
                            <a:picLocks noChangeAspect="1"/>
                          </pic:cNvPicPr>
                        </pic:nvPicPr>
                        <pic:blipFill>
                          <a:blip r:embed="rId17"/>
                          <a:stretch>
                            <a:fillRect/>
                          </a:stretch>
                        </pic:blipFill>
                        <pic:spPr>
                          <a:xfrm>
                            <a:off x="0" y="0"/>
                            <a:ext cx="2422525" cy="228600"/>
                          </a:xfrm>
                          <a:prstGeom prst="rect">
                            <a:avLst/>
                          </a:prstGeom>
                          <a:noFill/>
                          <a:ln>
                            <a:noFill/>
                          </a:ln>
                        </pic:spPr>
                      </pic:pic>
                    </a:graphicData>
                  </a:graphic>
                </wp:inline>
              </w:drawing>
            </w:r>
          </w:p>
          <w:p w14:paraId="44C7DABA">
            <w:pPr>
              <w:spacing w:line="360" w:lineRule="auto"/>
              <w:ind w:firstLine="480" w:firstLineChars="200"/>
              <w:rPr>
                <w:color w:val="auto"/>
              </w:rPr>
            </w:pPr>
            <w:r>
              <w:rPr>
                <w:rFonts w:hint="eastAsia"/>
                <w:color w:val="auto"/>
              </w:rPr>
              <w:t>式中：</w:t>
            </w:r>
          </w:p>
          <w:p w14:paraId="421EF0CE">
            <w:pPr>
              <w:spacing w:line="360" w:lineRule="auto"/>
              <w:ind w:firstLine="480" w:firstLineChars="200"/>
              <w:rPr>
                <w:color w:val="auto"/>
              </w:rPr>
            </w:pPr>
            <w:r>
              <w:rPr>
                <w:rFonts w:hint="eastAsia"/>
                <w:color w:val="auto"/>
              </w:rPr>
              <w:t>q——暴雨强度，L/(s·h</w:t>
            </w:r>
            <w:r>
              <w:rPr>
                <w:color w:val="auto"/>
              </w:rPr>
              <w:t>m</w:t>
            </w:r>
            <w:r>
              <w:rPr>
                <w:color w:val="auto"/>
                <w:vertAlign w:val="superscript"/>
              </w:rPr>
              <w:t>2</w:t>
            </w:r>
            <w:r>
              <w:rPr>
                <w:color w:val="auto"/>
              </w:rPr>
              <w:t>)</w:t>
            </w:r>
            <w:r>
              <w:rPr>
                <w:rFonts w:hint="eastAsia"/>
                <w:color w:val="auto"/>
              </w:rPr>
              <w:t>；</w:t>
            </w:r>
          </w:p>
          <w:p w14:paraId="3808E381">
            <w:pPr>
              <w:spacing w:line="360" w:lineRule="auto"/>
              <w:ind w:firstLine="480" w:firstLineChars="200"/>
              <w:rPr>
                <w:color w:val="auto"/>
              </w:rPr>
            </w:pPr>
            <w:r>
              <w:rPr>
                <w:rFonts w:hint="eastAsia"/>
                <w:color w:val="auto"/>
              </w:rPr>
              <w:t>P——重现期，取2年；</w:t>
            </w:r>
          </w:p>
          <w:p w14:paraId="480CAF71">
            <w:pPr>
              <w:spacing w:line="360" w:lineRule="auto"/>
              <w:ind w:firstLine="480" w:firstLineChars="200"/>
              <w:rPr>
                <w:color w:val="auto"/>
              </w:rPr>
            </w:pPr>
            <w:r>
              <w:rPr>
                <w:rFonts w:hint="eastAsia"/>
                <w:color w:val="auto"/>
              </w:rPr>
              <w:t>t——降雨历时，取15min</w:t>
            </w:r>
          </w:p>
          <w:p w14:paraId="29B36B40">
            <w:pPr>
              <w:spacing w:line="360" w:lineRule="auto"/>
              <w:ind w:firstLine="480" w:firstLineChars="200"/>
              <w:rPr>
                <w:color w:val="auto"/>
              </w:rPr>
            </w:pPr>
            <w:r>
              <w:rPr>
                <w:rFonts w:hint="eastAsia"/>
                <w:color w:val="auto"/>
              </w:rPr>
              <w:t>根据融水苗族自治县暴雨强度公式，融水苗族自治县降雨强度q为327.80L/</w:t>
            </w:r>
            <w:r>
              <w:rPr>
                <w:color w:val="auto"/>
              </w:rPr>
              <w:t>(s·hm</w:t>
            </w:r>
            <w:r>
              <w:rPr>
                <w:color w:val="auto"/>
                <w:vertAlign w:val="superscript"/>
              </w:rPr>
              <w:t>2</w:t>
            </w:r>
            <w:r>
              <w:rPr>
                <w:color w:val="auto"/>
              </w:rPr>
              <w:t>)</w:t>
            </w:r>
            <w:r>
              <w:rPr>
                <w:rFonts w:hint="eastAsia"/>
                <w:color w:val="auto"/>
              </w:rPr>
              <w:t>。</w:t>
            </w:r>
          </w:p>
          <w:p w14:paraId="632650FD">
            <w:pPr>
              <w:spacing w:line="360" w:lineRule="auto"/>
              <w:ind w:firstLine="480" w:firstLineChars="200"/>
              <w:rPr>
                <w:color w:val="auto"/>
              </w:rPr>
            </w:pPr>
            <w:r>
              <w:rPr>
                <w:rFonts w:hint="eastAsia"/>
                <w:color w:val="auto"/>
              </w:rPr>
              <w:t>根据《室外排水设计标准》（GB50014-2021），初期雨水设计流量按下列公式计算：</w:t>
            </w:r>
          </w:p>
          <w:p w14:paraId="4FFDD27A">
            <w:pPr>
              <w:spacing w:line="360" w:lineRule="auto"/>
              <w:jc w:val="center"/>
              <w:rPr>
                <w:color w:val="auto"/>
              </w:rPr>
            </w:pPr>
            <w:r>
              <w:rPr>
                <w:rFonts w:hint="eastAsia"/>
                <w:color w:val="auto"/>
              </w:rPr>
              <w:object>
                <v:shape id="_x0000_i1025" o:spt="75" type="#_x0000_t75" style="height:15.65pt;width:60.1pt;" o:ole="t" filled="f" o:preferrelative="t" stroked="f" coordsize="21600,21600">
                  <v:path/>
                  <v:fill on="f" focussize="0,0"/>
                  <v:stroke on="f" joinstyle="miter"/>
                  <v:imagedata r:id="rId19" o:title=""/>
                  <o:lock v:ext="edit" aspectratio="t"/>
                  <w10:wrap type="none"/>
                  <w10:anchorlock/>
                </v:shape>
                <o:OLEObject Type="Embed" ProgID="Equation.3" ShapeID="_x0000_i1025" DrawAspect="Content" ObjectID="_1468075725" r:id="rId18">
                  <o:LockedField>false</o:LockedField>
                </o:OLEObject>
              </w:object>
            </w:r>
          </w:p>
          <w:p w14:paraId="5780609F">
            <w:pPr>
              <w:spacing w:line="360" w:lineRule="auto"/>
              <w:ind w:firstLine="480" w:firstLineChars="200"/>
              <w:rPr>
                <w:color w:val="auto"/>
              </w:rPr>
            </w:pPr>
            <w:r>
              <w:rPr>
                <w:rFonts w:hint="eastAsia"/>
                <w:color w:val="auto"/>
              </w:rPr>
              <w:t>式中：</w:t>
            </w:r>
          </w:p>
          <w:p w14:paraId="7307867B">
            <w:pPr>
              <w:spacing w:line="360" w:lineRule="auto"/>
              <w:ind w:firstLine="480" w:firstLineChars="200"/>
              <w:rPr>
                <w:color w:val="auto"/>
              </w:rPr>
            </w:pPr>
            <w:r>
              <w:rPr>
                <w:color w:val="auto"/>
              </w:rPr>
              <w:t>Q——雨水设计流量（L/s）；</w:t>
            </w:r>
          </w:p>
          <w:p w14:paraId="02BF0AE8">
            <w:pPr>
              <w:spacing w:line="360" w:lineRule="auto"/>
              <w:ind w:firstLine="480" w:firstLineChars="200"/>
              <w:rPr>
                <w:color w:val="auto"/>
              </w:rPr>
            </w:pPr>
            <w:r>
              <w:rPr>
                <w:color w:val="auto"/>
              </w:rPr>
              <w:t>ψ——径流系数，</w:t>
            </w:r>
            <w:r>
              <w:rPr>
                <w:rFonts w:hint="eastAsia"/>
                <w:color w:val="auto"/>
              </w:rPr>
              <w:t>场区地面铺设碎石，</w:t>
            </w:r>
            <w:r>
              <w:rPr>
                <w:color w:val="auto"/>
              </w:rPr>
              <w:t>径流系数取0.</w:t>
            </w:r>
            <w:r>
              <w:rPr>
                <w:rFonts w:hint="eastAsia"/>
                <w:color w:val="auto"/>
              </w:rPr>
              <w:t>60</w:t>
            </w:r>
            <w:r>
              <w:rPr>
                <w:color w:val="auto"/>
              </w:rPr>
              <w:t>；</w:t>
            </w:r>
          </w:p>
          <w:p w14:paraId="7612213F">
            <w:pPr>
              <w:spacing w:line="360" w:lineRule="auto"/>
              <w:ind w:firstLine="480" w:firstLineChars="200"/>
              <w:rPr>
                <w:color w:val="auto"/>
              </w:rPr>
            </w:pPr>
            <w:r>
              <w:rPr>
                <w:color w:val="auto"/>
              </w:rPr>
              <w:t>q——设计暴雨强度L/(s·hm</w:t>
            </w:r>
            <w:r>
              <w:rPr>
                <w:color w:val="auto"/>
                <w:vertAlign w:val="superscript"/>
              </w:rPr>
              <w:t>2</w:t>
            </w:r>
            <w:r>
              <w:rPr>
                <w:color w:val="auto"/>
              </w:rPr>
              <w:t>)，融水苗族自治县降雨强度q为</w:t>
            </w:r>
            <w:r>
              <w:rPr>
                <w:rFonts w:hint="eastAsia"/>
                <w:color w:val="auto"/>
              </w:rPr>
              <w:t>327.80</w:t>
            </w:r>
            <w:r>
              <w:rPr>
                <w:color w:val="auto"/>
              </w:rPr>
              <w:t>L/(s·hm</w:t>
            </w:r>
            <w:r>
              <w:rPr>
                <w:color w:val="auto"/>
                <w:vertAlign w:val="superscript"/>
              </w:rPr>
              <w:t>2</w:t>
            </w:r>
            <w:r>
              <w:rPr>
                <w:color w:val="auto"/>
              </w:rPr>
              <w:t>)；</w:t>
            </w:r>
          </w:p>
          <w:p w14:paraId="30926C38">
            <w:pPr>
              <w:spacing w:line="360" w:lineRule="auto"/>
              <w:ind w:firstLine="480" w:firstLineChars="200"/>
              <w:rPr>
                <w:color w:val="auto"/>
              </w:rPr>
            </w:pPr>
            <w:r>
              <w:rPr>
                <w:color w:val="auto"/>
              </w:rPr>
              <w:t>F——汇水面积（hm</w:t>
            </w:r>
            <w:r>
              <w:rPr>
                <w:color w:val="auto"/>
                <w:vertAlign w:val="superscript"/>
              </w:rPr>
              <w:t>2</w:t>
            </w:r>
            <w:r>
              <w:rPr>
                <w:color w:val="auto"/>
              </w:rPr>
              <w:t>），井场</w:t>
            </w:r>
            <w:r>
              <w:rPr>
                <w:rFonts w:hint="eastAsia"/>
                <w:color w:val="auto"/>
              </w:rPr>
              <w:t>铺设碎石</w:t>
            </w:r>
            <w:r>
              <w:rPr>
                <w:color w:val="auto"/>
              </w:rPr>
              <w:t>路面汇水面积约0.87hm</w:t>
            </w:r>
            <w:r>
              <w:rPr>
                <w:color w:val="auto"/>
                <w:vertAlign w:val="superscript"/>
              </w:rPr>
              <w:t>2</w:t>
            </w:r>
            <w:r>
              <w:rPr>
                <w:color w:val="auto"/>
              </w:rPr>
              <w:t>。</w:t>
            </w:r>
          </w:p>
          <w:p w14:paraId="7C4E7456">
            <w:pPr>
              <w:spacing w:line="360" w:lineRule="auto"/>
              <w:ind w:firstLine="480" w:firstLineChars="200"/>
              <w:rPr>
                <w:color w:val="auto"/>
              </w:rPr>
            </w:pPr>
            <w:r>
              <w:rPr>
                <w:rFonts w:hint="eastAsia"/>
                <w:color w:val="auto"/>
              </w:rPr>
              <w:t>雨水设计流量为171.11</w:t>
            </w:r>
            <w:r>
              <w:rPr>
                <w:color w:val="auto"/>
              </w:rPr>
              <w:t>L/s</w:t>
            </w:r>
            <w:r>
              <w:rPr>
                <w:rFonts w:hint="eastAsia"/>
                <w:color w:val="auto"/>
              </w:rPr>
              <w:t>，收水时间按15min计算，则初期雨水量为154.00m</w:t>
            </w:r>
            <w:r>
              <w:rPr>
                <w:rFonts w:hint="eastAsia"/>
                <w:color w:val="auto"/>
                <w:vertAlign w:val="superscript"/>
              </w:rPr>
              <w:t>3</w:t>
            </w:r>
            <w:r>
              <w:rPr>
                <w:rFonts w:hint="eastAsia"/>
                <w:color w:val="auto"/>
              </w:rPr>
              <w:t>/次，初期雨水通过清水沟汇入200m</w:t>
            </w:r>
            <w:r>
              <w:rPr>
                <w:rFonts w:hint="eastAsia"/>
                <w:color w:val="auto"/>
                <w:vertAlign w:val="superscript"/>
              </w:rPr>
              <w:t>3</w:t>
            </w:r>
            <w:r>
              <w:rPr>
                <w:rFonts w:hint="eastAsia"/>
                <w:color w:val="auto"/>
              </w:rPr>
              <w:t>的集液池，沉淀后回用。结合本项目特征，场地雨水主要污染物为SS和石油类，产生浓度分别为200mg/L和20mg/L。</w:t>
            </w:r>
          </w:p>
          <w:p w14:paraId="68D1F8D5">
            <w:pPr>
              <w:spacing w:line="360" w:lineRule="auto"/>
              <w:ind w:firstLine="480" w:firstLineChars="200"/>
              <w:rPr>
                <w:rFonts w:hint="eastAsia"/>
                <w:color w:val="auto"/>
              </w:rPr>
            </w:pPr>
            <w:r>
              <w:rPr>
                <w:rFonts w:hint="eastAsia"/>
                <w:color w:val="auto"/>
              </w:rPr>
              <w:t>（2）钻井废水</w:t>
            </w:r>
          </w:p>
          <w:p w14:paraId="5A43EB4E">
            <w:pPr>
              <w:spacing w:line="360" w:lineRule="auto"/>
              <w:ind w:firstLine="480" w:firstLineChars="200"/>
              <w:rPr>
                <w:rFonts w:hint="eastAsia"/>
                <w:color w:val="auto"/>
              </w:rPr>
            </w:pPr>
            <w:r>
              <w:rPr>
                <w:rFonts w:hint="eastAsia"/>
                <w:color w:val="auto"/>
              </w:rPr>
              <w:t>本井导眼采用清水钻进，一开采用清水+膨润土浆钻井液钻进，二开采用钙钾基钻井液钻进，除附着于岩屑部分外的其他泥浆均可循环使用，在循环罐中分离出的上清液全部回用于配制水基泥浆。因此本项目仅在导管、一开和二开开次产生钻井废水。在钻井作业的配浆过程中会根据泥浆的不同配比要求加入相应量的水，这些水随钻井泥浆进入井底协助钻井作业，在钻井泥浆返回地面后，随泥浆进入泥浆循环系统回用，进入“泥浆不落地”工艺处理，随振动筛、离心机和除砂除泥器，泥浆经固液分离，分离出的钻屑进入清洁化生产区，废水在循环罐中暂存，回用于配浆作业。</w:t>
            </w:r>
          </w:p>
          <w:p w14:paraId="4FB654C1">
            <w:pPr>
              <w:spacing w:line="360" w:lineRule="auto"/>
              <w:ind w:firstLine="480" w:firstLineChars="200"/>
              <w:rPr>
                <w:rFonts w:hint="eastAsia"/>
                <w:color w:val="auto"/>
              </w:rPr>
            </w:pPr>
            <w:r>
              <w:rPr>
                <w:rFonts w:hint="eastAsia"/>
                <w:color w:val="auto"/>
              </w:rPr>
              <w:t>根据《1120石油和天然气开采专业及辅助性活动行业系数手册》，≤2千米进尺的普通气井钻井废水产生量54.94t/百米，化学需氧量241855g/百米，石油类1099g/百米。根据公用工程供水计算结果，钻井废水产生量为4480.36m</w:t>
            </w:r>
            <w:r>
              <w:rPr>
                <w:rFonts w:hint="eastAsia"/>
                <w:color w:val="auto"/>
                <w:vertAlign w:val="superscript"/>
              </w:rPr>
              <w:t>3</w:t>
            </w:r>
            <w:r>
              <w:rPr>
                <w:rFonts w:hint="eastAsia"/>
                <w:color w:val="auto"/>
              </w:rPr>
              <w:t>，废水中化学需氧量4402.17mg/L，石油类20.00mg/L。钻井废水排至泥浆循环系统经固液分离后产生含水率为70%的水基泥浆和滤液，滤液回用于钻井，水基泥浆由钻井队回收回用。根据公用工程供水计算结果，经过泥浆循环系统处理后产生滤液的量为3680.36m3，得到的滤液全部回用于钻井用水。</w:t>
            </w:r>
          </w:p>
          <w:p w14:paraId="7F8733E3">
            <w:pPr>
              <w:spacing w:line="360" w:lineRule="auto"/>
              <w:ind w:firstLine="480" w:firstLineChars="200"/>
              <w:rPr>
                <w:rFonts w:hint="eastAsia"/>
                <w:color w:val="auto"/>
              </w:rPr>
            </w:pPr>
            <w:r>
              <w:rPr>
                <w:rFonts w:hint="eastAsia"/>
                <w:color w:val="auto"/>
              </w:rPr>
              <w:t>钻井作业产生的废水水质情况见下表。</w:t>
            </w:r>
          </w:p>
          <w:p w14:paraId="00DE7ABD">
            <w:pPr>
              <w:spacing w:line="360" w:lineRule="auto"/>
              <w:jc w:val="center"/>
              <w:rPr>
                <w:rFonts w:hint="eastAsia"/>
                <w:b/>
                <w:bCs/>
                <w:color w:val="auto"/>
              </w:rPr>
            </w:pPr>
            <w:r>
              <w:rPr>
                <w:rFonts w:hint="eastAsia"/>
                <w:b/>
                <w:bCs/>
                <w:color w:val="auto"/>
              </w:rPr>
              <w:t>表4-2 钻井废水产生情况表  单位：mg/L</w:t>
            </w:r>
          </w:p>
          <w:tbl>
            <w:tblPr>
              <w:tblStyle w:val="20"/>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2120"/>
              <w:gridCol w:w="2125"/>
              <w:gridCol w:w="2125"/>
              <w:gridCol w:w="2128"/>
            </w:tblGrid>
            <w:tr w14:paraId="5E7C35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174E18">
                  <w:pPr>
                    <w:jc w:val="center"/>
                    <w:rPr>
                      <w:b/>
                      <w:bCs/>
                      <w:sz w:val="21"/>
                      <w:szCs w:val="21"/>
                    </w:rPr>
                  </w:pPr>
                  <w:r>
                    <w:rPr>
                      <w:rFonts w:hint="eastAsia"/>
                      <w:b/>
                      <w:bCs/>
                      <w:sz w:val="21"/>
                      <w:szCs w:val="21"/>
                    </w:rPr>
                    <w:t>废水产生量</w:t>
                  </w:r>
                </w:p>
              </w:tc>
              <w:tc>
                <w:tcPr>
                  <w:tcW w:w="3752" w:type="pct"/>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1BD9B9">
                  <w:pPr>
                    <w:jc w:val="center"/>
                    <w:rPr>
                      <w:b/>
                      <w:bCs/>
                      <w:sz w:val="21"/>
                      <w:szCs w:val="21"/>
                    </w:rPr>
                  </w:pPr>
                  <w:r>
                    <w:rPr>
                      <w:rFonts w:hint="eastAsia"/>
                      <w:b/>
                      <w:bCs/>
                      <w:sz w:val="21"/>
                      <w:szCs w:val="21"/>
                    </w:rPr>
                    <w:t>主要污染物浓度</w:t>
                  </w:r>
                </w:p>
              </w:tc>
            </w:tr>
            <w:tr w14:paraId="4E611F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E1EFD33">
                  <w:pPr>
                    <w:jc w:val="center"/>
                    <w:rPr>
                      <w:sz w:val="21"/>
                      <w:szCs w:val="21"/>
                    </w:rPr>
                  </w:pPr>
                  <w:r>
                    <w:rPr>
                      <w:sz w:val="21"/>
                      <w:szCs w:val="21"/>
                    </w:rPr>
                    <w:t>4480.36</w:t>
                  </w:r>
                  <w:r>
                    <w:rPr>
                      <w:rFonts w:hint="eastAsia"/>
                      <w:sz w:val="21"/>
                      <w:szCs w:val="21"/>
                    </w:rPr>
                    <w:t>m</w:t>
                  </w:r>
                  <w:r>
                    <w:rPr>
                      <w:rFonts w:hint="eastAsia"/>
                      <w:sz w:val="21"/>
                      <w:szCs w:val="21"/>
                      <w:vertAlign w:val="superscript"/>
                    </w:rPr>
                    <w:t>3</w:t>
                  </w:r>
                </w:p>
              </w:tc>
              <w:tc>
                <w:tcPr>
                  <w:tcW w:w="1250"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5E466FD">
                  <w:pPr>
                    <w:jc w:val="center"/>
                    <w:rPr>
                      <w:sz w:val="21"/>
                      <w:szCs w:val="21"/>
                    </w:rPr>
                  </w:pPr>
                  <w:r>
                    <w:rPr>
                      <w:rFonts w:hint="eastAsia"/>
                      <w:sz w:val="21"/>
                      <w:szCs w:val="21"/>
                    </w:rPr>
                    <w:t>pH值</w:t>
                  </w:r>
                </w:p>
              </w:tc>
              <w:tc>
                <w:tcPr>
                  <w:tcW w:w="1250"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64FF379">
                  <w:pPr>
                    <w:jc w:val="center"/>
                    <w:rPr>
                      <w:sz w:val="21"/>
                      <w:szCs w:val="21"/>
                    </w:rPr>
                  </w:pPr>
                  <w:r>
                    <w:rPr>
                      <w:rFonts w:hint="eastAsia"/>
                      <w:sz w:val="21"/>
                      <w:szCs w:val="21"/>
                    </w:rPr>
                    <w:t>COD</w:t>
                  </w:r>
                </w:p>
              </w:tc>
              <w:tc>
                <w:tcPr>
                  <w:tcW w:w="1251"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43C0A3A">
                  <w:pPr>
                    <w:jc w:val="center"/>
                    <w:rPr>
                      <w:sz w:val="21"/>
                      <w:szCs w:val="21"/>
                    </w:rPr>
                  </w:pPr>
                  <w:r>
                    <w:rPr>
                      <w:rFonts w:hint="eastAsia"/>
                      <w:sz w:val="21"/>
                      <w:szCs w:val="21"/>
                    </w:rPr>
                    <w:t>石油类</w:t>
                  </w:r>
                </w:p>
              </w:tc>
            </w:tr>
            <w:tr w14:paraId="000B037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4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EFF4F97">
                  <w:pPr>
                    <w:jc w:val="center"/>
                    <w:rPr>
                      <w:sz w:val="21"/>
                      <w:szCs w:val="21"/>
                    </w:rPr>
                  </w:pPr>
                </w:p>
              </w:tc>
              <w:tc>
                <w:tcPr>
                  <w:tcW w:w="1250"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9D607F">
                  <w:pPr>
                    <w:jc w:val="center"/>
                    <w:rPr>
                      <w:sz w:val="21"/>
                      <w:szCs w:val="21"/>
                    </w:rPr>
                  </w:pPr>
                  <w:r>
                    <w:rPr>
                      <w:rFonts w:hint="eastAsia"/>
                      <w:sz w:val="21"/>
                      <w:szCs w:val="21"/>
                    </w:rPr>
                    <w:t>6.5~8.0</w:t>
                  </w:r>
                </w:p>
              </w:tc>
              <w:tc>
                <w:tcPr>
                  <w:tcW w:w="1250"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78BBFBA">
                  <w:pPr>
                    <w:jc w:val="center"/>
                    <w:rPr>
                      <w:sz w:val="21"/>
                      <w:szCs w:val="21"/>
                    </w:rPr>
                  </w:pPr>
                  <w:r>
                    <w:rPr>
                      <w:rFonts w:hint="eastAsia"/>
                      <w:sz w:val="21"/>
                      <w:szCs w:val="21"/>
                    </w:rPr>
                    <w:t>4402.17</w:t>
                  </w:r>
                </w:p>
              </w:tc>
              <w:tc>
                <w:tcPr>
                  <w:tcW w:w="1251"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47295E">
                  <w:pPr>
                    <w:jc w:val="center"/>
                    <w:rPr>
                      <w:sz w:val="21"/>
                      <w:szCs w:val="21"/>
                    </w:rPr>
                  </w:pPr>
                  <w:r>
                    <w:rPr>
                      <w:rFonts w:hint="eastAsia"/>
                      <w:sz w:val="21"/>
                      <w:szCs w:val="21"/>
                    </w:rPr>
                    <w:t>20.00</w:t>
                  </w:r>
                </w:p>
              </w:tc>
            </w:tr>
          </w:tbl>
          <w:p w14:paraId="418FEF7A">
            <w:pPr>
              <w:spacing w:line="360" w:lineRule="auto"/>
              <w:ind w:firstLine="480" w:firstLineChars="200"/>
              <w:rPr>
                <w:color w:val="auto"/>
              </w:rPr>
            </w:pPr>
            <w:r>
              <w:rPr>
                <w:rFonts w:hint="eastAsia"/>
                <w:color w:val="auto"/>
              </w:rPr>
              <w:t>（3）洗井废水</w:t>
            </w:r>
          </w:p>
          <w:p w14:paraId="49E2E49A">
            <w:pPr>
              <w:spacing w:line="360" w:lineRule="auto"/>
              <w:ind w:firstLine="480" w:firstLineChars="200"/>
              <w:rPr>
                <w:color w:val="auto"/>
              </w:rPr>
            </w:pPr>
            <w:r>
              <w:rPr>
                <w:rFonts w:hint="eastAsia"/>
                <w:color w:val="auto"/>
              </w:rPr>
              <w:t>洗井废水产生量随钻井周期、钻井深度和难度而异。钻井废水主要包括冲洗钻平台及设备产生的废水和冲洗钻井岩屑产生的废水，主要污染物为悬浮物、COD、石油类。根据公用工程供水计算结果，</w:t>
            </w:r>
            <w:r>
              <w:rPr>
                <w:rFonts w:hint="eastAsia"/>
                <w:color w:val="auto"/>
                <w:kern w:val="0"/>
                <w:szCs w:val="21"/>
              </w:rPr>
              <w:t>本项目6口井洗井废水产生量为1080m</w:t>
            </w:r>
            <w:r>
              <w:rPr>
                <w:rFonts w:hint="eastAsia"/>
                <w:color w:val="auto"/>
                <w:kern w:val="0"/>
                <w:szCs w:val="21"/>
                <w:vertAlign w:val="superscript"/>
              </w:rPr>
              <w:t>3</w:t>
            </w:r>
            <w:r>
              <w:rPr>
                <w:rFonts w:hint="eastAsia"/>
                <w:color w:val="auto"/>
                <w:kern w:val="0"/>
                <w:szCs w:val="21"/>
              </w:rPr>
              <w:t>，</w:t>
            </w:r>
            <w:r>
              <w:rPr>
                <w:rFonts w:hint="eastAsia"/>
                <w:color w:val="auto"/>
              </w:rPr>
              <w:t>大部分循环利用，循环水水量为</w:t>
            </w:r>
            <w:r>
              <w:rPr>
                <w:rFonts w:hint="eastAsia"/>
                <w:color w:val="auto"/>
                <w:lang w:val="en-US" w:eastAsia="zh-CN"/>
              </w:rPr>
              <w:t>1023.36</w:t>
            </w:r>
            <w:r>
              <w:rPr>
                <w:rFonts w:hint="eastAsia"/>
                <w:color w:val="auto"/>
              </w:rPr>
              <w:t>m</w:t>
            </w:r>
            <w:r>
              <w:rPr>
                <w:rFonts w:hint="eastAsia"/>
                <w:color w:val="auto"/>
                <w:vertAlign w:val="superscript"/>
              </w:rPr>
              <w:t>3</w:t>
            </w:r>
            <w:r>
              <w:rPr>
                <w:rFonts w:hint="eastAsia"/>
                <w:color w:val="auto"/>
              </w:rPr>
              <w:t>，洗井废水排放量</w:t>
            </w:r>
            <w:r>
              <w:rPr>
                <w:color w:val="auto"/>
              </w:rPr>
              <w:t>56.84</w:t>
            </w:r>
            <w:r>
              <w:rPr>
                <w:rFonts w:hint="eastAsia"/>
                <w:color w:val="auto"/>
              </w:rPr>
              <w:t>m</w:t>
            </w:r>
            <w:r>
              <w:rPr>
                <w:rFonts w:hint="eastAsia"/>
                <w:color w:val="auto"/>
                <w:vertAlign w:val="superscript"/>
              </w:rPr>
              <w:t>3</w:t>
            </w:r>
            <w:r>
              <w:rPr>
                <w:rFonts w:hint="eastAsia"/>
                <w:color w:val="auto"/>
                <w:kern w:val="0"/>
                <w:szCs w:val="21"/>
              </w:rPr>
              <w:t>。</w:t>
            </w:r>
            <w:r>
              <w:rPr>
                <w:rFonts w:hint="eastAsia"/>
                <w:color w:val="auto"/>
              </w:rPr>
              <w:t>根据建设单位资料，化学需氧量34679g/井，石油类6122g/井，则</w:t>
            </w:r>
            <w:r>
              <w:rPr>
                <w:rFonts w:hint="eastAsia"/>
                <w:color w:val="auto"/>
                <w:lang w:val="en-US" w:eastAsia="zh-CN"/>
              </w:rPr>
              <w:t>洗井</w:t>
            </w:r>
            <w:r>
              <w:rPr>
                <w:rFonts w:hint="eastAsia"/>
                <w:color w:val="auto"/>
              </w:rPr>
              <w:t>废水中化学需氧量192.66mg/L，石油类34.01mg/L。参考韩丽、黄勤等人关于《污水中悬浮物与化学需氧量的关系》的研究，矿业污水悬浮物与化学需氧量呈现直线回归关系，直线方程：Y=0.6709X-5.3932式中Y为化学需氧量，X为悬浮物，则SS为295.20mg/L。洗</w:t>
            </w:r>
            <w:r>
              <w:rPr>
                <w:rFonts w:hint="eastAsia"/>
                <w:color w:val="auto"/>
                <w:kern w:val="0"/>
                <w:szCs w:val="21"/>
              </w:rPr>
              <w:t>井废水在污水池暂存后回用，不外排。</w:t>
            </w:r>
          </w:p>
          <w:p w14:paraId="6DDF0DB0">
            <w:pPr>
              <w:spacing w:line="360" w:lineRule="auto"/>
              <w:ind w:firstLine="480" w:firstLineChars="200"/>
              <w:rPr>
                <w:color w:val="auto"/>
              </w:rPr>
            </w:pPr>
            <w:r>
              <w:rPr>
                <w:rFonts w:hint="eastAsia"/>
                <w:color w:val="auto"/>
              </w:rPr>
              <w:t>洗井作业产生的废水水质情况见下表。</w:t>
            </w:r>
          </w:p>
          <w:p w14:paraId="211D18B1">
            <w:pPr>
              <w:spacing w:line="360" w:lineRule="auto"/>
              <w:jc w:val="center"/>
              <w:rPr>
                <w:rFonts w:hint="eastAsia"/>
                <w:b/>
                <w:bCs/>
                <w:color w:val="auto"/>
              </w:rPr>
            </w:pPr>
            <w:r>
              <w:rPr>
                <w:rFonts w:hint="eastAsia"/>
                <w:b/>
                <w:bCs/>
                <w:color w:val="auto"/>
              </w:rPr>
              <w:t>表4-3 洗井作业废水产生情况表  单位：mg/L</w:t>
            </w:r>
          </w:p>
          <w:tbl>
            <w:tblPr>
              <w:tblStyle w:val="20"/>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691"/>
              <w:gridCol w:w="1586"/>
              <w:gridCol w:w="1814"/>
              <w:gridCol w:w="1984"/>
              <w:gridCol w:w="1423"/>
            </w:tblGrid>
            <w:tr w14:paraId="7A8B61F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4490C99">
                  <w:pPr>
                    <w:jc w:val="center"/>
                    <w:rPr>
                      <w:rFonts w:cs="宋体"/>
                      <w:b/>
                      <w:color w:val="auto"/>
                      <w:sz w:val="21"/>
                      <w:szCs w:val="21"/>
                    </w:rPr>
                  </w:pPr>
                  <w:r>
                    <w:rPr>
                      <w:rFonts w:hint="eastAsia" w:cs="宋体"/>
                      <w:b/>
                      <w:color w:val="auto"/>
                      <w:sz w:val="21"/>
                      <w:szCs w:val="21"/>
                    </w:rPr>
                    <w:t>废水产生量</w:t>
                  </w:r>
                </w:p>
              </w:tc>
              <w:tc>
                <w:tcPr>
                  <w:tcW w:w="4004" w:type="pct"/>
                  <w:gridSpan w:val="4"/>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17542AB">
                  <w:pPr>
                    <w:jc w:val="center"/>
                    <w:rPr>
                      <w:rFonts w:cs="宋体"/>
                      <w:b/>
                      <w:color w:val="auto"/>
                      <w:sz w:val="21"/>
                      <w:szCs w:val="21"/>
                    </w:rPr>
                  </w:pPr>
                  <w:r>
                    <w:rPr>
                      <w:rFonts w:hint="eastAsia" w:cs="宋体"/>
                      <w:b/>
                      <w:color w:val="auto"/>
                      <w:sz w:val="21"/>
                      <w:szCs w:val="21"/>
                    </w:rPr>
                    <w:t>主要污染物浓度</w:t>
                  </w:r>
                </w:p>
              </w:tc>
            </w:tr>
            <w:tr w14:paraId="3ED198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3A9514">
                  <w:pPr>
                    <w:jc w:val="center"/>
                    <w:rPr>
                      <w:rFonts w:cs="宋体"/>
                      <w:color w:val="auto"/>
                      <w:sz w:val="21"/>
                      <w:szCs w:val="21"/>
                    </w:rPr>
                  </w:pPr>
                  <w:r>
                    <w:rPr>
                      <w:rFonts w:hint="eastAsia" w:cs="宋体"/>
                      <w:color w:val="auto"/>
                      <w:sz w:val="21"/>
                      <w:szCs w:val="21"/>
                    </w:rPr>
                    <w:t>1080m</w:t>
                  </w:r>
                  <w:r>
                    <w:rPr>
                      <w:rFonts w:hint="eastAsia" w:cs="宋体"/>
                      <w:color w:val="auto"/>
                      <w:sz w:val="21"/>
                      <w:szCs w:val="21"/>
                      <w:vertAlign w:val="superscript"/>
                    </w:rPr>
                    <w:t>3</w:t>
                  </w: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75F169">
                  <w:pPr>
                    <w:jc w:val="center"/>
                    <w:rPr>
                      <w:rFonts w:cs="宋体"/>
                      <w:color w:val="auto"/>
                      <w:sz w:val="21"/>
                      <w:szCs w:val="21"/>
                    </w:rPr>
                  </w:pPr>
                  <w:r>
                    <w:rPr>
                      <w:rFonts w:hint="eastAsia" w:cs="宋体"/>
                      <w:color w:val="auto"/>
                      <w:sz w:val="21"/>
                      <w:szCs w:val="21"/>
                    </w:rPr>
                    <w:t>pH</w:t>
                  </w:r>
                </w:p>
              </w:tc>
              <w:tc>
                <w:tcPr>
                  <w:tcW w:w="106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1BB3E7C">
                  <w:pPr>
                    <w:jc w:val="center"/>
                    <w:rPr>
                      <w:rFonts w:cs="宋体"/>
                      <w:color w:val="auto"/>
                      <w:sz w:val="21"/>
                      <w:szCs w:val="21"/>
                    </w:rPr>
                  </w:pPr>
                  <w:r>
                    <w:rPr>
                      <w:rFonts w:hint="eastAsia" w:cs="宋体"/>
                      <w:color w:val="auto"/>
                      <w:sz w:val="21"/>
                      <w:szCs w:val="21"/>
                    </w:rPr>
                    <w:t>COD（</w:t>
                  </w:r>
                  <w:r>
                    <w:rPr>
                      <w:rFonts w:hint="eastAsia"/>
                      <w:color w:val="auto"/>
                      <w:kern w:val="0"/>
                      <w:szCs w:val="21"/>
                    </w:rPr>
                    <w:t>mg/L</w:t>
                  </w:r>
                  <w:r>
                    <w:rPr>
                      <w:rFonts w:hint="eastAsia" w:cs="宋体"/>
                      <w:color w:val="auto"/>
                      <w:sz w:val="21"/>
                      <w:szCs w:val="21"/>
                    </w:rPr>
                    <w:t>）</w:t>
                  </w:r>
                </w:p>
              </w:tc>
              <w:tc>
                <w:tcPr>
                  <w:tcW w:w="116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758DFE7">
                  <w:pPr>
                    <w:jc w:val="center"/>
                    <w:rPr>
                      <w:rFonts w:cs="宋体"/>
                      <w:color w:val="auto"/>
                      <w:sz w:val="21"/>
                      <w:szCs w:val="21"/>
                    </w:rPr>
                  </w:pPr>
                  <w:r>
                    <w:rPr>
                      <w:rFonts w:hint="eastAsia" w:cs="宋体"/>
                      <w:color w:val="auto"/>
                      <w:sz w:val="21"/>
                      <w:szCs w:val="21"/>
                    </w:rPr>
                    <w:t>石油类（</w:t>
                  </w:r>
                  <w:r>
                    <w:rPr>
                      <w:rFonts w:hint="eastAsia"/>
                      <w:color w:val="auto"/>
                      <w:kern w:val="0"/>
                      <w:szCs w:val="21"/>
                    </w:rPr>
                    <w:t>mg/L</w:t>
                  </w:r>
                  <w:r>
                    <w:rPr>
                      <w:rFonts w:hint="eastAsia" w:cs="宋体"/>
                      <w:color w:val="auto"/>
                      <w:sz w:val="21"/>
                      <w:szCs w:val="21"/>
                    </w:rPr>
                    <w:t>）</w:t>
                  </w:r>
                </w:p>
              </w:tc>
              <w:tc>
                <w:tcPr>
                  <w:tcW w:w="836"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929E5A">
                  <w:pPr>
                    <w:jc w:val="center"/>
                    <w:rPr>
                      <w:rFonts w:cs="宋体"/>
                      <w:color w:val="auto"/>
                      <w:sz w:val="21"/>
                      <w:szCs w:val="21"/>
                    </w:rPr>
                  </w:pPr>
                  <w:r>
                    <w:rPr>
                      <w:rFonts w:hint="eastAsia" w:cs="宋体"/>
                      <w:color w:val="auto"/>
                      <w:sz w:val="21"/>
                      <w:szCs w:val="21"/>
                    </w:rPr>
                    <w:t>SS（</w:t>
                  </w:r>
                  <w:r>
                    <w:rPr>
                      <w:rFonts w:hint="eastAsia"/>
                      <w:color w:val="auto"/>
                      <w:kern w:val="0"/>
                      <w:szCs w:val="21"/>
                    </w:rPr>
                    <w:t>mg/L</w:t>
                  </w:r>
                  <w:r>
                    <w:rPr>
                      <w:rFonts w:hint="eastAsia" w:cs="宋体"/>
                      <w:color w:val="auto"/>
                      <w:sz w:val="21"/>
                      <w:szCs w:val="21"/>
                    </w:rPr>
                    <w:t>）</w:t>
                  </w:r>
                </w:p>
              </w:tc>
            </w:tr>
            <w:tr w14:paraId="7C157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9E26301">
                  <w:pPr>
                    <w:jc w:val="center"/>
                    <w:rPr>
                      <w:rFonts w:cs="宋体"/>
                      <w:color w:val="auto"/>
                      <w:sz w:val="21"/>
                      <w:szCs w:val="21"/>
                    </w:rPr>
                  </w:pPr>
                </w:p>
              </w:tc>
              <w:tc>
                <w:tcPr>
                  <w:tcW w:w="93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CFCD57C">
                  <w:pPr>
                    <w:jc w:val="center"/>
                    <w:rPr>
                      <w:rFonts w:cs="宋体"/>
                      <w:color w:val="auto"/>
                      <w:sz w:val="21"/>
                      <w:szCs w:val="21"/>
                    </w:rPr>
                  </w:pPr>
                  <w:r>
                    <w:rPr>
                      <w:rFonts w:hint="eastAsia" w:cs="宋体"/>
                      <w:color w:val="auto"/>
                      <w:sz w:val="21"/>
                      <w:szCs w:val="21"/>
                    </w:rPr>
                    <w:t>6.5~8.0</w:t>
                  </w:r>
                </w:p>
              </w:tc>
              <w:tc>
                <w:tcPr>
                  <w:tcW w:w="106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96D1C3">
                  <w:pPr>
                    <w:jc w:val="center"/>
                    <w:rPr>
                      <w:rFonts w:cs="宋体"/>
                      <w:color w:val="auto"/>
                      <w:sz w:val="21"/>
                      <w:szCs w:val="21"/>
                    </w:rPr>
                  </w:pPr>
                  <w:r>
                    <w:rPr>
                      <w:rFonts w:hint="eastAsia" w:cs="宋体"/>
                      <w:color w:val="auto"/>
                      <w:sz w:val="21"/>
                      <w:szCs w:val="21"/>
                    </w:rPr>
                    <w:t>192.66</w:t>
                  </w:r>
                </w:p>
              </w:tc>
              <w:tc>
                <w:tcPr>
                  <w:tcW w:w="116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6F9E5E8">
                  <w:pPr>
                    <w:jc w:val="center"/>
                    <w:rPr>
                      <w:rFonts w:cs="宋体"/>
                      <w:color w:val="auto"/>
                      <w:sz w:val="21"/>
                      <w:szCs w:val="21"/>
                    </w:rPr>
                  </w:pPr>
                  <w:r>
                    <w:rPr>
                      <w:rFonts w:hint="eastAsia" w:cs="宋体"/>
                      <w:color w:val="auto"/>
                      <w:sz w:val="21"/>
                      <w:szCs w:val="21"/>
                    </w:rPr>
                    <w:t>34.01</w:t>
                  </w:r>
                </w:p>
              </w:tc>
              <w:tc>
                <w:tcPr>
                  <w:tcW w:w="836"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BF5B45F">
                  <w:pPr>
                    <w:jc w:val="center"/>
                    <w:rPr>
                      <w:rFonts w:cs="宋体"/>
                      <w:color w:val="auto"/>
                      <w:sz w:val="21"/>
                      <w:szCs w:val="21"/>
                    </w:rPr>
                  </w:pPr>
                  <w:r>
                    <w:rPr>
                      <w:rFonts w:hint="eastAsia" w:cs="宋体"/>
                      <w:color w:val="auto"/>
                      <w:sz w:val="21"/>
                      <w:szCs w:val="21"/>
                    </w:rPr>
                    <w:t>295.20</w:t>
                  </w:r>
                </w:p>
              </w:tc>
            </w:tr>
          </w:tbl>
          <w:p w14:paraId="5EAD643F">
            <w:pPr>
              <w:spacing w:line="360" w:lineRule="auto"/>
              <w:ind w:firstLine="480" w:firstLineChars="200"/>
              <w:rPr>
                <w:rFonts w:hint="eastAsia"/>
                <w:color w:val="auto"/>
              </w:rPr>
            </w:pPr>
            <w:r>
              <w:rPr>
                <w:rFonts w:hint="eastAsia"/>
                <w:color w:val="auto"/>
              </w:rPr>
              <w:t>（4）管道试压废水</w:t>
            </w:r>
          </w:p>
          <w:p w14:paraId="3CEBA6D2">
            <w:pPr>
              <w:spacing w:line="360" w:lineRule="auto"/>
              <w:ind w:firstLine="480" w:firstLineChars="200"/>
              <w:rPr>
                <w:color w:val="auto"/>
              </w:rPr>
            </w:pPr>
            <w:r>
              <w:rPr>
                <w:rFonts w:hint="eastAsia"/>
                <w:color w:val="auto"/>
              </w:rPr>
              <w:t>储层改造工程中需要进行生产套管固井质量检测、试压，对生产套管和套管头整体试压，项目注水管线试压介质为清水，试压过程会产生试压废水，预计试压废水量为120m</w:t>
            </w:r>
            <w:r>
              <w:rPr>
                <w:rFonts w:hint="eastAsia"/>
                <w:color w:val="auto"/>
                <w:vertAlign w:val="superscript"/>
              </w:rPr>
              <w:t>3</w:t>
            </w:r>
            <w:r>
              <w:rPr>
                <w:rFonts w:hint="eastAsia"/>
                <w:color w:val="auto"/>
              </w:rPr>
              <w:t>，主要污染物为SS，试压废水经收集后用于井场施工期洒水，无废水排放。</w:t>
            </w:r>
          </w:p>
          <w:p w14:paraId="376B8947">
            <w:pPr>
              <w:spacing w:line="360" w:lineRule="auto"/>
              <w:ind w:firstLine="480" w:firstLineChars="200"/>
              <w:rPr>
                <w:rFonts w:hint="eastAsia"/>
                <w:color w:val="auto"/>
              </w:rPr>
            </w:pPr>
            <w:r>
              <w:rPr>
                <w:rFonts w:hint="eastAsia"/>
                <w:color w:val="auto"/>
              </w:rPr>
              <w:t>（5）压裂返排液</w:t>
            </w:r>
          </w:p>
          <w:p w14:paraId="5FEC1979">
            <w:pPr>
              <w:spacing w:line="360" w:lineRule="auto"/>
              <w:ind w:firstLine="480" w:firstLineChars="200"/>
              <w:rPr>
                <w:color w:val="auto"/>
              </w:rPr>
            </w:pPr>
            <w:r>
              <w:rPr>
                <w:rFonts w:hint="eastAsia"/>
                <w:bCs/>
                <w:color w:val="auto"/>
              </w:rPr>
              <w:t>根据调查</w:t>
            </w:r>
            <w:r>
              <w:rPr>
                <w:bCs/>
                <w:color w:val="auto"/>
              </w:rPr>
              <w:t>页岩气生产分为排采期、相对稳产期、递减期、低压低产期4个生产阶段，</w:t>
            </w:r>
            <w:r>
              <w:rPr>
                <w:rFonts w:hint="eastAsia"/>
                <w:bCs/>
                <w:color w:val="auto"/>
              </w:rPr>
              <w:t>压裂完毕后进行试采作业，试采过程中会产生压裂返排液。</w:t>
            </w:r>
            <w:r>
              <w:rPr>
                <w:rFonts w:hint="eastAsia"/>
                <w:color w:val="auto"/>
              </w:rPr>
              <w:t>本项目压裂液由其他井区返排液、废水和平台内配置取的新鲜水组成。根据公用工程供水计算结果，本项目压裂施工预计压裂液总用量为262500</w:t>
            </w:r>
            <w:r>
              <w:rPr>
                <w:color w:val="auto"/>
              </w:rPr>
              <w:t>m</w:t>
            </w:r>
            <w:r>
              <w:rPr>
                <w:color w:val="auto"/>
                <w:vertAlign w:val="superscript"/>
              </w:rPr>
              <w:t>3</w:t>
            </w:r>
            <w:r>
              <w:rPr>
                <w:rFonts w:hint="eastAsia"/>
                <w:color w:val="auto"/>
              </w:rPr>
              <w:t>，压裂返排液产生量为78750</w:t>
            </w:r>
            <w:r>
              <w:rPr>
                <w:color w:val="auto"/>
              </w:rPr>
              <w:t>m</w:t>
            </w:r>
            <w:r>
              <w:rPr>
                <w:color w:val="auto"/>
                <w:vertAlign w:val="superscript"/>
              </w:rPr>
              <w:t>3</w:t>
            </w:r>
            <w:r>
              <w:rPr>
                <w:rFonts w:hint="eastAsia"/>
                <w:color w:val="auto"/>
              </w:rPr>
              <w:t>。</w:t>
            </w:r>
          </w:p>
          <w:p w14:paraId="0A487B23">
            <w:pPr>
              <w:spacing w:line="360" w:lineRule="auto"/>
              <w:ind w:firstLine="480" w:firstLineChars="200"/>
              <w:rPr>
                <w:color w:val="auto"/>
              </w:rPr>
            </w:pPr>
            <w:r>
              <w:rPr>
                <w:rFonts w:hint="eastAsia"/>
                <w:color w:val="auto"/>
              </w:rPr>
              <w:t>本项目使用的压裂液与本片井区桂融页2-1HF井的压裂液相同，故参考桂融页2-1HF井压裂放排液检测结果（见</w:t>
            </w:r>
            <w:r>
              <w:rPr>
                <w:rFonts w:hint="eastAsia"/>
                <w:b/>
                <w:bCs/>
                <w:color w:val="auto"/>
              </w:rPr>
              <w:t>附件1</w:t>
            </w:r>
            <w:r>
              <w:rPr>
                <w:b/>
                <w:bCs/>
                <w:color w:val="auto"/>
              </w:rPr>
              <w:t>2</w:t>
            </w:r>
            <w:r>
              <w:rPr>
                <w:rFonts w:hint="eastAsia"/>
                <w:color w:val="auto"/>
              </w:rPr>
              <w:t>）。压裂返排液中检测物质浓度如下：氯化物20.2mg/L、总氮1.95mg/L、总磷0.621mg/L、可溶性固体192mg/L、亚硝酸盐氮0.085mg/L、氨氮1.81mg/L、石油类1.72mg/L、COD 151mg/L、钡15.4</w:t>
            </w:r>
            <w:r>
              <w:rPr>
                <w:color w:val="auto"/>
              </w:rPr>
              <w:t>μ</w:t>
            </w:r>
            <w:r>
              <w:rPr>
                <w:rFonts w:hint="eastAsia"/>
                <w:color w:val="auto"/>
              </w:rPr>
              <w:t>g/L、锶281</w:t>
            </w:r>
            <w:r>
              <w:rPr>
                <w:color w:val="auto"/>
              </w:rPr>
              <w:t>μ</w:t>
            </w:r>
            <w:r>
              <w:rPr>
                <w:rFonts w:hint="eastAsia"/>
                <w:color w:val="auto"/>
              </w:rPr>
              <w:t>g/L、锂0.29</w:t>
            </w:r>
            <w:r>
              <w:rPr>
                <w:color w:val="auto"/>
              </w:rPr>
              <w:t>μ</w:t>
            </w:r>
            <w:r>
              <w:rPr>
                <w:rFonts w:hint="eastAsia"/>
                <w:color w:val="auto"/>
              </w:rPr>
              <w:t>g/L、硼21.8</w:t>
            </w:r>
            <w:r>
              <w:rPr>
                <w:color w:val="auto"/>
              </w:rPr>
              <w:t>μ</w:t>
            </w:r>
            <w:r>
              <w:rPr>
                <w:rFonts w:hint="eastAsia"/>
                <w:color w:val="auto"/>
              </w:rPr>
              <w:t>g/L、砷0.9</w:t>
            </w:r>
            <w:r>
              <w:rPr>
                <w:color w:val="auto"/>
              </w:rPr>
              <w:t>μ</w:t>
            </w:r>
            <w:r>
              <w:rPr>
                <w:rFonts w:hint="eastAsia"/>
                <w:color w:val="auto"/>
              </w:rPr>
              <w:t>g/L、铅0.16</w:t>
            </w:r>
            <w:r>
              <w:rPr>
                <w:color w:val="auto"/>
              </w:rPr>
              <w:t>μ</w:t>
            </w:r>
            <w:r>
              <w:rPr>
                <w:rFonts w:hint="eastAsia"/>
                <w:color w:val="auto"/>
              </w:rPr>
              <w:t>g/L、铬1.64</w:t>
            </w:r>
            <w:r>
              <w:rPr>
                <w:color w:val="auto"/>
              </w:rPr>
              <w:t>μ</w:t>
            </w:r>
            <w:r>
              <w:rPr>
                <w:rFonts w:hint="eastAsia"/>
                <w:color w:val="auto"/>
              </w:rPr>
              <w:t>g/L。</w:t>
            </w:r>
          </w:p>
          <w:p w14:paraId="19A89667">
            <w:pPr>
              <w:spacing w:line="360" w:lineRule="auto"/>
              <w:ind w:firstLine="480" w:firstLineChars="200"/>
              <w:rPr>
                <w:color w:val="auto"/>
              </w:rPr>
            </w:pPr>
            <w:r>
              <w:rPr>
                <w:rFonts w:hint="eastAsia"/>
                <w:color w:val="auto"/>
              </w:rPr>
              <w:t>本项目产生主要污染物的量分别为氯化物1.59t、总氮15.36t、总磷0.049t、可溶性固体15.12t、亚硝酸盐氮0.0067t、氨氮0.14t、石油类0.14t、COD 11.89t、钡0.0012t、锶0.022t、锂0.000023t、硼0.0017t、砷0.000071t、铅0.000013t、铬0.000129t。</w:t>
            </w:r>
          </w:p>
          <w:p w14:paraId="739EB918">
            <w:pPr>
              <w:spacing w:line="360" w:lineRule="auto"/>
              <w:ind w:firstLine="480" w:firstLineChars="200"/>
              <w:rPr>
                <w:color w:val="auto"/>
              </w:rPr>
            </w:pPr>
            <w:r>
              <w:rPr>
                <w:rFonts w:hint="eastAsia"/>
                <w:color w:val="auto"/>
              </w:rPr>
              <w:t>压裂返排液先在本平台井站回用，收集于循环罐区，项目开工前将于与有资质的污水处理单位签订协议，不能回用时定期通过罐车运输压裂返排液至污水处理单位进行处理。</w:t>
            </w:r>
          </w:p>
          <w:p w14:paraId="2B2FB918">
            <w:pPr>
              <w:spacing w:line="360" w:lineRule="auto"/>
              <w:ind w:firstLine="480" w:firstLineChars="200"/>
              <w:rPr>
                <w:bCs/>
                <w:color w:val="auto"/>
              </w:rPr>
            </w:pPr>
            <w:r>
              <w:rPr>
                <w:rFonts w:hint="eastAsia"/>
                <w:bCs/>
                <w:color w:val="auto"/>
              </w:rPr>
              <w:t>（6）生活污水</w:t>
            </w:r>
          </w:p>
          <w:p w14:paraId="4257CFFE">
            <w:pPr>
              <w:spacing w:line="360" w:lineRule="auto"/>
              <w:ind w:firstLine="480" w:firstLineChars="200"/>
              <w:rPr>
                <w:color w:val="auto"/>
              </w:rPr>
            </w:pPr>
            <w:r>
              <w:rPr>
                <w:rFonts w:hint="eastAsia"/>
                <w:color w:val="auto"/>
              </w:rPr>
              <w:t>根据公用工程供水计算结果，</w:t>
            </w:r>
            <w:r>
              <w:rPr>
                <w:rFonts w:hint="eastAsia"/>
                <w:color w:val="auto"/>
                <w:lang w:bidi="ar"/>
              </w:rPr>
              <w:t>施工人员生活用水总用量为3810m</w:t>
            </w:r>
            <w:r>
              <w:rPr>
                <w:rFonts w:hint="eastAsia"/>
                <w:color w:val="auto"/>
                <w:vertAlign w:val="superscript"/>
                <w:lang w:bidi="ar"/>
              </w:rPr>
              <w:t>3</w:t>
            </w:r>
            <w:r>
              <w:rPr>
                <w:rFonts w:hint="eastAsia"/>
                <w:color w:val="auto"/>
                <w:lang w:bidi="ar"/>
              </w:rPr>
              <w:t>，生活污水产生量为3048m</w:t>
            </w:r>
            <w:r>
              <w:rPr>
                <w:rFonts w:hint="eastAsia"/>
                <w:color w:val="auto"/>
                <w:vertAlign w:val="superscript"/>
                <w:lang w:bidi="ar"/>
              </w:rPr>
              <w:t>3</w:t>
            </w:r>
            <w:r>
              <w:rPr>
                <w:color w:val="auto"/>
              </w:rPr>
              <w:t>，</w:t>
            </w:r>
            <w:r>
              <w:rPr>
                <w:rFonts w:hint="eastAsia"/>
                <w:color w:val="auto"/>
              </w:rPr>
              <w:t>则本项目其主要污染物产生及排放情况见下表。</w:t>
            </w:r>
          </w:p>
          <w:p w14:paraId="3DD317DE">
            <w:pPr>
              <w:spacing w:line="360" w:lineRule="auto"/>
              <w:jc w:val="center"/>
              <w:rPr>
                <w:b/>
                <w:bCs/>
                <w:color w:val="auto"/>
              </w:rPr>
            </w:pPr>
            <w:r>
              <w:rPr>
                <w:rFonts w:hint="eastAsia"/>
                <w:b/>
                <w:bCs/>
                <w:color w:val="auto"/>
              </w:rPr>
              <w:t>表4-4 项目施工期生活污水产生及排放情况一览表</w:t>
            </w:r>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Layout w:type="autofit"/>
              <w:tblCellMar>
                <w:top w:w="0" w:type="dxa"/>
                <w:left w:w="108" w:type="dxa"/>
                <w:bottom w:w="0" w:type="dxa"/>
                <w:right w:w="108" w:type="dxa"/>
              </w:tblCellMar>
            </w:tblPr>
            <w:tblGrid>
              <w:gridCol w:w="2122"/>
              <w:gridCol w:w="1451"/>
              <w:gridCol w:w="1639"/>
              <w:gridCol w:w="1629"/>
              <w:gridCol w:w="1659"/>
            </w:tblGrid>
            <w:tr w14:paraId="517FC523">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40" w:hRule="exact"/>
                <w:tblHeader/>
                <w:jc w:val="center"/>
              </w:trPr>
              <w:tc>
                <w:tcPr>
                  <w:tcW w:w="124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6477C42">
                  <w:pPr>
                    <w:jc w:val="center"/>
                    <w:rPr>
                      <w:b/>
                      <w:bCs/>
                      <w:color w:val="auto"/>
                      <w:sz w:val="21"/>
                      <w:szCs w:val="21"/>
                    </w:rPr>
                  </w:pPr>
                  <w:r>
                    <w:rPr>
                      <w:b/>
                      <w:bCs/>
                      <w:color w:val="auto"/>
                      <w:sz w:val="21"/>
                      <w:szCs w:val="21"/>
                    </w:rPr>
                    <w:t>项目</w:t>
                  </w:r>
                </w:p>
              </w:tc>
              <w:tc>
                <w:tcPr>
                  <w:tcW w:w="85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76DD4C">
                  <w:pPr>
                    <w:jc w:val="center"/>
                    <w:rPr>
                      <w:b/>
                      <w:bCs/>
                      <w:color w:val="auto"/>
                      <w:sz w:val="21"/>
                      <w:szCs w:val="21"/>
                    </w:rPr>
                  </w:pPr>
                  <w:r>
                    <w:rPr>
                      <w:b/>
                      <w:bCs/>
                      <w:color w:val="auto"/>
                      <w:sz w:val="21"/>
                      <w:szCs w:val="21"/>
                    </w:rPr>
                    <w:t>COD</w:t>
                  </w:r>
                  <w:r>
                    <w:rPr>
                      <w:b/>
                      <w:bCs/>
                      <w:color w:val="auto"/>
                      <w:sz w:val="21"/>
                      <w:szCs w:val="21"/>
                      <w:vertAlign w:val="subscript"/>
                    </w:rPr>
                    <w:t>cr</w:t>
                  </w:r>
                </w:p>
              </w:tc>
              <w:tc>
                <w:tcPr>
                  <w:tcW w:w="964"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1486F8">
                  <w:pPr>
                    <w:jc w:val="center"/>
                    <w:rPr>
                      <w:b/>
                      <w:bCs/>
                      <w:color w:val="auto"/>
                      <w:sz w:val="21"/>
                      <w:szCs w:val="21"/>
                    </w:rPr>
                  </w:pPr>
                  <w:r>
                    <w:rPr>
                      <w:b/>
                      <w:bCs/>
                      <w:color w:val="auto"/>
                      <w:sz w:val="21"/>
                      <w:szCs w:val="21"/>
                    </w:rPr>
                    <w:t>BOD</w:t>
                  </w:r>
                  <w:r>
                    <w:rPr>
                      <w:b/>
                      <w:bCs/>
                      <w:color w:val="auto"/>
                      <w:sz w:val="21"/>
                      <w:szCs w:val="21"/>
                      <w:vertAlign w:val="subscript"/>
                    </w:rPr>
                    <w:t>5</w:t>
                  </w:r>
                </w:p>
              </w:tc>
              <w:tc>
                <w:tcPr>
                  <w:tcW w:w="95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8ADA8C">
                  <w:pPr>
                    <w:jc w:val="center"/>
                    <w:rPr>
                      <w:b/>
                      <w:bCs/>
                      <w:color w:val="auto"/>
                      <w:sz w:val="21"/>
                      <w:szCs w:val="21"/>
                    </w:rPr>
                  </w:pPr>
                  <w:r>
                    <w:rPr>
                      <w:b/>
                      <w:bCs/>
                      <w:color w:val="auto"/>
                      <w:sz w:val="21"/>
                      <w:szCs w:val="21"/>
                    </w:rPr>
                    <w:t>S</w:t>
                  </w:r>
                  <w:r>
                    <w:rPr>
                      <w:rFonts w:hint="eastAsia"/>
                      <w:b/>
                      <w:bCs/>
                      <w:color w:val="auto"/>
                      <w:sz w:val="21"/>
                      <w:szCs w:val="21"/>
                    </w:rPr>
                    <w:t>S</w:t>
                  </w:r>
                </w:p>
              </w:tc>
              <w:tc>
                <w:tcPr>
                  <w:tcW w:w="97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EEE979">
                  <w:pPr>
                    <w:jc w:val="center"/>
                    <w:rPr>
                      <w:b/>
                      <w:bCs/>
                      <w:color w:val="auto"/>
                      <w:sz w:val="21"/>
                      <w:szCs w:val="21"/>
                    </w:rPr>
                  </w:pPr>
                  <w:r>
                    <w:rPr>
                      <w:b/>
                      <w:bCs/>
                      <w:color w:val="auto"/>
                      <w:sz w:val="21"/>
                      <w:szCs w:val="21"/>
                    </w:rPr>
                    <w:t>NH</w:t>
                  </w:r>
                  <w:r>
                    <w:rPr>
                      <w:b/>
                      <w:bCs/>
                      <w:color w:val="auto"/>
                      <w:sz w:val="21"/>
                      <w:szCs w:val="21"/>
                      <w:vertAlign w:val="subscript"/>
                    </w:rPr>
                    <w:t>3</w:t>
                  </w:r>
                  <w:r>
                    <w:rPr>
                      <w:b/>
                      <w:bCs/>
                      <w:color w:val="auto"/>
                      <w:sz w:val="21"/>
                      <w:szCs w:val="21"/>
                    </w:rPr>
                    <w:t>-N</w:t>
                  </w:r>
                </w:p>
              </w:tc>
            </w:tr>
            <w:tr w14:paraId="0A84D0D8">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124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BAA50F">
                  <w:pPr>
                    <w:widowControl/>
                    <w:jc w:val="center"/>
                    <w:textAlignment w:val="center"/>
                    <w:rPr>
                      <w:color w:val="auto"/>
                      <w:sz w:val="21"/>
                      <w:szCs w:val="21"/>
                    </w:rPr>
                  </w:pPr>
                  <w:r>
                    <w:rPr>
                      <w:rFonts w:hint="eastAsia" w:ascii="宋体" w:hAnsi="宋体" w:cs="宋体"/>
                      <w:color w:val="auto"/>
                      <w:kern w:val="0"/>
                      <w:sz w:val="21"/>
                      <w:szCs w:val="21"/>
                      <w:lang w:bidi="ar"/>
                    </w:rPr>
                    <w:t>产生浓度（</w:t>
                  </w:r>
                  <w:r>
                    <w:rPr>
                      <w:color w:val="auto"/>
                      <w:kern w:val="0"/>
                      <w:sz w:val="21"/>
                      <w:szCs w:val="21"/>
                      <w:lang w:bidi="ar"/>
                    </w:rPr>
                    <w:t>mg/L</w:t>
                  </w:r>
                  <w:r>
                    <w:rPr>
                      <w:rFonts w:hint="eastAsia" w:ascii="宋体" w:hAnsi="宋体" w:cs="宋体"/>
                      <w:color w:val="auto"/>
                      <w:kern w:val="0"/>
                      <w:sz w:val="21"/>
                      <w:szCs w:val="21"/>
                      <w:lang w:bidi="ar"/>
                    </w:rPr>
                    <w:t>）</w:t>
                  </w:r>
                </w:p>
              </w:tc>
              <w:tc>
                <w:tcPr>
                  <w:tcW w:w="85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5B0604">
                  <w:pPr>
                    <w:widowControl/>
                    <w:jc w:val="center"/>
                    <w:textAlignment w:val="center"/>
                    <w:rPr>
                      <w:color w:val="auto"/>
                      <w:sz w:val="21"/>
                      <w:szCs w:val="21"/>
                    </w:rPr>
                  </w:pPr>
                  <w:r>
                    <w:rPr>
                      <w:color w:val="auto"/>
                      <w:kern w:val="0"/>
                      <w:sz w:val="21"/>
                      <w:szCs w:val="21"/>
                      <w:lang w:bidi="ar"/>
                    </w:rPr>
                    <w:t>300</w:t>
                  </w:r>
                </w:p>
              </w:tc>
              <w:tc>
                <w:tcPr>
                  <w:tcW w:w="964"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B02B1EC">
                  <w:pPr>
                    <w:widowControl/>
                    <w:jc w:val="center"/>
                    <w:textAlignment w:val="center"/>
                    <w:rPr>
                      <w:color w:val="auto"/>
                      <w:sz w:val="21"/>
                      <w:szCs w:val="21"/>
                    </w:rPr>
                  </w:pPr>
                  <w:r>
                    <w:rPr>
                      <w:rFonts w:hint="eastAsia"/>
                      <w:color w:val="auto"/>
                      <w:kern w:val="0"/>
                      <w:sz w:val="21"/>
                      <w:szCs w:val="21"/>
                      <w:lang w:bidi="ar"/>
                    </w:rPr>
                    <w:t>250</w:t>
                  </w:r>
                </w:p>
              </w:tc>
              <w:tc>
                <w:tcPr>
                  <w:tcW w:w="95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170AF49">
                  <w:pPr>
                    <w:widowControl/>
                    <w:jc w:val="center"/>
                    <w:textAlignment w:val="center"/>
                    <w:rPr>
                      <w:color w:val="auto"/>
                      <w:sz w:val="21"/>
                      <w:szCs w:val="21"/>
                    </w:rPr>
                  </w:pPr>
                  <w:r>
                    <w:rPr>
                      <w:rFonts w:hint="eastAsia"/>
                      <w:color w:val="auto"/>
                      <w:sz w:val="21"/>
                      <w:szCs w:val="21"/>
                    </w:rPr>
                    <w:t>250</w:t>
                  </w:r>
                </w:p>
              </w:tc>
              <w:tc>
                <w:tcPr>
                  <w:tcW w:w="97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01436F">
                  <w:pPr>
                    <w:widowControl/>
                    <w:jc w:val="center"/>
                    <w:textAlignment w:val="center"/>
                    <w:rPr>
                      <w:color w:val="auto"/>
                      <w:sz w:val="21"/>
                      <w:szCs w:val="21"/>
                    </w:rPr>
                  </w:pPr>
                  <w:r>
                    <w:rPr>
                      <w:rFonts w:hint="eastAsia"/>
                      <w:color w:val="auto"/>
                      <w:sz w:val="21"/>
                      <w:szCs w:val="21"/>
                    </w:rPr>
                    <w:t>20</w:t>
                  </w:r>
                </w:p>
              </w:tc>
            </w:tr>
            <w:tr w14:paraId="63AC828F">
              <w:tblPrEx>
                <w:tblBorders>
                  <w:top w:val="single" w:color="auto" w:sz="8" w:space="0"/>
                  <w:left w:val="single" w:color="auto" w:sz="8" w:space="0"/>
                  <w:bottom w:val="single" w:color="auto" w:sz="8" w:space="0"/>
                  <w:right w:val="single" w:color="auto" w:sz="8" w:space="0"/>
                  <w:insideH w:val="single" w:color="auto" w:sz="2" w:space="0"/>
                  <w:insideV w:val="single" w:color="auto" w:sz="2" w:space="0"/>
                </w:tblBorders>
                <w:tblCellMar>
                  <w:top w:w="0" w:type="dxa"/>
                  <w:left w:w="108" w:type="dxa"/>
                  <w:bottom w:w="0" w:type="dxa"/>
                  <w:right w:w="108" w:type="dxa"/>
                </w:tblCellMar>
              </w:tblPrEx>
              <w:trPr>
                <w:trHeight w:val="340" w:hRule="exact"/>
                <w:jc w:val="center"/>
              </w:trPr>
              <w:tc>
                <w:tcPr>
                  <w:tcW w:w="124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4CA7F1">
                  <w:pPr>
                    <w:widowControl/>
                    <w:jc w:val="center"/>
                    <w:textAlignment w:val="center"/>
                    <w:rPr>
                      <w:color w:val="auto"/>
                      <w:sz w:val="21"/>
                      <w:szCs w:val="21"/>
                      <w:lang w:bidi="ar"/>
                    </w:rPr>
                  </w:pPr>
                  <w:r>
                    <w:rPr>
                      <w:rFonts w:hint="eastAsia"/>
                      <w:color w:val="auto"/>
                      <w:sz w:val="21"/>
                      <w:szCs w:val="21"/>
                      <w:lang w:bidi="ar"/>
                    </w:rPr>
                    <w:t>总产生量（t）</w:t>
                  </w:r>
                </w:p>
              </w:tc>
              <w:tc>
                <w:tcPr>
                  <w:tcW w:w="853"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BD3883E">
                  <w:pPr>
                    <w:widowControl/>
                    <w:jc w:val="center"/>
                    <w:textAlignment w:val="center"/>
                    <w:rPr>
                      <w:color w:val="auto"/>
                      <w:kern w:val="0"/>
                      <w:sz w:val="21"/>
                      <w:szCs w:val="21"/>
                      <w:lang w:bidi="ar"/>
                    </w:rPr>
                  </w:pPr>
                  <w:r>
                    <w:rPr>
                      <w:rFonts w:hint="eastAsia"/>
                      <w:color w:val="auto"/>
                      <w:kern w:val="0"/>
                      <w:sz w:val="21"/>
                      <w:szCs w:val="21"/>
                      <w:lang w:bidi="ar"/>
                    </w:rPr>
                    <w:t>0.914</w:t>
                  </w:r>
                </w:p>
              </w:tc>
              <w:tc>
                <w:tcPr>
                  <w:tcW w:w="964"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D1E7522">
                  <w:pPr>
                    <w:widowControl/>
                    <w:jc w:val="center"/>
                    <w:textAlignment w:val="center"/>
                    <w:rPr>
                      <w:color w:val="auto"/>
                      <w:kern w:val="0"/>
                      <w:sz w:val="21"/>
                      <w:szCs w:val="21"/>
                      <w:lang w:bidi="ar"/>
                    </w:rPr>
                  </w:pPr>
                  <w:r>
                    <w:rPr>
                      <w:rFonts w:hint="eastAsia"/>
                      <w:color w:val="auto"/>
                      <w:kern w:val="0"/>
                      <w:sz w:val="21"/>
                      <w:szCs w:val="21"/>
                      <w:lang w:bidi="ar"/>
                    </w:rPr>
                    <w:t>0.762</w:t>
                  </w:r>
                </w:p>
              </w:tc>
              <w:tc>
                <w:tcPr>
                  <w:tcW w:w="958"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480858C">
                  <w:pPr>
                    <w:widowControl/>
                    <w:jc w:val="center"/>
                    <w:textAlignment w:val="center"/>
                    <w:rPr>
                      <w:color w:val="auto"/>
                      <w:kern w:val="0"/>
                      <w:sz w:val="21"/>
                      <w:szCs w:val="21"/>
                      <w:lang w:bidi="ar"/>
                    </w:rPr>
                  </w:pPr>
                  <w:r>
                    <w:rPr>
                      <w:rFonts w:hint="eastAsia"/>
                      <w:color w:val="auto"/>
                      <w:kern w:val="0"/>
                      <w:sz w:val="21"/>
                      <w:szCs w:val="21"/>
                      <w:lang w:bidi="ar"/>
                    </w:rPr>
                    <w:t>0.762</w:t>
                  </w:r>
                </w:p>
              </w:tc>
              <w:tc>
                <w:tcPr>
                  <w:tcW w:w="97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9030CA">
                  <w:pPr>
                    <w:widowControl/>
                    <w:jc w:val="center"/>
                    <w:textAlignment w:val="center"/>
                    <w:rPr>
                      <w:color w:val="auto"/>
                      <w:kern w:val="0"/>
                      <w:sz w:val="21"/>
                      <w:szCs w:val="21"/>
                      <w:lang w:bidi="ar"/>
                    </w:rPr>
                  </w:pPr>
                  <w:r>
                    <w:rPr>
                      <w:rFonts w:hint="eastAsia"/>
                      <w:color w:val="auto"/>
                      <w:kern w:val="0"/>
                      <w:sz w:val="21"/>
                      <w:szCs w:val="21"/>
                      <w:lang w:bidi="ar"/>
                    </w:rPr>
                    <w:t>0.061</w:t>
                  </w:r>
                </w:p>
              </w:tc>
            </w:tr>
          </w:tbl>
          <w:p w14:paraId="6C19853C">
            <w:pPr>
              <w:spacing w:line="360" w:lineRule="auto"/>
              <w:ind w:firstLine="480" w:firstLineChars="200"/>
              <w:rPr>
                <w:color w:val="auto"/>
              </w:rPr>
            </w:pPr>
            <w:r>
              <w:rPr>
                <w:rFonts w:hint="eastAsia"/>
                <w:color w:val="auto"/>
              </w:rPr>
              <w:t>项目开工前与项目在开工前与污水处理单位签订协议，</w:t>
            </w:r>
            <w:r>
              <w:rPr>
                <w:color w:val="auto"/>
              </w:rPr>
              <w:t>生活污水经环保厕所收集处置后</w:t>
            </w:r>
            <w:r>
              <w:rPr>
                <w:rFonts w:hint="eastAsia"/>
                <w:color w:val="auto"/>
              </w:rPr>
              <w:t>定期拉运至当地有接收能力且环保手续齐备的生活污水处理厂（站）统一处理及排放。</w:t>
            </w:r>
          </w:p>
          <w:p w14:paraId="2A192E1B">
            <w:pPr>
              <w:spacing w:line="360" w:lineRule="auto"/>
              <w:rPr>
                <w:b/>
                <w:bCs/>
                <w:color w:val="auto"/>
              </w:rPr>
            </w:pPr>
            <w:r>
              <w:rPr>
                <w:rFonts w:hint="eastAsia"/>
                <w:b/>
                <w:bCs/>
                <w:color w:val="auto"/>
              </w:rPr>
              <w:t>3.3声环境影响分析</w:t>
            </w:r>
          </w:p>
          <w:p w14:paraId="47B65066">
            <w:pPr>
              <w:spacing w:line="360" w:lineRule="auto"/>
              <w:ind w:firstLine="480" w:firstLineChars="200"/>
              <w:rPr>
                <w:rFonts w:hint="eastAsia"/>
                <w:color w:val="auto"/>
              </w:rPr>
            </w:pPr>
            <w:r>
              <w:rPr>
                <w:rFonts w:hint="eastAsia"/>
                <w:color w:val="auto"/>
              </w:rPr>
              <w:t>（1）声环境源强</w:t>
            </w:r>
          </w:p>
          <w:p w14:paraId="677B23EF">
            <w:pPr>
              <w:spacing w:line="360" w:lineRule="auto"/>
              <w:ind w:firstLine="480" w:firstLineChars="200"/>
              <w:rPr>
                <w:rFonts w:hint="eastAsia"/>
                <w:color w:val="auto"/>
              </w:rPr>
            </w:pPr>
            <w:r>
              <w:rPr>
                <w:rFonts w:hint="eastAsia"/>
                <w:color w:val="auto"/>
              </w:rPr>
              <w:t>本项目钻井及完井工程主要噪声源包括钻井作业中的钻机、柴油机、钻井泵、振动筛等连续性机械噪声。施工期部分装置采取了消声、减震、软连接等降噪减震措施，有一定的降噪效果。钻井周期噪声源强如下表。</w:t>
            </w:r>
          </w:p>
          <w:p w14:paraId="41A63732">
            <w:pPr>
              <w:spacing w:line="360" w:lineRule="auto"/>
              <w:jc w:val="center"/>
              <w:rPr>
                <w:rFonts w:hint="eastAsia"/>
                <w:b/>
                <w:bCs/>
                <w:color w:val="auto"/>
              </w:rPr>
            </w:pPr>
            <w:r>
              <w:rPr>
                <w:rFonts w:hint="eastAsia"/>
                <w:b/>
                <w:bCs/>
                <w:color w:val="auto"/>
              </w:rPr>
              <w:t>表4-5 钻井周期生产设备噪声源强（室内声源）  单位：dB(A)</w:t>
            </w:r>
          </w:p>
          <w:tbl>
            <w:tblPr>
              <w:tblStyle w:val="19"/>
              <w:tblW w:w="4997"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Layout w:type="autofit"/>
              <w:tblCellMar>
                <w:top w:w="0" w:type="dxa"/>
                <w:left w:w="108" w:type="dxa"/>
                <w:bottom w:w="0" w:type="dxa"/>
                <w:right w:w="108" w:type="dxa"/>
              </w:tblCellMar>
            </w:tblPr>
            <w:tblGrid>
              <w:gridCol w:w="427"/>
              <w:gridCol w:w="427"/>
              <w:gridCol w:w="570"/>
              <w:gridCol w:w="790"/>
              <w:gridCol w:w="427"/>
              <w:gridCol w:w="794"/>
              <w:gridCol w:w="794"/>
              <w:gridCol w:w="357"/>
              <w:gridCol w:w="450"/>
              <w:gridCol w:w="790"/>
              <w:gridCol w:w="636"/>
              <w:gridCol w:w="791"/>
              <w:gridCol w:w="791"/>
              <w:gridCol w:w="451"/>
            </w:tblGrid>
            <w:tr w14:paraId="3CE9390A">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251" w:type="pct"/>
                  <w:vMerge w:val="restart"/>
                  <w:tcBorders>
                    <w:tl2br w:val="nil"/>
                    <w:tr2bl w:val="nil"/>
                  </w:tcBorders>
                  <w:vAlign w:val="center"/>
                </w:tcPr>
                <w:p w14:paraId="39968410">
                  <w:pPr>
                    <w:jc w:val="center"/>
                    <w:rPr>
                      <w:b/>
                      <w:bCs/>
                      <w:color w:val="auto"/>
                      <w:sz w:val="21"/>
                      <w:szCs w:val="21"/>
                    </w:rPr>
                  </w:pPr>
                  <w:r>
                    <w:rPr>
                      <w:b/>
                      <w:bCs/>
                      <w:color w:val="auto"/>
                      <w:sz w:val="21"/>
                      <w:szCs w:val="21"/>
                    </w:rPr>
                    <w:t>序号</w:t>
                  </w:r>
                </w:p>
              </w:tc>
              <w:tc>
                <w:tcPr>
                  <w:tcW w:w="251" w:type="pct"/>
                  <w:vMerge w:val="restart"/>
                  <w:tcBorders>
                    <w:tl2br w:val="nil"/>
                    <w:tr2bl w:val="nil"/>
                  </w:tcBorders>
                  <w:vAlign w:val="center"/>
                </w:tcPr>
                <w:p w14:paraId="617FD23B">
                  <w:pPr>
                    <w:jc w:val="center"/>
                    <w:rPr>
                      <w:b/>
                      <w:bCs/>
                      <w:color w:val="auto"/>
                      <w:sz w:val="21"/>
                      <w:szCs w:val="21"/>
                    </w:rPr>
                  </w:pPr>
                  <w:r>
                    <w:rPr>
                      <w:b/>
                      <w:bCs/>
                      <w:color w:val="auto"/>
                      <w:sz w:val="21"/>
                      <w:szCs w:val="21"/>
                    </w:rPr>
                    <w:t>建筑物名称</w:t>
                  </w:r>
                </w:p>
              </w:tc>
              <w:tc>
                <w:tcPr>
                  <w:tcW w:w="612" w:type="pct"/>
                  <w:vMerge w:val="restart"/>
                  <w:tcBorders>
                    <w:tl2br w:val="nil"/>
                    <w:tr2bl w:val="nil"/>
                  </w:tcBorders>
                  <w:vAlign w:val="center"/>
                </w:tcPr>
                <w:p w14:paraId="4DE86E5E">
                  <w:pPr>
                    <w:jc w:val="center"/>
                    <w:rPr>
                      <w:b/>
                      <w:bCs/>
                      <w:color w:val="auto"/>
                      <w:sz w:val="21"/>
                      <w:szCs w:val="21"/>
                    </w:rPr>
                  </w:pPr>
                  <w:r>
                    <w:rPr>
                      <w:b/>
                      <w:bCs/>
                      <w:color w:val="auto"/>
                      <w:sz w:val="21"/>
                      <w:szCs w:val="21"/>
                    </w:rPr>
                    <w:t>声源名称</w:t>
                  </w:r>
                </w:p>
              </w:tc>
              <w:tc>
                <w:tcPr>
                  <w:tcW w:w="464" w:type="pct"/>
                  <w:tcBorders>
                    <w:tl2br w:val="nil"/>
                    <w:tr2bl w:val="nil"/>
                  </w:tcBorders>
                  <w:vAlign w:val="center"/>
                </w:tcPr>
                <w:p w14:paraId="2F15E3DB">
                  <w:pPr>
                    <w:jc w:val="center"/>
                    <w:rPr>
                      <w:b/>
                      <w:bCs/>
                      <w:color w:val="auto"/>
                      <w:sz w:val="21"/>
                      <w:szCs w:val="21"/>
                    </w:rPr>
                  </w:pPr>
                  <w:r>
                    <w:rPr>
                      <w:b/>
                      <w:bCs/>
                      <w:color w:val="auto"/>
                      <w:sz w:val="21"/>
                      <w:szCs w:val="21"/>
                    </w:rPr>
                    <w:t>声源源强</w:t>
                  </w:r>
                </w:p>
              </w:tc>
              <w:tc>
                <w:tcPr>
                  <w:tcW w:w="251" w:type="pct"/>
                  <w:vMerge w:val="restart"/>
                  <w:tcBorders>
                    <w:tl2br w:val="nil"/>
                    <w:tr2bl w:val="nil"/>
                  </w:tcBorders>
                  <w:vAlign w:val="center"/>
                </w:tcPr>
                <w:p w14:paraId="04FCF23E">
                  <w:pPr>
                    <w:jc w:val="center"/>
                    <w:rPr>
                      <w:b/>
                      <w:bCs/>
                      <w:color w:val="auto"/>
                      <w:sz w:val="21"/>
                      <w:szCs w:val="21"/>
                    </w:rPr>
                  </w:pPr>
                  <w:r>
                    <w:rPr>
                      <w:b/>
                      <w:bCs/>
                      <w:color w:val="auto"/>
                      <w:sz w:val="21"/>
                      <w:szCs w:val="21"/>
                    </w:rPr>
                    <w:t>声源控制措施</w:t>
                  </w:r>
                </w:p>
              </w:tc>
              <w:tc>
                <w:tcPr>
                  <w:tcW w:w="859" w:type="pct"/>
                  <w:gridSpan w:val="3"/>
                  <w:tcBorders>
                    <w:tl2br w:val="nil"/>
                    <w:tr2bl w:val="nil"/>
                  </w:tcBorders>
                  <w:vAlign w:val="center"/>
                </w:tcPr>
                <w:p w14:paraId="0CBDDB2C">
                  <w:pPr>
                    <w:jc w:val="center"/>
                    <w:rPr>
                      <w:b/>
                      <w:bCs/>
                      <w:color w:val="auto"/>
                      <w:sz w:val="21"/>
                      <w:szCs w:val="21"/>
                    </w:rPr>
                  </w:pPr>
                  <w:r>
                    <w:rPr>
                      <w:b/>
                      <w:bCs/>
                      <w:color w:val="auto"/>
                      <w:sz w:val="21"/>
                      <w:szCs w:val="21"/>
                    </w:rPr>
                    <w:t>空间相对位置/m</w:t>
                  </w:r>
                </w:p>
              </w:tc>
              <w:tc>
                <w:tcPr>
                  <w:tcW w:w="264" w:type="pct"/>
                  <w:vMerge w:val="restart"/>
                  <w:tcBorders>
                    <w:tl2br w:val="nil"/>
                    <w:tr2bl w:val="nil"/>
                  </w:tcBorders>
                  <w:vAlign w:val="center"/>
                </w:tcPr>
                <w:p w14:paraId="421817D9">
                  <w:pPr>
                    <w:jc w:val="center"/>
                    <w:rPr>
                      <w:b/>
                      <w:bCs/>
                      <w:color w:val="auto"/>
                      <w:sz w:val="21"/>
                      <w:szCs w:val="21"/>
                    </w:rPr>
                  </w:pPr>
                  <w:r>
                    <w:rPr>
                      <w:b/>
                      <w:bCs/>
                      <w:color w:val="auto"/>
                      <w:sz w:val="21"/>
                      <w:szCs w:val="21"/>
                    </w:rPr>
                    <w:t>距室内边界距离/m</w:t>
                  </w:r>
                </w:p>
              </w:tc>
              <w:tc>
                <w:tcPr>
                  <w:tcW w:w="464" w:type="pct"/>
                  <w:vMerge w:val="restart"/>
                  <w:tcBorders>
                    <w:tl2br w:val="nil"/>
                    <w:tr2bl w:val="nil"/>
                  </w:tcBorders>
                  <w:vAlign w:val="center"/>
                </w:tcPr>
                <w:p w14:paraId="26DA190D">
                  <w:pPr>
                    <w:jc w:val="center"/>
                    <w:rPr>
                      <w:b/>
                      <w:bCs/>
                      <w:color w:val="auto"/>
                      <w:sz w:val="21"/>
                      <w:szCs w:val="21"/>
                    </w:rPr>
                  </w:pPr>
                  <w:r>
                    <w:rPr>
                      <w:b/>
                      <w:bCs/>
                      <w:color w:val="auto"/>
                      <w:sz w:val="21"/>
                      <w:szCs w:val="21"/>
                    </w:rPr>
                    <w:t>室内边界声级（dB（A）</w:t>
                  </w:r>
                </w:p>
              </w:tc>
              <w:tc>
                <w:tcPr>
                  <w:tcW w:w="374" w:type="pct"/>
                  <w:vMerge w:val="restart"/>
                  <w:tcBorders>
                    <w:tl2br w:val="nil"/>
                    <w:tr2bl w:val="nil"/>
                  </w:tcBorders>
                  <w:vAlign w:val="center"/>
                </w:tcPr>
                <w:p w14:paraId="48195F1A">
                  <w:pPr>
                    <w:jc w:val="center"/>
                    <w:rPr>
                      <w:b/>
                      <w:bCs/>
                      <w:color w:val="auto"/>
                      <w:sz w:val="21"/>
                      <w:szCs w:val="21"/>
                    </w:rPr>
                  </w:pPr>
                  <w:r>
                    <w:rPr>
                      <w:b/>
                      <w:bCs/>
                      <w:color w:val="auto"/>
                      <w:sz w:val="21"/>
                      <w:szCs w:val="21"/>
                    </w:rPr>
                    <w:t>运行时段</w:t>
                  </w:r>
                </w:p>
              </w:tc>
              <w:tc>
                <w:tcPr>
                  <w:tcW w:w="464" w:type="pct"/>
                  <w:vMerge w:val="restart"/>
                  <w:tcBorders>
                    <w:tl2br w:val="nil"/>
                    <w:tr2bl w:val="nil"/>
                  </w:tcBorders>
                  <w:vAlign w:val="center"/>
                </w:tcPr>
                <w:p w14:paraId="47D2FC67">
                  <w:pPr>
                    <w:jc w:val="center"/>
                    <w:rPr>
                      <w:b/>
                      <w:bCs/>
                      <w:color w:val="auto"/>
                      <w:sz w:val="21"/>
                      <w:szCs w:val="21"/>
                    </w:rPr>
                  </w:pPr>
                  <w:r>
                    <w:rPr>
                      <w:b/>
                      <w:bCs/>
                      <w:color w:val="auto"/>
                      <w:sz w:val="21"/>
                      <w:szCs w:val="21"/>
                    </w:rPr>
                    <w:t>建筑物插入损失</w:t>
                  </w:r>
                </w:p>
                <w:p w14:paraId="5E4C3362">
                  <w:pPr>
                    <w:jc w:val="center"/>
                    <w:rPr>
                      <w:b/>
                      <w:bCs/>
                      <w:color w:val="auto"/>
                      <w:sz w:val="21"/>
                      <w:szCs w:val="21"/>
                    </w:rPr>
                  </w:pPr>
                  <w:r>
                    <w:rPr>
                      <w:b/>
                      <w:bCs/>
                      <w:color w:val="auto"/>
                      <w:sz w:val="21"/>
                      <w:szCs w:val="21"/>
                    </w:rPr>
                    <w:t>dB（A）</w:t>
                  </w:r>
                </w:p>
              </w:tc>
              <w:tc>
                <w:tcPr>
                  <w:tcW w:w="740" w:type="pct"/>
                  <w:gridSpan w:val="2"/>
                  <w:tcBorders>
                    <w:tl2br w:val="nil"/>
                    <w:tr2bl w:val="nil"/>
                  </w:tcBorders>
                  <w:vAlign w:val="center"/>
                </w:tcPr>
                <w:p w14:paraId="5F72C13B">
                  <w:pPr>
                    <w:jc w:val="center"/>
                    <w:rPr>
                      <w:b/>
                      <w:bCs/>
                      <w:color w:val="auto"/>
                      <w:sz w:val="21"/>
                      <w:szCs w:val="21"/>
                    </w:rPr>
                  </w:pPr>
                  <w:r>
                    <w:rPr>
                      <w:b/>
                      <w:bCs/>
                      <w:color w:val="auto"/>
                      <w:sz w:val="21"/>
                      <w:szCs w:val="21"/>
                    </w:rPr>
                    <w:t>建筑物外噪声</w:t>
                  </w:r>
                </w:p>
              </w:tc>
            </w:tr>
            <w:tr w14:paraId="1FB90C3C">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251" w:type="pct"/>
                  <w:vMerge w:val="continue"/>
                  <w:tcBorders>
                    <w:tl2br w:val="nil"/>
                    <w:tr2bl w:val="nil"/>
                  </w:tcBorders>
                  <w:vAlign w:val="center"/>
                </w:tcPr>
                <w:p w14:paraId="5D51F761">
                  <w:pPr>
                    <w:jc w:val="center"/>
                    <w:rPr>
                      <w:b/>
                      <w:bCs/>
                      <w:color w:val="auto"/>
                      <w:sz w:val="21"/>
                      <w:szCs w:val="21"/>
                    </w:rPr>
                  </w:pPr>
                </w:p>
              </w:tc>
              <w:tc>
                <w:tcPr>
                  <w:tcW w:w="251" w:type="pct"/>
                  <w:vMerge w:val="continue"/>
                  <w:tcBorders>
                    <w:tl2br w:val="nil"/>
                    <w:tr2bl w:val="nil"/>
                  </w:tcBorders>
                  <w:vAlign w:val="center"/>
                </w:tcPr>
                <w:p w14:paraId="636F23D6">
                  <w:pPr>
                    <w:jc w:val="center"/>
                    <w:rPr>
                      <w:b/>
                      <w:bCs/>
                      <w:color w:val="auto"/>
                      <w:sz w:val="21"/>
                      <w:szCs w:val="21"/>
                    </w:rPr>
                  </w:pPr>
                </w:p>
              </w:tc>
              <w:tc>
                <w:tcPr>
                  <w:tcW w:w="612" w:type="pct"/>
                  <w:vMerge w:val="continue"/>
                  <w:tcBorders>
                    <w:tl2br w:val="nil"/>
                    <w:tr2bl w:val="nil"/>
                  </w:tcBorders>
                  <w:vAlign w:val="center"/>
                </w:tcPr>
                <w:p w14:paraId="6948F017">
                  <w:pPr>
                    <w:jc w:val="center"/>
                    <w:rPr>
                      <w:b/>
                      <w:bCs/>
                      <w:color w:val="auto"/>
                      <w:sz w:val="21"/>
                      <w:szCs w:val="21"/>
                    </w:rPr>
                  </w:pPr>
                </w:p>
              </w:tc>
              <w:tc>
                <w:tcPr>
                  <w:tcW w:w="464" w:type="pct"/>
                  <w:tcBorders>
                    <w:tl2br w:val="nil"/>
                    <w:tr2bl w:val="nil"/>
                  </w:tcBorders>
                  <w:vAlign w:val="center"/>
                </w:tcPr>
                <w:p w14:paraId="2243E494">
                  <w:pPr>
                    <w:jc w:val="center"/>
                    <w:rPr>
                      <w:b/>
                      <w:bCs/>
                      <w:color w:val="auto"/>
                      <w:sz w:val="21"/>
                      <w:szCs w:val="21"/>
                    </w:rPr>
                  </w:pPr>
                  <w:r>
                    <w:rPr>
                      <w:b/>
                      <w:bCs/>
                      <w:color w:val="auto"/>
                      <w:sz w:val="21"/>
                      <w:szCs w:val="21"/>
                    </w:rPr>
                    <w:t>声功率级dB（A）</w:t>
                  </w:r>
                </w:p>
              </w:tc>
              <w:tc>
                <w:tcPr>
                  <w:tcW w:w="251" w:type="pct"/>
                  <w:vMerge w:val="continue"/>
                  <w:tcBorders>
                    <w:tl2br w:val="nil"/>
                    <w:tr2bl w:val="nil"/>
                  </w:tcBorders>
                  <w:vAlign w:val="center"/>
                </w:tcPr>
                <w:p w14:paraId="06A9B063">
                  <w:pPr>
                    <w:jc w:val="center"/>
                    <w:rPr>
                      <w:b/>
                      <w:bCs/>
                      <w:color w:val="auto"/>
                      <w:sz w:val="21"/>
                      <w:szCs w:val="21"/>
                    </w:rPr>
                  </w:pPr>
                </w:p>
              </w:tc>
              <w:tc>
                <w:tcPr>
                  <w:tcW w:w="315" w:type="pct"/>
                  <w:tcBorders>
                    <w:tl2br w:val="nil"/>
                    <w:tr2bl w:val="nil"/>
                  </w:tcBorders>
                  <w:vAlign w:val="center"/>
                </w:tcPr>
                <w:p w14:paraId="0BE64DC9">
                  <w:pPr>
                    <w:jc w:val="center"/>
                    <w:rPr>
                      <w:b/>
                      <w:bCs/>
                      <w:color w:val="auto"/>
                      <w:sz w:val="21"/>
                      <w:szCs w:val="21"/>
                    </w:rPr>
                  </w:pPr>
                  <w:r>
                    <w:rPr>
                      <w:b/>
                      <w:bCs/>
                      <w:color w:val="auto"/>
                      <w:sz w:val="21"/>
                      <w:szCs w:val="21"/>
                    </w:rPr>
                    <w:t>X</w:t>
                  </w:r>
                </w:p>
              </w:tc>
              <w:tc>
                <w:tcPr>
                  <w:tcW w:w="333" w:type="pct"/>
                  <w:tcBorders>
                    <w:tl2br w:val="nil"/>
                    <w:tr2bl w:val="nil"/>
                  </w:tcBorders>
                  <w:vAlign w:val="center"/>
                </w:tcPr>
                <w:p w14:paraId="4CF2EF3B">
                  <w:pPr>
                    <w:jc w:val="center"/>
                    <w:rPr>
                      <w:b/>
                      <w:bCs/>
                      <w:color w:val="auto"/>
                      <w:sz w:val="21"/>
                      <w:szCs w:val="21"/>
                    </w:rPr>
                  </w:pPr>
                  <w:r>
                    <w:rPr>
                      <w:b/>
                      <w:bCs/>
                      <w:color w:val="auto"/>
                      <w:sz w:val="21"/>
                      <w:szCs w:val="21"/>
                    </w:rPr>
                    <w:t>Y</w:t>
                  </w:r>
                </w:p>
              </w:tc>
              <w:tc>
                <w:tcPr>
                  <w:tcW w:w="210" w:type="pct"/>
                  <w:tcBorders>
                    <w:tl2br w:val="nil"/>
                    <w:tr2bl w:val="nil"/>
                  </w:tcBorders>
                  <w:vAlign w:val="center"/>
                </w:tcPr>
                <w:p w14:paraId="62DC4D76">
                  <w:pPr>
                    <w:jc w:val="center"/>
                    <w:rPr>
                      <w:b/>
                      <w:bCs/>
                      <w:color w:val="auto"/>
                      <w:sz w:val="21"/>
                      <w:szCs w:val="21"/>
                    </w:rPr>
                  </w:pPr>
                  <w:r>
                    <w:rPr>
                      <w:b/>
                      <w:bCs/>
                      <w:color w:val="auto"/>
                      <w:sz w:val="21"/>
                      <w:szCs w:val="21"/>
                    </w:rPr>
                    <w:t>Z</w:t>
                  </w:r>
                </w:p>
              </w:tc>
              <w:tc>
                <w:tcPr>
                  <w:tcW w:w="264" w:type="pct"/>
                  <w:vMerge w:val="continue"/>
                  <w:tcBorders>
                    <w:tl2br w:val="nil"/>
                    <w:tr2bl w:val="nil"/>
                  </w:tcBorders>
                  <w:vAlign w:val="center"/>
                </w:tcPr>
                <w:p w14:paraId="4C094930">
                  <w:pPr>
                    <w:jc w:val="center"/>
                    <w:rPr>
                      <w:b/>
                      <w:bCs/>
                      <w:color w:val="auto"/>
                      <w:sz w:val="21"/>
                      <w:szCs w:val="21"/>
                    </w:rPr>
                  </w:pPr>
                </w:p>
              </w:tc>
              <w:tc>
                <w:tcPr>
                  <w:tcW w:w="464" w:type="pct"/>
                  <w:vMerge w:val="continue"/>
                  <w:tcBorders>
                    <w:tl2br w:val="nil"/>
                    <w:tr2bl w:val="nil"/>
                  </w:tcBorders>
                  <w:vAlign w:val="center"/>
                </w:tcPr>
                <w:p w14:paraId="7DB0565D">
                  <w:pPr>
                    <w:jc w:val="center"/>
                    <w:rPr>
                      <w:b/>
                      <w:bCs/>
                      <w:color w:val="auto"/>
                      <w:sz w:val="21"/>
                      <w:szCs w:val="21"/>
                    </w:rPr>
                  </w:pPr>
                </w:p>
              </w:tc>
              <w:tc>
                <w:tcPr>
                  <w:tcW w:w="374" w:type="pct"/>
                  <w:vMerge w:val="continue"/>
                  <w:tcBorders>
                    <w:tl2br w:val="nil"/>
                    <w:tr2bl w:val="nil"/>
                  </w:tcBorders>
                  <w:vAlign w:val="center"/>
                </w:tcPr>
                <w:p w14:paraId="0F66D720">
                  <w:pPr>
                    <w:jc w:val="center"/>
                    <w:rPr>
                      <w:b/>
                      <w:bCs/>
                      <w:color w:val="auto"/>
                      <w:sz w:val="21"/>
                      <w:szCs w:val="21"/>
                    </w:rPr>
                  </w:pPr>
                </w:p>
              </w:tc>
              <w:tc>
                <w:tcPr>
                  <w:tcW w:w="464" w:type="pct"/>
                  <w:vMerge w:val="continue"/>
                  <w:tcBorders>
                    <w:tl2br w:val="nil"/>
                    <w:tr2bl w:val="nil"/>
                  </w:tcBorders>
                  <w:vAlign w:val="center"/>
                </w:tcPr>
                <w:p w14:paraId="11177637">
                  <w:pPr>
                    <w:jc w:val="center"/>
                    <w:rPr>
                      <w:b/>
                      <w:bCs/>
                      <w:color w:val="auto"/>
                      <w:sz w:val="21"/>
                      <w:szCs w:val="21"/>
                    </w:rPr>
                  </w:pPr>
                </w:p>
              </w:tc>
              <w:tc>
                <w:tcPr>
                  <w:tcW w:w="464" w:type="pct"/>
                  <w:tcBorders>
                    <w:tl2br w:val="nil"/>
                    <w:tr2bl w:val="nil"/>
                  </w:tcBorders>
                  <w:vAlign w:val="center"/>
                </w:tcPr>
                <w:p w14:paraId="02639F35">
                  <w:pPr>
                    <w:jc w:val="center"/>
                    <w:rPr>
                      <w:b/>
                      <w:bCs/>
                      <w:color w:val="auto"/>
                      <w:sz w:val="21"/>
                      <w:szCs w:val="21"/>
                    </w:rPr>
                  </w:pPr>
                  <w:r>
                    <w:rPr>
                      <w:b/>
                      <w:bCs/>
                      <w:color w:val="auto"/>
                      <w:sz w:val="21"/>
                      <w:szCs w:val="21"/>
                    </w:rPr>
                    <w:t>声压级dB（A）</w:t>
                  </w:r>
                </w:p>
              </w:tc>
              <w:tc>
                <w:tcPr>
                  <w:tcW w:w="276" w:type="pct"/>
                  <w:tcBorders>
                    <w:tl2br w:val="nil"/>
                    <w:tr2bl w:val="nil"/>
                  </w:tcBorders>
                  <w:vAlign w:val="center"/>
                </w:tcPr>
                <w:p w14:paraId="4A823133">
                  <w:pPr>
                    <w:jc w:val="center"/>
                    <w:rPr>
                      <w:b/>
                      <w:bCs/>
                      <w:color w:val="auto"/>
                      <w:sz w:val="21"/>
                      <w:szCs w:val="21"/>
                    </w:rPr>
                  </w:pPr>
                  <w:r>
                    <w:rPr>
                      <w:b/>
                      <w:bCs/>
                      <w:color w:val="auto"/>
                      <w:sz w:val="21"/>
                      <w:szCs w:val="21"/>
                    </w:rPr>
                    <w:t>建筑物外距离/m</w:t>
                  </w:r>
                </w:p>
              </w:tc>
            </w:tr>
            <w:tr w14:paraId="09EDDE75">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251" w:type="pct"/>
                  <w:vMerge w:val="restart"/>
                  <w:tcBorders>
                    <w:tl2br w:val="nil"/>
                    <w:tr2bl w:val="nil"/>
                  </w:tcBorders>
                  <w:vAlign w:val="center"/>
                </w:tcPr>
                <w:p w14:paraId="09897C0F">
                  <w:pPr>
                    <w:jc w:val="center"/>
                    <w:rPr>
                      <w:color w:val="auto"/>
                      <w:sz w:val="21"/>
                      <w:szCs w:val="21"/>
                    </w:rPr>
                  </w:pPr>
                  <w:r>
                    <w:rPr>
                      <w:color w:val="auto"/>
                      <w:sz w:val="21"/>
                      <w:szCs w:val="21"/>
                    </w:rPr>
                    <w:t>1</w:t>
                  </w:r>
                </w:p>
              </w:tc>
              <w:tc>
                <w:tcPr>
                  <w:tcW w:w="251" w:type="pct"/>
                  <w:vMerge w:val="restart"/>
                  <w:tcBorders>
                    <w:tl2br w:val="nil"/>
                    <w:tr2bl w:val="nil"/>
                  </w:tcBorders>
                  <w:vAlign w:val="center"/>
                </w:tcPr>
                <w:p w14:paraId="3E12FC18">
                  <w:pPr>
                    <w:jc w:val="center"/>
                    <w:rPr>
                      <w:color w:val="auto"/>
                      <w:sz w:val="21"/>
                      <w:szCs w:val="21"/>
                    </w:rPr>
                  </w:pPr>
                  <w:r>
                    <w:rPr>
                      <w:rFonts w:hint="eastAsia"/>
                      <w:color w:val="auto"/>
                      <w:sz w:val="21"/>
                      <w:szCs w:val="21"/>
                    </w:rPr>
                    <w:t>发电机房</w:t>
                  </w:r>
                </w:p>
              </w:tc>
              <w:tc>
                <w:tcPr>
                  <w:tcW w:w="612" w:type="pct"/>
                  <w:tcBorders>
                    <w:tl2br w:val="nil"/>
                    <w:tr2bl w:val="nil"/>
                  </w:tcBorders>
                  <w:vAlign w:val="center"/>
                </w:tcPr>
                <w:p w14:paraId="76D0BA88">
                  <w:pPr>
                    <w:jc w:val="center"/>
                    <w:rPr>
                      <w:color w:val="auto"/>
                      <w:sz w:val="21"/>
                      <w:szCs w:val="21"/>
                    </w:rPr>
                  </w:pPr>
                  <w:r>
                    <w:rPr>
                      <w:color w:val="auto"/>
                      <w:sz w:val="21"/>
                      <w:szCs w:val="21"/>
                    </w:rPr>
                    <w:t>1#</w:t>
                  </w:r>
                  <w:r>
                    <w:rPr>
                      <w:rFonts w:hint="eastAsia"/>
                      <w:color w:val="auto"/>
                      <w:sz w:val="21"/>
                      <w:szCs w:val="21"/>
                    </w:rPr>
                    <w:t>柴油发电机</w:t>
                  </w:r>
                </w:p>
              </w:tc>
              <w:tc>
                <w:tcPr>
                  <w:tcW w:w="464" w:type="pct"/>
                  <w:tcBorders>
                    <w:tl2br w:val="nil"/>
                    <w:tr2bl w:val="nil"/>
                  </w:tcBorders>
                  <w:vAlign w:val="center"/>
                </w:tcPr>
                <w:p w14:paraId="54625BA4">
                  <w:pPr>
                    <w:jc w:val="center"/>
                    <w:rPr>
                      <w:color w:val="auto"/>
                      <w:sz w:val="21"/>
                      <w:szCs w:val="21"/>
                    </w:rPr>
                  </w:pPr>
                  <w:r>
                    <w:rPr>
                      <w:color w:val="auto"/>
                      <w:sz w:val="21"/>
                      <w:szCs w:val="21"/>
                    </w:rPr>
                    <w:t>80</w:t>
                  </w:r>
                </w:p>
              </w:tc>
              <w:tc>
                <w:tcPr>
                  <w:tcW w:w="251" w:type="pct"/>
                  <w:vMerge w:val="restart"/>
                  <w:tcBorders>
                    <w:tl2br w:val="nil"/>
                    <w:tr2bl w:val="nil"/>
                  </w:tcBorders>
                  <w:vAlign w:val="center"/>
                </w:tcPr>
                <w:p w14:paraId="6F9210C6">
                  <w:pPr>
                    <w:jc w:val="center"/>
                    <w:rPr>
                      <w:color w:val="auto"/>
                      <w:sz w:val="21"/>
                      <w:szCs w:val="21"/>
                    </w:rPr>
                  </w:pPr>
                  <w:r>
                    <w:rPr>
                      <w:color w:val="auto"/>
                      <w:sz w:val="21"/>
                      <w:szCs w:val="21"/>
                    </w:rPr>
                    <w:t>厂房隔声</w:t>
                  </w:r>
                </w:p>
              </w:tc>
              <w:tc>
                <w:tcPr>
                  <w:tcW w:w="315" w:type="pct"/>
                  <w:tcBorders>
                    <w:tl2br w:val="nil"/>
                    <w:tr2bl w:val="nil"/>
                  </w:tcBorders>
                  <w:vAlign w:val="center"/>
                </w:tcPr>
                <w:p w14:paraId="1EF7D91E">
                  <w:pPr>
                    <w:jc w:val="center"/>
                    <w:rPr>
                      <w:color w:val="auto"/>
                      <w:sz w:val="21"/>
                      <w:szCs w:val="21"/>
                    </w:rPr>
                  </w:pPr>
                  <w:r>
                    <w:rPr>
                      <w:rFonts w:hint="eastAsia"/>
                      <w:color w:val="auto"/>
                      <w:sz w:val="21"/>
                      <w:szCs w:val="21"/>
                    </w:rPr>
                    <w:t>159.26</w:t>
                  </w:r>
                </w:p>
              </w:tc>
              <w:tc>
                <w:tcPr>
                  <w:tcW w:w="333" w:type="pct"/>
                  <w:tcBorders>
                    <w:tl2br w:val="nil"/>
                    <w:tr2bl w:val="nil"/>
                  </w:tcBorders>
                  <w:vAlign w:val="center"/>
                </w:tcPr>
                <w:p w14:paraId="63C42204">
                  <w:pPr>
                    <w:jc w:val="center"/>
                    <w:rPr>
                      <w:color w:val="auto"/>
                      <w:sz w:val="21"/>
                      <w:szCs w:val="21"/>
                    </w:rPr>
                  </w:pPr>
                  <w:r>
                    <w:rPr>
                      <w:rFonts w:hint="eastAsia"/>
                      <w:color w:val="auto"/>
                      <w:sz w:val="21"/>
                      <w:szCs w:val="21"/>
                    </w:rPr>
                    <w:t>133.59</w:t>
                  </w:r>
                </w:p>
              </w:tc>
              <w:tc>
                <w:tcPr>
                  <w:tcW w:w="210" w:type="pct"/>
                  <w:tcBorders>
                    <w:tl2br w:val="nil"/>
                    <w:tr2bl w:val="nil"/>
                  </w:tcBorders>
                  <w:vAlign w:val="center"/>
                </w:tcPr>
                <w:p w14:paraId="575A7DB0">
                  <w:pPr>
                    <w:jc w:val="center"/>
                    <w:rPr>
                      <w:color w:val="auto"/>
                      <w:sz w:val="21"/>
                      <w:szCs w:val="21"/>
                    </w:rPr>
                  </w:pPr>
                  <w:r>
                    <w:rPr>
                      <w:color w:val="auto"/>
                      <w:sz w:val="21"/>
                      <w:szCs w:val="21"/>
                    </w:rPr>
                    <w:t>0</w:t>
                  </w:r>
                </w:p>
              </w:tc>
              <w:tc>
                <w:tcPr>
                  <w:tcW w:w="264" w:type="pct"/>
                  <w:tcBorders>
                    <w:tl2br w:val="nil"/>
                    <w:tr2bl w:val="nil"/>
                  </w:tcBorders>
                  <w:vAlign w:val="center"/>
                </w:tcPr>
                <w:p w14:paraId="32172CEC">
                  <w:pPr>
                    <w:jc w:val="center"/>
                    <w:rPr>
                      <w:color w:val="auto"/>
                      <w:sz w:val="21"/>
                      <w:szCs w:val="21"/>
                    </w:rPr>
                  </w:pPr>
                  <w:r>
                    <w:rPr>
                      <w:rFonts w:hint="eastAsia"/>
                      <w:color w:val="auto"/>
                      <w:sz w:val="21"/>
                      <w:szCs w:val="21"/>
                    </w:rPr>
                    <w:t>30</w:t>
                  </w:r>
                </w:p>
              </w:tc>
              <w:tc>
                <w:tcPr>
                  <w:tcW w:w="464" w:type="pct"/>
                  <w:tcBorders>
                    <w:tl2br w:val="nil"/>
                    <w:tr2bl w:val="nil"/>
                  </w:tcBorders>
                  <w:vAlign w:val="center"/>
                </w:tcPr>
                <w:p w14:paraId="2EF269AD">
                  <w:pPr>
                    <w:jc w:val="center"/>
                    <w:rPr>
                      <w:color w:val="auto"/>
                      <w:sz w:val="21"/>
                      <w:szCs w:val="21"/>
                    </w:rPr>
                  </w:pPr>
                  <w:r>
                    <w:rPr>
                      <w:color w:val="auto"/>
                      <w:sz w:val="21"/>
                      <w:szCs w:val="21"/>
                    </w:rPr>
                    <w:t>75</w:t>
                  </w:r>
                </w:p>
              </w:tc>
              <w:tc>
                <w:tcPr>
                  <w:tcW w:w="374" w:type="pct"/>
                  <w:tcBorders>
                    <w:tl2br w:val="nil"/>
                    <w:tr2bl w:val="nil"/>
                  </w:tcBorders>
                  <w:vAlign w:val="center"/>
                </w:tcPr>
                <w:p w14:paraId="58CA52E7">
                  <w:pPr>
                    <w:jc w:val="center"/>
                    <w:rPr>
                      <w:color w:val="auto"/>
                      <w:sz w:val="21"/>
                      <w:szCs w:val="21"/>
                    </w:rPr>
                  </w:pPr>
                  <w:r>
                    <w:rPr>
                      <w:rFonts w:hint="eastAsia"/>
                      <w:color w:val="auto"/>
                      <w:sz w:val="21"/>
                      <w:szCs w:val="21"/>
                    </w:rPr>
                    <w:t>昼间、夜间</w:t>
                  </w:r>
                </w:p>
              </w:tc>
              <w:tc>
                <w:tcPr>
                  <w:tcW w:w="464" w:type="pct"/>
                  <w:tcBorders>
                    <w:tl2br w:val="nil"/>
                    <w:tr2bl w:val="nil"/>
                  </w:tcBorders>
                  <w:vAlign w:val="center"/>
                </w:tcPr>
                <w:p w14:paraId="6AE6120A">
                  <w:pPr>
                    <w:jc w:val="center"/>
                    <w:rPr>
                      <w:color w:val="auto"/>
                      <w:sz w:val="21"/>
                      <w:szCs w:val="21"/>
                    </w:rPr>
                  </w:pPr>
                  <w:r>
                    <w:rPr>
                      <w:color w:val="auto"/>
                      <w:sz w:val="21"/>
                      <w:szCs w:val="21"/>
                    </w:rPr>
                    <w:t>10</w:t>
                  </w:r>
                </w:p>
              </w:tc>
              <w:tc>
                <w:tcPr>
                  <w:tcW w:w="464" w:type="pct"/>
                  <w:tcBorders>
                    <w:tl2br w:val="nil"/>
                    <w:tr2bl w:val="nil"/>
                  </w:tcBorders>
                  <w:vAlign w:val="center"/>
                </w:tcPr>
                <w:p w14:paraId="53B525E4">
                  <w:pPr>
                    <w:jc w:val="center"/>
                    <w:rPr>
                      <w:color w:val="auto"/>
                      <w:sz w:val="21"/>
                      <w:szCs w:val="21"/>
                    </w:rPr>
                  </w:pPr>
                  <w:r>
                    <w:rPr>
                      <w:color w:val="auto"/>
                      <w:sz w:val="21"/>
                      <w:szCs w:val="21"/>
                    </w:rPr>
                    <w:t>65</w:t>
                  </w:r>
                </w:p>
              </w:tc>
              <w:tc>
                <w:tcPr>
                  <w:tcW w:w="276" w:type="pct"/>
                  <w:tcBorders>
                    <w:tl2br w:val="nil"/>
                    <w:tr2bl w:val="nil"/>
                  </w:tcBorders>
                  <w:vAlign w:val="center"/>
                </w:tcPr>
                <w:p w14:paraId="1106545B">
                  <w:pPr>
                    <w:jc w:val="center"/>
                    <w:rPr>
                      <w:color w:val="auto"/>
                      <w:sz w:val="21"/>
                      <w:szCs w:val="21"/>
                    </w:rPr>
                  </w:pPr>
                  <w:r>
                    <w:rPr>
                      <w:color w:val="auto"/>
                      <w:sz w:val="21"/>
                      <w:szCs w:val="21"/>
                    </w:rPr>
                    <w:t>1</w:t>
                  </w:r>
                </w:p>
              </w:tc>
            </w:tr>
            <w:tr w14:paraId="6AF032A8">
              <w:tblPrEx>
                <w:tblBorders>
                  <w:top w:val="single" w:color="auto" w:sz="8" w:space="0"/>
                  <w:left w:val="single" w:color="auto" w:sz="8" w:space="0"/>
                  <w:bottom w:val="single" w:color="auto" w:sz="8" w:space="0"/>
                  <w:right w:val="single" w:color="auto" w:sz="8" w:space="0"/>
                  <w:insideH w:val="single" w:color="auto" w:sz="8" w:space="0"/>
                  <w:insideV w:val="single" w:color="auto" w:sz="4" w:space="0"/>
                </w:tblBorders>
                <w:tblCellMar>
                  <w:top w:w="0" w:type="dxa"/>
                  <w:left w:w="108" w:type="dxa"/>
                  <w:bottom w:w="0" w:type="dxa"/>
                  <w:right w:w="108" w:type="dxa"/>
                </w:tblCellMar>
              </w:tblPrEx>
              <w:trPr>
                <w:jc w:val="center"/>
              </w:trPr>
              <w:tc>
                <w:tcPr>
                  <w:tcW w:w="251" w:type="pct"/>
                  <w:vMerge w:val="continue"/>
                  <w:tcBorders>
                    <w:tl2br w:val="nil"/>
                    <w:tr2bl w:val="nil"/>
                  </w:tcBorders>
                  <w:vAlign w:val="center"/>
                </w:tcPr>
                <w:p w14:paraId="0E03000C">
                  <w:pPr>
                    <w:jc w:val="center"/>
                    <w:rPr>
                      <w:color w:val="auto"/>
                      <w:sz w:val="21"/>
                      <w:szCs w:val="21"/>
                    </w:rPr>
                  </w:pPr>
                </w:p>
              </w:tc>
              <w:tc>
                <w:tcPr>
                  <w:tcW w:w="251" w:type="pct"/>
                  <w:vMerge w:val="continue"/>
                  <w:tcBorders>
                    <w:tl2br w:val="nil"/>
                    <w:tr2bl w:val="nil"/>
                  </w:tcBorders>
                  <w:vAlign w:val="center"/>
                </w:tcPr>
                <w:p w14:paraId="7B26B752">
                  <w:pPr>
                    <w:jc w:val="center"/>
                    <w:rPr>
                      <w:color w:val="auto"/>
                      <w:sz w:val="21"/>
                      <w:szCs w:val="21"/>
                    </w:rPr>
                  </w:pPr>
                </w:p>
              </w:tc>
              <w:tc>
                <w:tcPr>
                  <w:tcW w:w="612" w:type="pct"/>
                  <w:tcBorders>
                    <w:tl2br w:val="nil"/>
                    <w:tr2bl w:val="nil"/>
                  </w:tcBorders>
                  <w:vAlign w:val="center"/>
                </w:tcPr>
                <w:p w14:paraId="4D9B9A78">
                  <w:pPr>
                    <w:jc w:val="center"/>
                    <w:rPr>
                      <w:color w:val="auto"/>
                      <w:sz w:val="21"/>
                      <w:szCs w:val="21"/>
                    </w:rPr>
                  </w:pPr>
                  <w:r>
                    <w:rPr>
                      <w:color w:val="auto"/>
                      <w:sz w:val="21"/>
                      <w:szCs w:val="21"/>
                    </w:rPr>
                    <w:t>2#</w:t>
                  </w:r>
                  <w:r>
                    <w:rPr>
                      <w:rFonts w:hint="eastAsia"/>
                      <w:color w:val="auto"/>
                      <w:sz w:val="21"/>
                      <w:szCs w:val="21"/>
                    </w:rPr>
                    <w:t>柴油发电机</w:t>
                  </w:r>
                </w:p>
              </w:tc>
              <w:tc>
                <w:tcPr>
                  <w:tcW w:w="464" w:type="pct"/>
                  <w:tcBorders>
                    <w:tl2br w:val="nil"/>
                    <w:tr2bl w:val="nil"/>
                  </w:tcBorders>
                  <w:vAlign w:val="center"/>
                </w:tcPr>
                <w:p w14:paraId="726D6BC5">
                  <w:pPr>
                    <w:jc w:val="center"/>
                    <w:rPr>
                      <w:color w:val="auto"/>
                      <w:sz w:val="21"/>
                      <w:szCs w:val="21"/>
                    </w:rPr>
                  </w:pPr>
                  <w:r>
                    <w:rPr>
                      <w:rFonts w:hint="eastAsia"/>
                      <w:color w:val="auto"/>
                      <w:sz w:val="21"/>
                      <w:szCs w:val="21"/>
                    </w:rPr>
                    <w:t>80</w:t>
                  </w:r>
                </w:p>
              </w:tc>
              <w:tc>
                <w:tcPr>
                  <w:tcW w:w="251" w:type="pct"/>
                  <w:vMerge w:val="continue"/>
                  <w:tcBorders>
                    <w:tl2br w:val="nil"/>
                    <w:tr2bl w:val="nil"/>
                  </w:tcBorders>
                  <w:vAlign w:val="center"/>
                </w:tcPr>
                <w:p w14:paraId="78720BDA">
                  <w:pPr>
                    <w:jc w:val="center"/>
                    <w:rPr>
                      <w:color w:val="auto"/>
                      <w:sz w:val="21"/>
                      <w:szCs w:val="21"/>
                    </w:rPr>
                  </w:pPr>
                </w:p>
              </w:tc>
              <w:tc>
                <w:tcPr>
                  <w:tcW w:w="315" w:type="pct"/>
                  <w:tcBorders>
                    <w:tl2br w:val="nil"/>
                    <w:tr2bl w:val="nil"/>
                  </w:tcBorders>
                  <w:vAlign w:val="center"/>
                </w:tcPr>
                <w:p w14:paraId="450790A6">
                  <w:pPr>
                    <w:jc w:val="center"/>
                    <w:rPr>
                      <w:color w:val="auto"/>
                      <w:sz w:val="21"/>
                      <w:szCs w:val="21"/>
                    </w:rPr>
                  </w:pPr>
                  <w:r>
                    <w:rPr>
                      <w:rFonts w:hint="eastAsia"/>
                      <w:color w:val="auto"/>
                      <w:sz w:val="21"/>
                      <w:szCs w:val="21"/>
                    </w:rPr>
                    <w:t>157.56</w:t>
                  </w:r>
                </w:p>
              </w:tc>
              <w:tc>
                <w:tcPr>
                  <w:tcW w:w="333" w:type="pct"/>
                  <w:tcBorders>
                    <w:tl2br w:val="nil"/>
                    <w:tr2bl w:val="nil"/>
                  </w:tcBorders>
                  <w:vAlign w:val="center"/>
                </w:tcPr>
                <w:p w14:paraId="4A44D06F">
                  <w:pPr>
                    <w:jc w:val="center"/>
                    <w:rPr>
                      <w:color w:val="auto"/>
                      <w:sz w:val="21"/>
                      <w:szCs w:val="21"/>
                    </w:rPr>
                  </w:pPr>
                  <w:r>
                    <w:rPr>
                      <w:rFonts w:hint="eastAsia"/>
                      <w:color w:val="auto"/>
                      <w:sz w:val="21"/>
                      <w:szCs w:val="21"/>
                    </w:rPr>
                    <w:t>128.64</w:t>
                  </w:r>
                </w:p>
              </w:tc>
              <w:tc>
                <w:tcPr>
                  <w:tcW w:w="210" w:type="pct"/>
                  <w:tcBorders>
                    <w:tl2br w:val="nil"/>
                    <w:tr2bl w:val="nil"/>
                  </w:tcBorders>
                  <w:vAlign w:val="center"/>
                </w:tcPr>
                <w:p w14:paraId="518C7E59">
                  <w:pPr>
                    <w:jc w:val="center"/>
                    <w:rPr>
                      <w:color w:val="auto"/>
                      <w:sz w:val="21"/>
                      <w:szCs w:val="21"/>
                    </w:rPr>
                  </w:pPr>
                  <w:r>
                    <w:rPr>
                      <w:color w:val="auto"/>
                      <w:sz w:val="21"/>
                      <w:szCs w:val="21"/>
                    </w:rPr>
                    <w:t>0</w:t>
                  </w:r>
                </w:p>
              </w:tc>
              <w:tc>
                <w:tcPr>
                  <w:tcW w:w="264" w:type="pct"/>
                  <w:tcBorders>
                    <w:tl2br w:val="nil"/>
                    <w:tr2bl w:val="nil"/>
                  </w:tcBorders>
                  <w:vAlign w:val="center"/>
                </w:tcPr>
                <w:p w14:paraId="2E5808FB">
                  <w:pPr>
                    <w:jc w:val="center"/>
                    <w:rPr>
                      <w:color w:val="auto"/>
                      <w:sz w:val="21"/>
                      <w:szCs w:val="21"/>
                    </w:rPr>
                  </w:pPr>
                  <w:r>
                    <w:rPr>
                      <w:rFonts w:hint="eastAsia"/>
                      <w:color w:val="auto"/>
                      <w:sz w:val="21"/>
                      <w:szCs w:val="21"/>
                    </w:rPr>
                    <w:t>32</w:t>
                  </w:r>
                </w:p>
              </w:tc>
              <w:tc>
                <w:tcPr>
                  <w:tcW w:w="464" w:type="pct"/>
                  <w:tcBorders>
                    <w:tl2br w:val="nil"/>
                    <w:tr2bl w:val="nil"/>
                  </w:tcBorders>
                  <w:vAlign w:val="center"/>
                </w:tcPr>
                <w:p w14:paraId="0A85E913">
                  <w:pPr>
                    <w:jc w:val="center"/>
                    <w:rPr>
                      <w:color w:val="auto"/>
                      <w:sz w:val="21"/>
                      <w:szCs w:val="21"/>
                    </w:rPr>
                  </w:pPr>
                  <w:r>
                    <w:rPr>
                      <w:color w:val="auto"/>
                      <w:sz w:val="21"/>
                      <w:szCs w:val="21"/>
                    </w:rPr>
                    <w:t>75</w:t>
                  </w:r>
                </w:p>
              </w:tc>
              <w:tc>
                <w:tcPr>
                  <w:tcW w:w="374" w:type="pct"/>
                  <w:tcBorders>
                    <w:tl2br w:val="nil"/>
                    <w:tr2bl w:val="nil"/>
                  </w:tcBorders>
                  <w:vAlign w:val="center"/>
                </w:tcPr>
                <w:p w14:paraId="3B027152">
                  <w:pPr>
                    <w:jc w:val="center"/>
                    <w:rPr>
                      <w:color w:val="auto"/>
                      <w:sz w:val="21"/>
                      <w:szCs w:val="21"/>
                    </w:rPr>
                  </w:pPr>
                  <w:r>
                    <w:rPr>
                      <w:rFonts w:hint="eastAsia"/>
                      <w:color w:val="auto"/>
                      <w:sz w:val="21"/>
                      <w:szCs w:val="21"/>
                    </w:rPr>
                    <w:t>昼间、夜间</w:t>
                  </w:r>
                </w:p>
              </w:tc>
              <w:tc>
                <w:tcPr>
                  <w:tcW w:w="464" w:type="pct"/>
                  <w:tcBorders>
                    <w:tl2br w:val="nil"/>
                    <w:tr2bl w:val="nil"/>
                  </w:tcBorders>
                  <w:vAlign w:val="center"/>
                </w:tcPr>
                <w:p w14:paraId="64974C64">
                  <w:pPr>
                    <w:jc w:val="center"/>
                    <w:rPr>
                      <w:color w:val="auto"/>
                      <w:sz w:val="21"/>
                      <w:szCs w:val="21"/>
                    </w:rPr>
                  </w:pPr>
                  <w:r>
                    <w:rPr>
                      <w:color w:val="auto"/>
                      <w:sz w:val="21"/>
                      <w:szCs w:val="21"/>
                    </w:rPr>
                    <w:t>10</w:t>
                  </w:r>
                </w:p>
              </w:tc>
              <w:tc>
                <w:tcPr>
                  <w:tcW w:w="464" w:type="pct"/>
                  <w:tcBorders>
                    <w:tl2br w:val="nil"/>
                    <w:tr2bl w:val="nil"/>
                  </w:tcBorders>
                  <w:vAlign w:val="center"/>
                </w:tcPr>
                <w:p w14:paraId="400B9C7F">
                  <w:pPr>
                    <w:jc w:val="center"/>
                    <w:rPr>
                      <w:color w:val="auto"/>
                      <w:sz w:val="21"/>
                      <w:szCs w:val="21"/>
                    </w:rPr>
                  </w:pPr>
                  <w:r>
                    <w:rPr>
                      <w:color w:val="auto"/>
                      <w:sz w:val="21"/>
                      <w:szCs w:val="21"/>
                    </w:rPr>
                    <w:t>65</w:t>
                  </w:r>
                </w:p>
              </w:tc>
              <w:tc>
                <w:tcPr>
                  <w:tcW w:w="276" w:type="pct"/>
                  <w:tcBorders>
                    <w:tl2br w:val="nil"/>
                    <w:tr2bl w:val="nil"/>
                  </w:tcBorders>
                  <w:vAlign w:val="center"/>
                </w:tcPr>
                <w:p w14:paraId="4BBD5569">
                  <w:pPr>
                    <w:jc w:val="center"/>
                    <w:rPr>
                      <w:color w:val="auto"/>
                      <w:sz w:val="21"/>
                      <w:szCs w:val="21"/>
                    </w:rPr>
                  </w:pPr>
                  <w:r>
                    <w:rPr>
                      <w:color w:val="auto"/>
                      <w:sz w:val="21"/>
                      <w:szCs w:val="21"/>
                    </w:rPr>
                    <w:t>1</w:t>
                  </w:r>
                </w:p>
              </w:tc>
            </w:tr>
          </w:tbl>
          <w:p w14:paraId="692D1EC0">
            <w:pPr>
              <w:spacing w:line="360" w:lineRule="auto"/>
              <w:jc w:val="center"/>
              <w:rPr>
                <w:rFonts w:hint="eastAsia"/>
                <w:b/>
                <w:bCs/>
                <w:color w:val="auto"/>
              </w:rPr>
            </w:pPr>
            <w:r>
              <w:rPr>
                <w:rFonts w:hint="eastAsia"/>
                <w:b/>
                <w:bCs/>
                <w:color w:val="auto"/>
              </w:rPr>
              <w:t>表4-6 钻井周期生产设备噪声源强（室外声源）  单位：dB(A)</w:t>
            </w:r>
          </w:p>
          <w:tbl>
            <w:tblPr>
              <w:tblStyle w:val="19"/>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autofit"/>
              <w:tblCellMar>
                <w:top w:w="0" w:type="dxa"/>
                <w:left w:w="108" w:type="dxa"/>
                <w:bottom w:w="0" w:type="dxa"/>
                <w:right w:w="108" w:type="dxa"/>
              </w:tblCellMar>
            </w:tblPr>
            <w:tblGrid>
              <w:gridCol w:w="587"/>
              <w:gridCol w:w="1231"/>
              <w:gridCol w:w="846"/>
              <w:gridCol w:w="794"/>
              <w:gridCol w:w="345"/>
              <w:gridCol w:w="1660"/>
              <w:gridCol w:w="1923"/>
              <w:gridCol w:w="1119"/>
            </w:tblGrid>
            <w:tr w14:paraId="0D1017AB">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vMerge w:val="restart"/>
                  <w:tcBorders>
                    <w:tl2br w:val="nil"/>
                    <w:tr2bl w:val="nil"/>
                  </w:tcBorders>
                  <w:vAlign w:val="center"/>
                </w:tcPr>
                <w:p w14:paraId="457B9FFB">
                  <w:pPr>
                    <w:jc w:val="center"/>
                    <w:rPr>
                      <w:color w:val="auto"/>
                      <w:sz w:val="21"/>
                      <w:szCs w:val="21"/>
                    </w:rPr>
                  </w:pPr>
                  <w:r>
                    <w:rPr>
                      <w:color w:val="auto"/>
                      <w:sz w:val="21"/>
                      <w:szCs w:val="21"/>
                    </w:rPr>
                    <w:t>序号</w:t>
                  </w:r>
                </w:p>
              </w:tc>
              <w:tc>
                <w:tcPr>
                  <w:tcW w:w="0" w:type="auto"/>
                  <w:vMerge w:val="restart"/>
                  <w:tcBorders>
                    <w:tl2br w:val="nil"/>
                    <w:tr2bl w:val="nil"/>
                  </w:tcBorders>
                  <w:vAlign w:val="center"/>
                </w:tcPr>
                <w:p w14:paraId="6DB270F8">
                  <w:pPr>
                    <w:jc w:val="center"/>
                    <w:rPr>
                      <w:color w:val="auto"/>
                      <w:sz w:val="21"/>
                      <w:szCs w:val="21"/>
                    </w:rPr>
                  </w:pPr>
                  <w:r>
                    <w:rPr>
                      <w:color w:val="auto"/>
                      <w:sz w:val="21"/>
                      <w:szCs w:val="21"/>
                    </w:rPr>
                    <w:t>声源名称</w:t>
                  </w:r>
                </w:p>
              </w:tc>
              <w:tc>
                <w:tcPr>
                  <w:tcW w:w="0" w:type="auto"/>
                  <w:gridSpan w:val="3"/>
                  <w:tcBorders>
                    <w:tl2br w:val="nil"/>
                    <w:tr2bl w:val="nil"/>
                  </w:tcBorders>
                  <w:vAlign w:val="center"/>
                </w:tcPr>
                <w:p w14:paraId="71EEAAD8">
                  <w:pPr>
                    <w:jc w:val="center"/>
                    <w:rPr>
                      <w:color w:val="auto"/>
                      <w:sz w:val="21"/>
                      <w:szCs w:val="21"/>
                    </w:rPr>
                  </w:pPr>
                  <w:r>
                    <w:rPr>
                      <w:color w:val="auto"/>
                      <w:sz w:val="21"/>
                      <w:szCs w:val="21"/>
                    </w:rPr>
                    <w:t>空间相对位置/m</w:t>
                  </w:r>
                </w:p>
              </w:tc>
              <w:tc>
                <w:tcPr>
                  <w:tcW w:w="0" w:type="auto"/>
                  <w:tcBorders>
                    <w:tl2br w:val="nil"/>
                    <w:tr2bl w:val="nil"/>
                  </w:tcBorders>
                  <w:vAlign w:val="center"/>
                </w:tcPr>
                <w:p w14:paraId="06D72AAD">
                  <w:pPr>
                    <w:jc w:val="center"/>
                    <w:rPr>
                      <w:color w:val="auto"/>
                      <w:sz w:val="21"/>
                      <w:szCs w:val="21"/>
                    </w:rPr>
                  </w:pPr>
                  <w:r>
                    <w:rPr>
                      <w:color w:val="auto"/>
                      <w:sz w:val="21"/>
                      <w:szCs w:val="21"/>
                    </w:rPr>
                    <w:t>声源源强</w:t>
                  </w:r>
                </w:p>
              </w:tc>
              <w:tc>
                <w:tcPr>
                  <w:tcW w:w="0" w:type="auto"/>
                  <w:vMerge w:val="restart"/>
                  <w:tcBorders>
                    <w:tl2br w:val="nil"/>
                    <w:tr2bl w:val="nil"/>
                  </w:tcBorders>
                  <w:vAlign w:val="center"/>
                </w:tcPr>
                <w:p w14:paraId="1D96AF30">
                  <w:pPr>
                    <w:jc w:val="center"/>
                    <w:rPr>
                      <w:color w:val="auto"/>
                      <w:sz w:val="21"/>
                      <w:szCs w:val="21"/>
                    </w:rPr>
                  </w:pPr>
                  <w:r>
                    <w:rPr>
                      <w:color w:val="auto"/>
                      <w:sz w:val="21"/>
                      <w:szCs w:val="21"/>
                    </w:rPr>
                    <w:t>声源控制措施</w:t>
                  </w:r>
                </w:p>
              </w:tc>
              <w:tc>
                <w:tcPr>
                  <w:tcW w:w="0" w:type="auto"/>
                  <w:vMerge w:val="restart"/>
                  <w:tcBorders>
                    <w:tl2br w:val="nil"/>
                    <w:tr2bl w:val="nil"/>
                  </w:tcBorders>
                  <w:vAlign w:val="center"/>
                </w:tcPr>
                <w:p w14:paraId="372561A9">
                  <w:pPr>
                    <w:jc w:val="center"/>
                    <w:rPr>
                      <w:color w:val="auto"/>
                      <w:sz w:val="21"/>
                      <w:szCs w:val="21"/>
                    </w:rPr>
                  </w:pPr>
                  <w:r>
                    <w:rPr>
                      <w:color w:val="auto"/>
                      <w:sz w:val="21"/>
                      <w:szCs w:val="21"/>
                    </w:rPr>
                    <w:t>运行时段</w:t>
                  </w:r>
                </w:p>
              </w:tc>
            </w:tr>
            <w:tr w14:paraId="0DDA9A7B">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vMerge w:val="continue"/>
                  <w:tcBorders>
                    <w:tl2br w:val="nil"/>
                    <w:tr2bl w:val="nil"/>
                  </w:tcBorders>
                  <w:vAlign w:val="center"/>
                </w:tcPr>
                <w:p w14:paraId="45F27E74">
                  <w:pPr>
                    <w:jc w:val="center"/>
                    <w:rPr>
                      <w:color w:val="auto"/>
                      <w:sz w:val="21"/>
                      <w:szCs w:val="21"/>
                    </w:rPr>
                  </w:pPr>
                </w:p>
              </w:tc>
              <w:tc>
                <w:tcPr>
                  <w:tcW w:w="0" w:type="auto"/>
                  <w:vMerge w:val="continue"/>
                  <w:tcBorders>
                    <w:tl2br w:val="nil"/>
                    <w:tr2bl w:val="nil"/>
                  </w:tcBorders>
                  <w:vAlign w:val="center"/>
                </w:tcPr>
                <w:p w14:paraId="5D6CAD76">
                  <w:pPr>
                    <w:jc w:val="center"/>
                    <w:rPr>
                      <w:color w:val="auto"/>
                      <w:sz w:val="21"/>
                      <w:szCs w:val="21"/>
                    </w:rPr>
                  </w:pPr>
                </w:p>
              </w:tc>
              <w:tc>
                <w:tcPr>
                  <w:tcW w:w="0" w:type="auto"/>
                  <w:tcBorders>
                    <w:tl2br w:val="nil"/>
                    <w:tr2bl w:val="nil"/>
                  </w:tcBorders>
                  <w:vAlign w:val="center"/>
                </w:tcPr>
                <w:p w14:paraId="55EF4103">
                  <w:pPr>
                    <w:jc w:val="center"/>
                    <w:rPr>
                      <w:color w:val="auto"/>
                      <w:sz w:val="21"/>
                      <w:szCs w:val="21"/>
                    </w:rPr>
                  </w:pPr>
                  <w:r>
                    <w:rPr>
                      <w:color w:val="auto"/>
                      <w:sz w:val="21"/>
                      <w:szCs w:val="21"/>
                    </w:rPr>
                    <w:t>X</w:t>
                  </w:r>
                </w:p>
              </w:tc>
              <w:tc>
                <w:tcPr>
                  <w:tcW w:w="0" w:type="auto"/>
                  <w:tcBorders>
                    <w:tl2br w:val="nil"/>
                    <w:tr2bl w:val="nil"/>
                  </w:tcBorders>
                  <w:vAlign w:val="center"/>
                </w:tcPr>
                <w:p w14:paraId="1B6F8D45">
                  <w:pPr>
                    <w:jc w:val="center"/>
                    <w:rPr>
                      <w:color w:val="auto"/>
                      <w:sz w:val="21"/>
                      <w:szCs w:val="21"/>
                    </w:rPr>
                  </w:pPr>
                  <w:r>
                    <w:rPr>
                      <w:color w:val="auto"/>
                      <w:sz w:val="21"/>
                      <w:szCs w:val="21"/>
                    </w:rPr>
                    <w:t>Y</w:t>
                  </w:r>
                </w:p>
              </w:tc>
              <w:tc>
                <w:tcPr>
                  <w:tcW w:w="0" w:type="auto"/>
                  <w:tcBorders>
                    <w:tl2br w:val="nil"/>
                    <w:tr2bl w:val="nil"/>
                  </w:tcBorders>
                  <w:vAlign w:val="center"/>
                </w:tcPr>
                <w:p w14:paraId="052652A4">
                  <w:pPr>
                    <w:jc w:val="center"/>
                    <w:rPr>
                      <w:color w:val="auto"/>
                      <w:sz w:val="21"/>
                      <w:szCs w:val="21"/>
                    </w:rPr>
                  </w:pPr>
                  <w:r>
                    <w:rPr>
                      <w:color w:val="auto"/>
                      <w:sz w:val="21"/>
                      <w:szCs w:val="21"/>
                    </w:rPr>
                    <w:t>Z</w:t>
                  </w:r>
                </w:p>
              </w:tc>
              <w:tc>
                <w:tcPr>
                  <w:tcW w:w="0" w:type="auto"/>
                  <w:tcBorders>
                    <w:tl2br w:val="nil"/>
                    <w:tr2bl w:val="nil"/>
                  </w:tcBorders>
                  <w:vAlign w:val="center"/>
                </w:tcPr>
                <w:p w14:paraId="76D2C061">
                  <w:pPr>
                    <w:jc w:val="center"/>
                    <w:rPr>
                      <w:color w:val="auto"/>
                      <w:sz w:val="21"/>
                      <w:szCs w:val="21"/>
                    </w:rPr>
                  </w:pPr>
                  <w:r>
                    <w:rPr>
                      <w:color w:val="auto"/>
                      <w:sz w:val="21"/>
                      <w:szCs w:val="21"/>
                    </w:rPr>
                    <w:t>声功率级dB（A）</w:t>
                  </w:r>
                </w:p>
              </w:tc>
              <w:tc>
                <w:tcPr>
                  <w:tcW w:w="0" w:type="auto"/>
                  <w:vMerge w:val="continue"/>
                  <w:tcBorders>
                    <w:tl2br w:val="nil"/>
                    <w:tr2bl w:val="nil"/>
                  </w:tcBorders>
                  <w:vAlign w:val="center"/>
                </w:tcPr>
                <w:p w14:paraId="4E5AE777">
                  <w:pPr>
                    <w:jc w:val="center"/>
                    <w:rPr>
                      <w:color w:val="auto"/>
                      <w:sz w:val="21"/>
                      <w:szCs w:val="21"/>
                    </w:rPr>
                  </w:pPr>
                </w:p>
              </w:tc>
              <w:tc>
                <w:tcPr>
                  <w:tcW w:w="0" w:type="auto"/>
                  <w:vMerge w:val="continue"/>
                  <w:tcBorders>
                    <w:tl2br w:val="nil"/>
                    <w:tr2bl w:val="nil"/>
                  </w:tcBorders>
                  <w:vAlign w:val="center"/>
                </w:tcPr>
                <w:p w14:paraId="32EE8AB1">
                  <w:pPr>
                    <w:jc w:val="center"/>
                    <w:rPr>
                      <w:color w:val="auto"/>
                      <w:sz w:val="21"/>
                      <w:szCs w:val="21"/>
                    </w:rPr>
                  </w:pPr>
                </w:p>
              </w:tc>
            </w:tr>
            <w:tr w14:paraId="05B65E4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PrEx>
              <w:trPr>
                <w:trHeight w:val="292" w:hRule="atLeast"/>
                <w:jc w:val="center"/>
              </w:trPr>
              <w:tc>
                <w:tcPr>
                  <w:tcW w:w="0" w:type="auto"/>
                  <w:tcBorders>
                    <w:tl2br w:val="nil"/>
                    <w:tr2bl w:val="nil"/>
                  </w:tcBorders>
                  <w:vAlign w:val="center"/>
                </w:tcPr>
                <w:p w14:paraId="082FA85C">
                  <w:pPr>
                    <w:jc w:val="center"/>
                    <w:rPr>
                      <w:color w:val="auto"/>
                      <w:sz w:val="21"/>
                      <w:szCs w:val="21"/>
                    </w:rPr>
                  </w:pPr>
                  <w:r>
                    <w:rPr>
                      <w:color w:val="auto"/>
                      <w:sz w:val="21"/>
                      <w:szCs w:val="21"/>
                    </w:rPr>
                    <w:t>1</w:t>
                  </w:r>
                </w:p>
              </w:tc>
              <w:tc>
                <w:tcPr>
                  <w:tcW w:w="0" w:type="auto"/>
                  <w:tcBorders>
                    <w:tl2br w:val="nil"/>
                    <w:tr2bl w:val="nil"/>
                  </w:tcBorders>
                  <w:vAlign w:val="center"/>
                </w:tcPr>
                <w:p w14:paraId="5E56D3FF">
                  <w:pPr>
                    <w:jc w:val="center"/>
                    <w:rPr>
                      <w:color w:val="auto"/>
                      <w:sz w:val="21"/>
                      <w:szCs w:val="21"/>
                    </w:rPr>
                  </w:pPr>
                  <w:r>
                    <w:rPr>
                      <w:rFonts w:hint="eastAsia"/>
                      <w:color w:val="auto"/>
                      <w:sz w:val="21"/>
                      <w:szCs w:val="21"/>
                    </w:rPr>
                    <w:t>钻机</w:t>
                  </w:r>
                </w:p>
              </w:tc>
              <w:tc>
                <w:tcPr>
                  <w:tcW w:w="0" w:type="auto"/>
                  <w:tcBorders>
                    <w:tl2br w:val="nil"/>
                    <w:tr2bl w:val="nil"/>
                  </w:tcBorders>
                  <w:vAlign w:val="center"/>
                </w:tcPr>
                <w:p w14:paraId="434B59EA">
                  <w:pPr>
                    <w:jc w:val="center"/>
                    <w:rPr>
                      <w:color w:val="auto"/>
                      <w:sz w:val="21"/>
                      <w:szCs w:val="21"/>
                    </w:rPr>
                  </w:pPr>
                  <w:r>
                    <w:rPr>
                      <w:rFonts w:hint="eastAsia"/>
                      <w:color w:val="auto"/>
                      <w:sz w:val="21"/>
                      <w:szCs w:val="21"/>
                    </w:rPr>
                    <w:t>220.64</w:t>
                  </w:r>
                </w:p>
              </w:tc>
              <w:tc>
                <w:tcPr>
                  <w:tcW w:w="0" w:type="auto"/>
                  <w:tcBorders>
                    <w:tl2br w:val="nil"/>
                    <w:tr2bl w:val="nil"/>
                  </w:tcBorders>
                  <w:vAlign w:val="center"/>
                </w:tcPr>
                <w:p w14:paraId="64174B88">
                  <w:pPr>
                    <w:jc w:val="center"/>
                    <w:rPr>
                      <w:color w:val="auto"/>
                      <w:sz w:val="21"/>
                      <w:szCs w:val="21"/>
                    </w:rPr>
                  </w:pPr>
                  <w:r>
                    <w:rPr>
                      <w:rFonts w:hint="eastAsia"/>
                      <w:color w:val="auto"/>
                      <w:sz w:val="21"/>
                      <w:szCs w:val="21"/>
                    </w:rPr>
                    <w:t>122.27</w:t>
                  </w:r>
                </w:p>
              </w:tc>
              <w:tc>
                <w:tcPr>
                  <w:tcW w:w="0" w:type="auto"/>
                  <w:tcBorders>
                    <w:tl2br w:val="nil"/>
                    <w:tr2bl w:val="nil"/>
                  </w:tcBorders>
                  <w:vAlign w:val="center"/>
                </w:tcPr>
                <w:p w14:paraId="38B17523">
                  <w:pPr>
                    <w:jc w:val="center"/>
                    <w:rPr>
                      <w:color w:val="auto"/>
                      <w:sz w:val="21"/>
                      <w:szCs w:val="21"/>
                    </w:rPr>
                  </w:pPr>
                  <w:r>
                    <w:rPr>
                      <w:color w:val="auto"/>
                      <w:sz w:val="21"/>
                      <w:szCs w:val="21"/>
                    </w:rPr>
                    <w:t>0</w:t>
                  </w:r>
                </w:p>
              </w:tc>
              <w:tc>
                <w:tcPr>
                  <w:tcW w:w="0" w:type="auto"/>
                  <w:tcBorders>
                    <w:tl2br w:val="nil"/>
                    <w:tr2bl w:val="nil"/>
                  </w:tcBorders>
                  <w:vAlign w:val="center"/>
                </w:tcPr>
                <w:p w14:paraId="2F86D82E">
                  <w:pPr>
                    <w:jc w:val="center"/>
                    <w:rPr>
                      <w:color w:val="auto"/>
                      <w:sz w:val="21"/>
                      <w:szCs w:val="21"/>
                    </w:rPr>
                  </w:pPr>
                  <w:r>
                    <w:rPr>
                      <w:rFonts w:hint="eastAsia"/>
                      <w:color w:val="auto"/>
                      <w:sz w:val="21"/>
                      <w:szCs w:val="21"/>
                    </w:rPr>
                    <w:t>85</w:t>
                  </w:r>
                </w:p>
              </w:tc>
              <w:tc>
                <w:tcPr>
                  <w:tcW w:w="0" w:type="auto"/>
                  <w:tcBorders>
                    <w:tl2br w:val="nil"/>
                    <w:tr2bl w:val="nil"/>
                  </w:tcBorders>
                  <w:vAlign w:val="center"/>
                </w:tcPr>
                <w:p w14:paraId="0C9F11C6">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5CBA67D8">
                  <w:pPr>
                    <w:jc w:val="center"/>
                    <w:rPr>
                      <w:color w:val="auto"/>
                      <w:sz w:val="21"/>
                      <w:szCs w:val="21"/>
                    </w:rPr>
                  </w:pPr>
                  <w:r>
                    <w:rPr>
                      <w:rFonts w:hint="eastAsia"/>
                      <w:color w:val="auto"/>
                      <w:sz w:val="21"/>
                      <w:szCs w:val="21"/>
                    </w:rPr>
                    <w:t>昼间、夜间</w:t>
                  </w:r>
                </w:p>
              </w:tc>
            </w:tr>
            <w:tr w14:paraId="700C9BE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930B4B5">
                  <w:pPr>
                    <w:jc w:val="center"/>
                    <w:rPr>
                      <w:color w:val="auto"/>
                      <w:sz w:val="21"/>
                      <w:szCs w:val="21"/>
                    </w:rPr>
                  </w:pPr>
                  <w:r>
                    <w:rPr>
                      <w:color w:val="auto"/>
                      <w:sz w:val="21"/>
                      <w:szCs w:val="21"/>
                    </w:rPr>
                    <w:t>2</w:t>
                  </w:r>
                </w:p>
              </w:tc>
              <w:tc>
                <w:tcPr>
                  <w:tcW w:w="0" w:type="auto"/>
                  <w:tcBorders>
                    <w:tl2br w:val="nil"/>
                    <w:tr2bl w:val="nil"/>
                  </w:tcBorders>
                  <w:vAlign w:val="center"/>
                </w:tcPr>
                <w:p w14:paraId="44226491">
                  <w:pPr>
                    <w:jc w:val="center"/>
                    <w:rPr>
                      <w:color w:val="auto"/>
                      <w:sz w:val="21"/>
                      <w:szCs w:val="21"/>
                    </w:rPr>
                  </w:pPr>
                  <w:r>
                    <w:rPr>
                      <w:rFonts w:hint="eastAsia"/>
                      <w:color w:val="auto"/>
                      <w:sz w:val="21"/>
                      <w:szCs w:val="21"/>
                    </w:rPr>
                    <w:t>1#钻井泵</w:t>
                  </w:r>
                </w:p>
              </w:tc>
              <w:tc>
                <w:tcPr>
                  <w:tcW w:w="0" w:type="auto"/>
                  <w:tcBorders>
                    <w:tl2br w:val="nil"/>
                    <w:tr2bl w:val="nil"/>
                  </w:tcBorders>
                  <w:vAlign w:val="center"/>
                </w:tcPr>
                <w:p w14:paraId="17CB5BBD">
                  <w:pPr>
                    <w:jc w:val="center"/>
                    <w:rPr>
                      <w:color w:val="auto"/>
                      <w:sz w:val="21"/>
                      <w:szCs w:val="21"/>
                    </w:rPr>
                  </w:pPr>
                  <w:r>
                    <w:rPr>
                      <w:rFonts w:hint="eastAsia"/>
                      <w:color w:val="auto"/>
                      <w:sz w:val="21"/>
                      <w:szCs w:val="21"/>
                    </w:rPr>
                    <w:t>193.89</w:t>
                  </w:r>
                </w:p>
              </w:tc>
              <w:tc>
                <w:tcPr>
                  <w:tcW w:w="0" w:type="auto"/>
                  <w:tcBorders>
                    <w:tl2br w:val="nil"/>
                    <w:tr2bl w:val="nil"/>
                  </w:tcBorders>
                  <w:vAlign w:val="center"/>
                </w:tcPr>
                <w:p w14:paraId="669DBE9C">
                  <w:pPr>
                    <w:jc w:val="center"/>
                    <w:rPr>
                      <w:color w:val="auto"/>
                      <w:sz w:val="21"/>
                      <w:szCs w:val="21"/>
                    </w:rPr>
                  </w:pPr>
                  <w:r>
                    <w:rPr>
                      <w:rFonts w:hint="eastAsia"/>
                      <w:color w:val="auto"/>
                      <w:sz w:val="21"/>
                      <w:szCs w:val="21"/>
                    </w:rPr>
                    <w:t>146.98</w:t>
                  </w:r>
                </w:p>
              </w:tc>
              <w:tc>
                <w:tcPr>
                  <w:tcW w:w="0" w:type="auto"/>
                  <w:tcBorders>
                    <w:tl2br w:val="nil"/>
                    <w:tr2bl w:val="nil"/>
                  </w:tcBorders>
                  <w:vAlign w:val="center"/>
                </w:tcPr>
                <w:p w14:paraId="54D22FDB">
                  <w:pPr>
                    <w:jc w:val="center"/>
                    <w:rPr>
                      <w:color w:val="auto"/>
                      <w:sz w:val="21"/>
                      <w:szCs w:val="21"/>
                    </w:rPr>
                  </w:pPr>
                  <w:r>
                    <w:rPr>
                      <w:color w:val="auto"/>
                      <w:sz w:val="21"/>
                      <w:szCs w:val="21"/>
                    </w:rPr>
                    <w:t>0</w:t>
                  </w:r>
                </w:p>
              </w:tc>
              <w:tc>
                <w:tcPr>
                  <w:tcW w:w="0" w:type="auto"/>
                  <w:tcBorders>
                    <w:tl2br w:val="nil"/>
                    <w:tr2bl w:val="nil"/>
                  </w:tcBorders>
                  <w:vAlign w:val="center"/>
                </w:tcPr>
                <w:p w14:paraId="312D2D27">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4AF0B85F">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39AF70E9">
                  <w:pPr>
                    <w:jc w:val="center"/>
                    <w:rPr>
                      <w:color w:val="auto"/>
                      <w:sz w:val="21"/>
                      <w:szCs w:val="21"/>
                    </w:rPr>
                  </w:pPr>
                  <w:r>
                    <w:rPr>
                      <w:rFonts w:hint="eastAsia"/>
                      <w:color w:val="auto"/>
                      <w:sz w:val="21"/>
                      <w:szCs w:val="21"/>
                    </w:rPr>
                    <w:t>昼间、夜间</w:t>
                  </w:r>
                </w:p>
              </w:tc>
            </w:tr>
            <w:tr w14:paraId="47E6398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3A3E211">
                  <w:pPr>
                    <w:jc w:val="center"/>
                    <w:rPr>
                      <w:color w:val="auto"/>
                      <w:sz w:val="21"/>
                      <w:szCs w:val="21"/>
                    </w:rPr>
                  </w:pPr>
                  <w:r>
                    <w:rPr>
                      <w:color w:val="auto"/>
                      <w:sz w:val="21"/>
                      <w:szCs w:val="21"/>
                    </w:rPr>
                    <w:t>3</w:t>
                  </w:r>
                </w:p>
              </w:tc>
              <w:tc>
                <w:tcPr>
                  <w:tcW w:w="0" w:type="auto"/>
                  <w:tcBorders>
                    <w:tl2br w:val="nil"/>
                    <w:tr2bl w:val="nil"/>
                  </w:tcBorders>
                  <w:vAlign w:val="center"/>
                </w:tcPr>
                <w:p w14:paraId="0D5D6D9E">
                  <w:pPr>
                    <w:jc w:val="center"/>
                    <w:rPr>
                      <w:color w:val="auto"/>
                      <w:sz w:val="21"/>
                      <w:szCs w:val="21"/>
                    </w:rPr>
                  </w:pPr>
                  <w:r>
                    <w:rPr>
                      <w:rFonts w:hint="eastAsia"/>
                      <w:color w:val="auto"/>
                      <w:sz w:val="21"/>
                      <w:szCs w:val="21"/>
                    </w:rPr>
                    <w:t>2#钻井泵</w:t>
                  </w:r>
                </w:p>
              </w:tc>
              <w:tc>
                <w:tcPr>
                  <w:tcW w:w="0" w:type="auto"/>
                  <w:tcBorders>
                    <w:tl2br w:val="nil"/>
                    <w:tr2bl w:val="nil"/>
                  </w:tcBorders>
                  <w:vAlign w:val="center"/>
                </w:tcPr>
                <w:p w14:paraId="60851346">
                  <w:pPr>
                    <w:jc w:val="center"/>
                    <w:rPr>
                      <w:color w:val="auto"/>
                      <w:sz w:val="21"/>
                      <w:szCs w:val="21"/>
                    </w:rPr>
                  </w:pPr>
                  <w:r>
                    <w:rPr>
                      <w:rFonts w:hint="eastAsia"/>
                      <w:color w:val="auto"/>
                      <w:sz w:val="21"/>
                      <w:szCs w:val="21"/>
                    </w:rPr>
                    <w:t>199.75,</w:t>
                  </w:r>
                </w:p>
              </w:tc>
              <w:tc>
                <w:tcPr>
                  <w:tcW w:w="0" w:type="auto"/>
                  <w:tcBorders>
                    <w:tl2br w:val="nil"/>
                    <w:tr2bl w:val="nil"/>
                  </w:tcBorders>
                  <w:vAlign w:val="center"/>
                </w:tcPr>
                <w:p w14:paraId="070B42BF">
                  <w:pPr>
                    <w:jc w:val="center"/>
                    <w:rPr>
                      <w:color w:val="auto"/>
                      <w:sz w:val="21"/>
                      <w:szCs w:val="21"/>
                    </w:rPr>
                  </w:pPr>
                  <w:r>
                    <w:rPr>
                      <w:rFonts w:hint="eastAsia"/>
                      <w:color w:val="auto"/>
                      <w:sz w:val="21"/>
                      <w:szCs w:val="21"/>
                    </w:rPr>
                    <w:t>144.34</w:t>
                  </w:r>
                </w:p>
              </w:tc>
              <w:tc>
                <w:tcPr>
                  <w:tcW w:w="0" w:type="auto"/>
                  <w:tcBorders>
                    <w:tl2br w:val="nil"/>
                    <w:tr2bl w:val="nil"/>
                  </w:tcBorders>
                  <w:vAlign w:val="center"/>
                </w:tcPr>
                <w:p w14:paraId="2BB3DD48">
                  <w:pPr>
                    <w:jc w:val="center"/>
                    <w:rPr>
                      <w:color w:val="auto"/>
                      <w:sz w:val="21"/>
                      <w:szCs w:val="21"/>
                    </w:rPr>
                  </w:pPr>
                  <w:r>
                    <w:rPr>
                      <w:color w:val="auto"/>
                      <w:sz w:val="21"/>
                      <w:szCs w:val="21"/>
                    </w:rPr>
                    <w:t>0</w:t>
                  </w:r>
                </w:p>
              </w:tc>
              <w:tc>
                <w:tcPr>
                  <w:tcW w:w="0" w:type="auto"/>
                  <w:tcBorders>
                    <w:tl2br w:val="nil"/>
                    <w:tr2bl w:val="nil"/>
                  </w:tcBorders>
                  <w:vAlign w:val="center"/>
                </w:tcPr>
                <w:p w14:paraId="626500E8">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7B062451">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2DFB9664">
                  <w:pPr>
                    <w:jc w:val="center"/>
                    <w:rPr>
                      <w:color w:val="auto"/>
                      <w:sz w:val="21"/>
                      <w:szCs w:val="21"/>
                    </w:rPr>
                  </w:pPr>
                  <w:r>
                    <w:rPr>
                      <w:rFonts w:hint="eastAsia"/>
                      <w:color w:val="auto"/>
                      <w:sz w:val="21"/>
                      <w:szCs w:val="21"/>
                    </w:rPr>
                    <w:t>昼间、夜间</w:t>
                  </w:r>
                </w:p>
              </w:tc>
            </w:tr>
            <w:tr w14:paraId="1BBEA8D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CEE1E74">
                  <w:pPr>
                    <w:jc w:val="center"/>
                    <w:rPr>
                      <w:color w:val="auto"/>
                      <w:sz w:val="21"/>
                      <w:szCs w:val="21"/>
                    </w:rPr>
                  </w:pPr>
                  <w:r>
                    <w:rPr>
                      <w:color w:val="auto"/>
                      <w:sz w:val="21"/>
                      <w:szCs w:val="21"/>
                    </w:rPr>
                    <w:t>4</w:t>
                  </w:r>
                </w:p>
              </w:tc>
              <w:tc>
                <w:tcPr>
                  <w:tcW w:w="0" w:type="auto"/>
                  <w:tcBorders>
                    <w:tl2br w:val="nil"/>
                    <w:tr2bl w:val="nil"/>
                  </w:tcBorders>
                  <w:vAlign w:val="center"/>
                </w:tcPr>
                <w:p w14:paraId="2A0D08E2">
                  <w:pPr>
                    <w:jc w:val="center"/>
                    <w:rPr>
                      <w:color w:val="auto"/>
                      <w:sz w:val="21"/>
                      <w:szCs w:val="21"/>
                    </w:rPr>
                  </w:pPr>
                  <w:r>
                    <w:rPr>
                      <w:color w:val="auto"/>
                      <w:sz w:val="21"/>
                      <w:szCs w:val="21"/>
                    </w:rPr>
                    <w:t>除砂器</w:t>
                  </w:r>
                </w:p>
              </w:tc>
              <w:tc>
                <w:tcPr>
                  <w:tcW w:w="0" w:type="auto"/>
                  <w:tcBorders>
                    <w:tl2br w:val="nil"/>
                    <w:tr2bl w:val="nil"/>
                  </w:tcBorders>
                  <w:vAlign w:val="center"/>
                </w:tcPr>
                <w:p w14:paraId="1BCAC0CD">
                  <w:pPr>
                    <w:jc w:val="center"/>
                    <w:rPr>
                      <w:color w:val="auto"/>
                      <w:sz w:val="21"/>
                      <w:szCs w:val="21"/>
                    </w:rPr>
                  </w:pPr>
                  <w:r>
                    <w:rPr>
                      <w:rFonts w:hint="eastAsia"/>
                      <w:color w:val="auto"/>
                      <w:sz w:val="21"/>
                      <w:szCs w:val="21"/>
                    </w:rPr>
                    <w:t>226.71,</w:t>
                  </w:r>
                </w:p>
              </w:tc>
              <w:tc>
                <w:tcPr>
                  <w:tcW w:w="0" w:type="auto"/>
                  <w:tcBorders>
                    <w:tl2br w:val="nil"/>
                    <w:tr2bl w:val="nil"/>
                  </w:tcBorders>
                  <w:vAlign w:val="center"/>
                </w:tcPr>
                <w:p w14:paraId="25EDDD0C">
                  <w:pPr>
                    <w:jc w:val="center"/>
                    <w:rPr>
                      <w:color w:val="auto"/>
                      <w:sz w:val="21"/>
                      <w:szCs w:val="21"/>
                    </w:rPr>
                  </w:pPr>
                  <w:r>
                    <w:rPr>
                      <w:rFonts w:hint="eastAsia"/>
                      <w:color w:val="auto"/>
                      <w:sz w:val="21"/>
                      <w:szCs w:val="21"/>
                    </w:rPr>
                    <w:t>156.37</w:t>
                  </w:r>
                </w:p>
              </w:tc>
              <w:tc>
                <w:tcPr>
                  <w:tcW w:w="0" w:type="auto"/>
                  <w:tcBorders>
                    <w:tl2br w:val="nil"/>
                    <w:tr2bl w:val="nil"/>
                  </w:tcBorders>
                  <w:vAlign w:val="center"/>
                </w:tcPr>
                <w:p w14:paraId="34FBD0B8">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12E1095E">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11332BC9">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56240A5B">
                  <w:pPr>
                    <w:jc w:val="center"/>
                    <w:rPr>
                      <w:color w:val="auto"/>
                      <w:sz w:val="21"/>
                      <w:szCs w:val="21"/>
                    </w:rPr>
                  </w:pPr>
                  <w:r>
                    <w:rPr>
                      <w:rFonts w:hint="eastAsia"/>
                      <w:color w:val="auto"/>
                      <w:sz w:val="21"/>
                      <w:szCs w:val="21"/>
                    </w:rPr>
                    <w:t>昼间、夜间</w:t>
                  </w:r>
                </w:p>
              </w:tc>
            </w:tr>
            <w:tr w14:paraId="56D770D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2A63F5D">
                  <w:pPr>
                    <w:jc w:val="center"/>
                    <w:rPr>
                      <w:color w:val="auto"/>
                      <w:sz w:val="21"/>
                      <w:szCs w:val="21"/>
                    </w:rPr>
                  </w:pPr>
                  <w:r>
                    <w:rPr>
                      <w:rFonts w:hint="eastAsia"/>
                      <w:color w:val="auto"/>
                      <w:sz w:val="21"/>
                      <w:szCs w:val="21"/>
                    </w:rPr>
                    <w:t>5</w:t>
                  </w:r>
                </w:p>
              </w:tc>
              <w:tc>
                <w:tcPr>
                  <w:tcW w:w="0" w:type="auto"/>
                  <w:tcBorders>
                    <w:tl2br w:val="nil"/>
                    <w:tr2bl w:val="nil"/>
                  </w:tcBorders>
                  <w:vAlign w:val="center"/>
                </w:tcPr>
                <w:p w14:paraId="286D37C9">
                  <w:pPr>
                    <w:jc w:val="center"/>
                    <w:rPr>
                      <w:color w:val="auto"/>
                      <w:sz w:val="21"/>
                      <w:szCs w:val="21"/>
                    </w:rPr>
                  </w:pPr>
                  <w:r>
                    <w:rPr>
                      <w:color w:val="auto"/>
                      <w:sz w:val="21"/>
                      <w:szCs w:val="21"/>
                    </w:rPr>
                    <w:t>除泥器</w:t>
                  </w:r>
                </w:p>
              </w:tc>
              <w:tc>
                <w:tcPr>
                  <w:tcW w:w="0" w:type="auto"/>
                  <w:tcBorders>
                    <w:tl2br w:val="nil"/>
                    <w:tr2bl w:val="nil"/>
                  </w:tcBorders>
                  <w:vAlign w:val="center"/>
                </w:tcPr>
                <w:p w14:paraId="067C2732">
                  <w:pPr>
                    <w:jc w:val="center"/>
                    <w:rPr>
                      <w:color w:val="auto"/>
                      <w:sz w:val="21"/>
                      <w:szCs w:val="21"/>
                    </w:rPr>
                  </w:pPr>
                  <w:r>
                    <w:rPr>
                      <w:rFonts w:hint="eastAsia"/>
                      <w:color w:val="auto"/>
                      <w:sz w:val="21"/>
                      <w:szCs w:val="21"/>
                    </w:rPr>
                    <w:t>225.72,</w:t>
                  </w:r>
                </w:p>
              </w:tc>
              <w:tc>
                <w:tcPr>
                  <w:tcW w:w="0" w:type="auto"/>
                  <w:tcBorders>
                    <w:tl2br w:val="nil"/>
                    <w:tr2bl w:val="nil"/>
                  </w:tcBorders>
                  <w:vAlign w:val="center"/>
                </w:tcPr>
                <w:p w14:paraId="29CFD303">
                  <w:pPr>
                    <w:jc w:val="center"/>
                    <w:rPr>
                      <w:color w:val="auto"/>
                      <w:sz w:val="21"/>
                      <w:szCs w:val="21"/>
                    </w:rPr>
                  </w:pPr>
                  <w:r>
                    <w:rPr>
                      <w:rFonts w:hint="eastAsia"/>
                      <w:color w:val="auto"/>
                      <w:sz w:val="21"/>
                      <w:szCs w:val="21"/>
                    </w:rPr>
                    <w:t>153.54</w:t>
                  </w:r>
                </w:p>
              </w:tc>
              <w:tc>
                <w:tcPr>
                  <w:tcW w:w="0" w:type="auto"/>
                  <w:tcBorders>
                    <w:tl2br w:val="nil"/>
                    <w:tr2bl w:val="nil"/>
                  </w:tcBorders>
                  <w:vAlign w:val="center"/>
                </w:tcPr>
                <w:p w14:paraId="22FAC335">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3A0EAF26">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709AE4C9">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2858597F">
                  <w:pPr>
                    <w:jc w:val="center"/>
                    <w:rPr>
                      <w:color w:val="auto"/>
                      <w:sz w:val="21"/>
                      <w:szCs w:val="21"/>
                    </w:rPr>
                  </w:pPr>
                  <w:r>
                    <w:rPr>
                      <w:rFonts w:hint="eastAsia"/>
                      <w:color w:val="auto"/>
                      <w:sz w:val="21"/>
                      <w:szCs w:val="21"/>
                    </w:rPr>
                    <w:t>昼间、夜间</w:t>
                  </w:r>
                </w:p>
              </w:tc>
            </w:tr>
            <w:tr w14:paraId="6AD6825F">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A3D2190">
                  <w:pPr>
                    <w:jc w:val="center"/>
                    <w:rPr>
                      <w:color w:val="auto"/>
                      <w:sz w:val="21"/>
                      <w:szCs w:val="21"/>
                    </w:rPr>
                  </w:pPr>
                  <w:r>
                    <w:rPr>
                      <w:rFonts w:hint="eastAsia"/>
                      <w:color w:val="auto"/>
                      <w:sz w:val="21"/>
                      <w:szCs w:val="21"/>
                    </w:rPr>
                    <w:t>6</w:t>
                  </w:r>
                </w:p>
              </w:tc>
              <w:tc>
                <w:tcPr>
                  <w:tcW w:w="0" w:type="auto"/>
                  <w:tcBorders>
                    <w:tl2br w:val="nil"/>
                    <w:tr2bl w:val="nil"/>
                  </w:tcBorders>
                  <w:vAlign w:val="center"/>
                </w:tcPr>
                <w:p w14:paraId="3298FB01">
                  <w:pPr>
                    <w:jc w:val="center"/>
                    <w:rPr>
                      <w:color w:val="auto"/>
                      <w:sz w:val="21"/>
                      <w:szCs w:val="21"/>
                    </w:rPr>
                  </w:pPr>
                  <w:r>
                    <w:rPr>
                      <w:rFonts w:hint="eastAsia"/>
                      <w:color w:val="auto"/>
                      <w:sz w:val="21"/>
                      <w:szCs w:val="21"/>
                    </w:rPr>
                    <w:t>1#</w:t>
                  </w:r>
                  <w:r>
                    <w:rPr>
                      <w:color w:val="auto"/>
                      <w:sz w:val="21"/>
                      <w:szCs w:val="21"/>
                    </w:rPr>
                    <w:t>振动筛</w:t>
                  </w:r>
                </w:p>
              </w:tc>
              <w:tc>
                <w:tcPr>
                  <w:tcW w:w="0" w:type="auto"/>
                  <w:tcBorders>
                    <w:tl2br w:val="nil"/>
                    <w:tr2bl w:val="nil"/>
                  </w:tcBorders>
                  <w:vAlign w:val="center"/>
                </w:tcPr>
                <w:p w14:paraId="77C5BFF6">
                  <w:pPr>
                    <w:jc w:val="center"/>
                    <w:rPr>
                      <w:color w:val="auto"/>
                      <w:sz w:val="21"/>
                      <w:szCs w:val="21"/>
                    </w:rPr>
                  </w:pPr>
                  <w:r>
                    <w:rPr>
                      <w:rFonts w:hint="eastAsia"/>
                      <w:color w:val="auto"/>
                      <w:sz w:val="21"/>
                      <w:szCs w:val="21"/>
                    </w:rPr>
                    <w:t>224.47</w:t>
                  </w:r>
                </w:p>
              </w:tc>
              <w:tc>
                <w:tcPr>
                  <w:tcW w:w="0" w:type="auto"/>
                  <w:tcBorders>
                    <w:tl2br w:val="nil"/>
                    <w:tr2bl w:val="nil"/>
                  </w:tcBorders>
                  <w:vAlign w:val="center"/>
                </w:tcPr>
                <w:p w14:paraId="512368B4">
                  <w:pPr>
                    <w:jc w:val="center"/>
                    <w:rPr>
                      <w:color w:val="auto"/>
                      <w:sz w:val="21"/>
                      <w:szCs w:val="21"/>
                    </w:rPr>
                  </w:pPr>
                  <w:r>
                    <w:rPr>
                      <w:rFonts w:hint="eastAsia"/>
                      <w:color w:val="auto"/>
                      <w:sz w:val="21"/>
                      <w:szCs w:val="21"/>
                    </w:rPr>
                    <w:t>150.26</w:t>
                  </w:r>
                </w:p>
              </w:tc>
              <w:tc>
                <w:tcPr>
                  <w:tcW w:w="0" w:type="auto"/>
                  <w:tcBorders>
                    <w:tl2br w:val="nil"/>
                    <w:tr2bl w:val="nil"/>
                  </w:tcBorders>
                  <w:vAlign w:val="center"/>
                </w:tcPr>
                <w:p w14:paraId="17A251CE">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5367A2F0">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3371CEA6">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7F269431">
                  <w:pPr>
                    <w:jc w:val="center"/>
                    <w:rPr>
                      <w:color w:val="auto"/>
                      <w:sz w:val="21"/>
                      <w:szCs w:val="21"/>
                    </w:rPr>
                  </w:pPr>
                  <w:r>
                    <w:rPr>
                      <w:rFonts w:hint="eastAsia"/>
                      <w:color w:val="auto"/>
                      <w:sz w:val="21"/>
                      <w:szCs w:val="21"/>
                    </w:rPr>
                    <w:t>昼间、夜间</w:t>
                  </w:r>
                </w:p>
              </w:tc>
            </w:tr>
            <w:tr w14:paraId="3DAEDCDB">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6C16AE0F">
                  <w:pPr>
                    <w:jc w:val="center"/>
                    <w:rPr>
                      <w:color w:val="auto"/>
                      <w:sz w:val="21"/>
                      <w:szCs w:val="21"/>
                    </w:rPr>
                  </w:pPr>
                  <w:r>
                    <w:rPr>
                      <w:rFonts w:hint="eastAsia"/>
                      <w:color w:val="auto"/>
                      <w:sz w:val="21"/>
                      <w:szCs w:val="21"/>
                    </w:rPr>
                    <w:t>7</w:t>
                  </w:r>
                </w:p>
              </w:tc>
              <w:tc>
                <w:tcPr>
                  <w:tcW w:w="0" w:type="auto"/>
                  <w:tcBorders>
                    <w:tl2br w:val="nil"/>
                    <w:tr2bl w:val="nil"/>
                  </w:tcBorders>
                  <w:vAlign w:val="center"/>
                </w:tcPr>
                <w:p w14:paraId="7FC9D459">
                  <w:pPr>
                    <w:jc w:val="center"/>
                    <w:rPr>
                      <w:color w:val="auto"/>
                      <w:sz w:val="21"/>
                      <w:szCs w:val="21"/>
                    </w:rPr>
                  </w:pPr>
                  <w:r>
                    <w:rPr>
                      <w:rFonts w:hint="eastAsia"/>
                      <w:color w:val="auto"/>
                      <w:sz w:val="21"/>
                      <w:szCs w:val="21"/>
                    </w:rPr>
                    <w:t>2#</w:t>
                  </w:r>
                  <w:r>
                    <w:rPr>
                      <w:color w:val="auto"/>
                      <w:sz w:val="21"/>
                      <w:szCs w:val="21"/>
                    </w:rPr>
                    <w:t>振动筛</w:t>
                  </w:r>
                </w:p>
              </w:tc>
              <w:tc>
                <w:tcPr>
                  <w:tcW w:w="0" w:type="auto"/>
                  <w:tcBorders>
                    <w:tl2br w:val="nil"/>
                    <w:tr2bl w:val="nil"/>
                  </w:tcBorders>
                  <w:vAlign w:val="center"/>
                </w:tcPr>
                <w:p w14:paraId="12213D8E">
                  <w:pPr>
                    <w:jc w:val="center"/>
                    <w:rPr>
                      <w:color w:val="auto"/>
                      <w:sz w:val="21"/>
                      <w:szCs w:val="21"/>
                    </w:rPr>
                  </w:pPr>
                  <w:r>
                    <w:rPr>
                      <w:color w:val="auto"/>
                      <w:sz w:val="21"/>
                      <w:szCs w:val="21"/>
                    </w:rPr>
                    <w:t>227.4</w:t>
                  </w:r>
                </w:p>
              </w:tc>
              <w:tc>
                <w:tcPr>
                  <w:tcW w:w="0" w:type="auto"/>
                  <w:tcBorders>
                    <w:tl2br w:val="nil"/>
                    <w:tr2bl w:val="nil"/>
                  </w:tcBorders>
                  <w:vAlign w:val="center"/>
                </w:tcPr>
                <w:p w14:paraId="64D96C95">
                  <w:pPr>
                    <w:jc w:val="center"/>
                    <w:rPr>
                      <w:color w:val="auto"/>
                      <w:sz w:val="21"/>
                      <w:szCs w:val="21"/>
                    </w:rPr>
                  </w:pPr>
                  <w:r>
                    <w:rPr>
                      <w:color w:val="auto"/>
                      <w:sz w:val="21"/>
                      <w:szCs w:val="21"/>
                    </w:rPr>
                    <w:t>149.53</w:t>
                  </w:r>
                </w:p>
              </w:tc>
              <w:tc>
                <w:tcPr>
                  <w:tcW w:w="0" w:type="auto"/>
                  <w:tcBorders>
                    <w:tl2br w:val="nil"/>
                    <w:tr2bl w:val="nil"/>
                  </w:tcBorders>
                  <w:vAlign w:val="center"/>
                </w:tcPr>
                <w:p w14:paraId="07F0DF15">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73CF57DE">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0E12982E">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03D417FF">
                  <w:pPr>
                    <w:jc w:val="center"/>
                    <w:rPr>
                      <w:color w:val="auto"/>
                      <w:sz w:val="21"/>
                      <w:szCs w:val="21"/>
                    </w:rPr>
                  </w:pPr>
                  <w:r>
                    <w:rPr>
                      <w:rFonts w:hint="eastAsia"/>
                      <w:color w:val="auto"/>
                      <w:sz w:val="21"/>
                      <w:szCs w:val="21"/>
                    </w:rPr>
                    <w:t>昼间、夜间</w:t>
                  </w:r>
                </w:p>
              </w:tc>
            </w:tr>
            <w:tr w14:paraId="04E1C3F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298FFD78">
                  <w:pPr>
                    <w:jc w:val="center"/>
                    <w:rPr>
                      <w:color w:val="auto"/>
                      <w:sz w:val="21"/>
                      <w:szCs w:val="21"/>
                    </w:rPr>
                  </w:pPr>
                  <w:r>
                    <w:rPr>
                      <w:rFonts w:hint="eastAsia"/>
                      <w:color w:val="auto"/>
                      <w:sz w:val="21"/>
                      <w:szCs w:val="21"/>
                    </w:rPr>
                    <w:t>8</w:t>
                  </w:r>
                </w:p>
              </w:tc>
              <w:tc>
                <w:tcPr>
                  <w:tcW w:w="0" w:type="auto"/>
                  <w:tcBorders>
                    <w:tl2br w:val="nil"/>
                    <w:tr2bl w:val="nil"/>
                  </w:tcBorders>
                  <w:vAlign w:val="center"/>
                </w:tcPr>
                <w:p w14:paraId="78A9AA61">
                  <w:pPr>
                    <w:jc w:val="center"/>
                    <w:rPr>
                      <w:color w:val="auto"/>
                      <w:sz w:val="21"/>
                      <w:szCs w:val="21"/>
                    </w:rPr>
                  </w:pPr>
                  <w:r>
                    <w:rPr>
                      <w:rFonts w:hint="eastAsia"/>
                      <w:color w:val="auto"/>
                      <w:sz w:val="21"/>
                      <w:szCs w:val="21"/>
                    </w:rPr>
                    <w:t>1#搅拌器</w:t>
                  </w:r>
                </w:p>
              </w:tc>
              <w:tc>
                <w:tcPr>
                  <w:tcW w:w="0" w:type="auto"/>
                  <w:tcBorders>
                    <w:tl2br w:val="nil"/>
                    <w:tr2bl w:val="nil"/>
                  </w:tcBorders>
                  <w:shd w:val="clear" w:color="auto" w:fill="auto"/>
                  <w:vAlign w:val="center"/>
                </w:tcPr>
                <w:p w14:paraId="55E8D3EB">
                  <w:pPr>
                    <w:jc w:val="center"/>
                    <w:rPr>
                      <w:color w:val="auto"/>
                      <w:sz w:val="21"/>
                      <w:szCs w:val="21"/>
                    </w:rPr>
                  </w:pPr>
                  <w:r>
                    <w:rPr>
                      <w:rFonts w:hint="eastAsia"/>
                      <w:color w:val="auto"/>
                      <w:sz w:val="21"/>
                      <w:szCs w:val="21"/>
                    </w:rPr>
                    <w:t>220.72</w:t>
                  </w:r>
                </w:p>
              </w:tc>
              <w:tc>
                <w:tcPr>
                  <w:tcW w:w="0" w:type="auto"/>
                  <w:tcBorders>
                    <w:tl2br w:val="nil"/>
                    <w:tr2bl w:val="nil"/>
                  </w:tcBorders>
                  <w:vAlign w:val="center"/>
                </w:tcPr>
                <w:p w14:paraId="46BC3AF5">
                  <w:pPr>
                    <w:jc w:val="center"/>
                    <w:rPr>
                      <w:color w:val="auto"/>
                      <w:sz w:val="21"/>
                      <w:szCs w:val="21"/>
                    </w:rPr>
                  </w:pPr>
                  <w:r>
                    <w:rPr>
                      <w:rFonts w:hint="eastAsia"/>
                      <w:color w:val="auto"/>
                      <w:sz w:val="21"/>
                      <w:szCs w:val="21"/>
                    </w:rPr>
                    <w:t>158.31</w:t>
                  </w:r>
                </w:p>
              </w:tc>
              <w:tc>
                <w:tcPr>
                  <w:tcW w:w="0" w:type="auto"/>
                  <w:tcBorders>
                    <w:tl2br w:val="nil"/>
                    <w:tr2bl w:val="nil"/>
                  </w:tcBorders>
                  <w:vAlign w:val="center"/>
                </w:tcPr>
                <w:p w14:paraId="3FC843A3">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06587DE0">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68916F28">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1AE2FD74">
                  <w:pPr>
                    <w:jc w:val="center"/>
                    <w:rPr>
                      <w:color w:val="auto"/>
                      <w:sz w:val="21"/>
                      <w:szCs w:val="21"/>
                    </w:rPr>
                  </w:pPr>
                  <w:r>
                    <w:rPr>
                      <w:rFonts w:hint="eastAsia"/>
                      <w:color w:val="auto"/>
                      <w:sz w:val="21"/>
                      <w:szCs w:val="21"/>
                    </w:rPr>
                    <w:t>昼间、夜间</w:t>
                  </w:r>
                </w:p>
              </w:tc>
            </w:tr>
            <w:tr w14:paraId="2CA9CF0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2989563">
                  <w:pPr>
                    <w:jc w:val="center"/>
                    <w:rPr>
                      <w:color w:val="auto"/>
                      <w:sz w:val="21"/>
                      <w:szCs w:val="21"/>
                    </w:rPr>
                  </w:pPr>
                  <w:r>
                    <w:rPr>
                      <w:rFonts w:hint="eastAsia"/>
                      <w:color w:val="auto"/>
                      <w:sz w:val="21"/>
                      <w:szCs w:val="21"/>
                    </w:rPr>
                    <w:t>9</w:t>
                  </w:r>
                </w:p>
              </w:tc>
              <w:tc>
                <w:tcPr>
                  <w:tcW w:w="0" w:type="auto"/>
                  <w:tcBorders>
                    <w:tl2br w:val="nil"/>
                    <w:tr2bl w:val="nil"/>
                  </w:tcBorders>
                  <w:vAlign w:val="center"/>
                </w:tcPr>
                <w:p w14:paraId="75F80DE0">
                  <w:pPr>
                    <w:jc w:val="center"/>
                    <w:rPr>
                      <w:color w:val="auto"/>
                      <w:sz w:val="21"/>
                      <w:szCs w:val="21"/>
                    </w:rPr>
                  </w:pPr>
                  <w:r>
                    <w:rPr>
                      <w:rFonts w:hint="eastAsia"/>
                      <w:color w:val="auto"/>
                      <w:sz w:val="21"/>
                      <w:szCs w:val="21"/>
                    </w:rPr>
                    <w:t>2#搅拌器</w:t>
                  </w:r>
                </w:p>
              </w:tc>
              <w:tc>
                <w:tcPr>
                  <w:tcW w:w="0" w:type="auto"/>
                  <w:tcBorders>
                    <w:tl2br w:val="nil"/>
                    <w:tr2bl w:val="nil"/>
                  </w:tcBorders>
                  <w:shd w:val="clear" w:color="auto" w:fill="auto"/>
                  <w:vAlign w:val="center"/>
                </w:tcPr>
                <w:p w14:paraId="609F68A4">
                  <w:pPr>
                    <w:jc w:val="center"/>
                    <w:rPr>
                      <w:color w:val="auto"/>
                      <w:sz w:val="21"/>
                      <w:szCs w:val="21"/>
                    </w:rPr>
                  </w:pPr>
                  <w:r>
                    <w:rPr>
                      <w:rFonts w:hint="eastAsia"/>
                      <w:color w:val="auto"/>
                      <w:sz w:val="21"/>
                      <w:szCs w:val="21"/>
                    </w:rPr>
                    <w:t>218.83</w:t>
                  </w:r>
                </w:p>
              </w:tc>
              <w:tc>
                <w:tcPr>
                  <w:tcW w:w="0" w:type="auto"/>
                  <w:tcBorders>
                    <w:tl2br w:val="nil"/>
                    <w:tr2bl w:val="nil"/>
                  </w:tcBorders>
                  <w:vAlign w:val="center"/>
                </w:tcPr>
                <w:p w14:paraId="6AB482CE">
                  <w:pPr>
                    <w:jc w:val="center"/>
                    <w:rPr>
                      <w:color w:val="auto"/>
                      <w:sz w:val="21"/>
                      <w:szCs w:val="21"/>
                    </w:rPr>
                  </w:pPr>
                  <w:r>
                    <w:rPr>
                      <w:rFonts w:hint="eastAsia"/>
                      <w:color w:val="auto"/>
                      <w:sz w:val="21"/>
                      <w:szCs w:val="21"/>
                    </w:rPr>
                    <w:t>154.24</w:t>
                  </w:r>
                </w:p>
              </w:tc>
              <w:tc>
                <w:tcPr>
                  <w:tcW w:w="0" w:type="auto"/>
                  <w:tcBorders>
                    <w:tl2br w:val="nil"/>
                    <w:tr2bl w:val="nil"/>
                  </w:tcBorders>
                  <w:vAlign w:val="center"/>
                </w:tcPr>
                <w:p w14:paraId="7842E3A0">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08D88C65">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241A3069">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3265DC14">
                  <w:pPr>
                    <w:jc w:val="center"/>
                    <w:rPr>
                      <w:color w:val="auto"/>
                      <w:sz w:val="21"/>
                      <w:szCs w:val="21"/>
                    </w:rPr>
                  </w:pPr>
                  <w:r>
                    <w:rPr>
                      <w:rFonts w:hint="eastAsia"/>
                      <w:color w:val="auto"/>
                      <w:sz w:val="21"/>
                      <w:szCs w:val="21"/>
                    </w:rPr>
                    <w:t>昼间、夜间</w:t>
                  </w:r>
                </w:p>
              </w:tc>
            </w:tr>
            <w:tr w14:paraId="1EDA450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1CD479E8">
                  <w:pPr>
                    <w:jc w:val="center"/>
                    <w:rPr>
                      <w:color w:val="auto"/>
                      <w:sz w:val="21"/>
                      <w:szCs w:val="21"/>
                    </w:rPr>
                  </w:pPr>
                  <w:r>
                    <w:rPr>
                      <w:rFonts w:hint="eastAsia"/>
                      <w:color w:val="auto"/>
                      <w:sz w:val="21"/>
                      <w:szCs w:val="21"/>
                    </w:rPr>
                    <w:t>10</w:t>
                  </w:r>
                </w:p>
              </w:tc>
              <w:tc>
                <w:tcPr>
                  <w:tcW w:w="0" w:type="auto"/>
                  <w:tcBorders>
                    <w:tl2br w:val="nil"/>
                    <w:tr2bl w:val="nil"/>
                  </w:tcBorders>
                  <w:vAlign w:val="center"/>
                </w:tcPr>
                <w:p w14:paraId="35C492EF">
                  <w:pPr>
                    <w:jc w:val="center"/>
                    <w:rPr>
                      <w:color w:val="auto"/>
                      <w:sz w:val="21"/>
                      <w:szCs w:val="21"/>
                    </w:rPr>
                  </w:pPr>
                  <w:r>
                    <w:rPr>
                      <w:rFonts w:hint="eastAsia"/>
                      <w:color w:val="auto"/>
                      <w:sz w:val="21"/>
                      <w:szCs w:val="21"/>
                    </w:rPr>
                    <w:t>3#搅拌器</w:t>
                  </w:r>
                </w:p>
              </w:tc>
              <w:tc>
                <w:tcPr>
                  <w:tcW w:w="0" w:type="auto"/>
                  <w:tcBorders>
                    <w:tl2br w:val="nil"/>
                    <w:tr2bl w:val="nil"/>
                  </w:tcBorders>
                  <w:shd w:val="clear" w:color="auto" w:fill="auto"/>
                  <w:vAlign w:val="center"/>
                </w:tcPr>
                <w:p w14:paraId="783631B8">
                  <w:pPr>
                    <w:jc w:val="center"/>
                    <w:rPr>
                      <w:color w:val="auto"/>
                      <w:sz w:val="21"/>
                      <w:szCs w:val="21"/>
                    </w:rPr>
                  </w:pPr>
                  <w:r>
                    <w:rPr>
                      <w:rFonts w:hint="eastAsia"/>
                      <w:color w:val="auto"/>
                      <w:sz w:val="21"/>
                      <w:szCs w:val="21"/>
                    </w:rPr>
                    <w:t>216.81</w:t>
                  </w:r>
                </w:p>
              </w:tc>
              <w:tc>
                <w:tcPr>
                  <w:tcW w:w="0" w:type="auto"/>
                  <w:tcBorders>
                    <w:tl2br w:val="nil"/>
                    <w:tr2bl w:val="nil"/>
                  </w:tcBorders>
                  <w:vAlign w:val="center"/>
                </w:tcPr>
                <w:p w14:paraId="483C97F3">
                  <w:pPr>
                    <w:jc w:val="center"/>
                    <w:rPr>
                      <w:color w:val="auto"/>
                      <w:sz w:val="21"/>
                      <w:szCs w:val="21"/>
                    </w:rPr>
                  </w:pPr>
                  <w:r>
                    <w:rPr>
                      <w:rFonts w:hint="eastAsia"/>
                      <w:color w:val="auto"/>
                      <w:sz w:val="21"/>
                      <w:szCs w:val="21"/>
                    </w:rPr>
                    <w:t>159.66</w:t>
                  </w:r>
                </w:p>
              </w:tc>
              <w:tc>
                <w:tcPr>
                  <w:tcW w:w="0" w:type="auto"/>
                  <w:tcBorders>
                    <w:tl2br w:val="nil"/>
                    <w:tr2bl w:val="nil"/>
                  </w:tcBorders>
                  <w:vAlign w:val="center"/>
                </w:tcPr>
                <w:p w14:paraId="2484329D">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65DC17EB">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3FB65CC6">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462F99B8">
                  <w:pPr>
                    <w:jc w:val="center"/>
                    <w:rPr>
                      <w:color w:val="auto"/>
                      <w:sz w:val="21"/>
                      <w:szCs w:val="21"/>
                    </w:rPr>
                  </w:pPr>
                  <w:r>
                    <w:rPr>
                      <w:rFonts w:hint="eastAsia"/>
                      <w:color w:val="auto"/>
                      <w:sz w:val="21"/>
                      <w:szCs w:val="21"/>
                    </w:rPr>
                    <w:t>昼间、夜间</w:t>
                  </w:r>
                </w:p>
              </w:tc>
            </w:tr>
            <w:tr w14:paraId="74E2AF1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ECB8132">
                  <w:pPr>
                    <w:jc w:val="center"/>
                    <w:rPr>
                      <w:color w:val="auto"/>
                      <w:sz w:val="21"/>
                      <w:szCs w:val="21"/>
                    </w:rPr>
                  </w:pPr>
                  <w:r>
                    <w:rPr>
                      <w:rFonts w:hint="eastAsia"/>
                      <w:color w:val="auto"/>
                      <w:sz w:val="21"/>
                      <w:szCs w:val="21"/>
                    </w:rPr>
                    <w:t>11</w:t>
                  </w:r>
                </w:p>
              </w:tc>
              <w:tc>
                <w:tcPr>
                  <w:tcW w:w="0" w:type="auto"/>
                  <w:tcBorders>
                    <w:tl2br w:val="nil"/>
                    <w:tr2bl w:val="nil"/>
                  </w:tcBorders>
                  <w:vAlign w:val="center"/>
                </w:tcPr>
                <w:p w14:paraId="54AFE2C7">
                  <w:pPr>
                    <w:jc w:val="center"/>
                    <w:rPr>
                      <w:color w:val="auto"/>
                      <w:sz w:val="21"/>
                      <w:szCs w:val="21"/>
                    </w:rPr>
                  </w:pPr>
                  <w:r>
                    <w:rPr>
                      <w:rFonts w:hint="eastAsia"/>
                      <w:color w:val="auto"/>
                      <w:sz w:val="21"/>
                      <w:szCs w:val="21"/>
                    </w:rPr>
                    <w:t>4#搅拌器</w:t>
                  </w:r>
                </w:p>
              </w:tc>
              <w:tc>
                <w:tcPr>
                  <w:tcW w:w="0" w:type="auto"/>
                  <w:tcBorders>
                    <w:tl2br w:val="nil"/>
                    <w:tr2bl w:val="nil"/>
                  </w:tcBorders>
                  <w:shd w:val="clear" w:color="auto" w:fill="auto"/>
                  <w:vAlign w:val="center"/>
                </w:tcPr>
                <w:p w14:paraId="074A2756">
                  <w:pPr>
                    <w:jc w:val="center"/>
                    <w:rPr>
                      <w:color w:val="auto"/>
                      <w:sz w:val="21"/>
                      <w:szCs w:val="21"/>
                    </w:rPr>
                  </w:pPr>
                  <w:r>
                    <w:rPr>
                      <w:rFonts w:hint="eastAsia"/>
                      <w:color w:val="auto"/>
                      <w:sz w:val="21"/>
                      <w:szCs w:val="21"/>
                    </w:rPr>
                    <w:t>215.2</w:t>
                  </w:r>
                </w:p>
              </w:tc>
              <w:tc>
                <w:tcPr>
                  <w:tcW w:w="0" w:type="auto"/>
                  <w:tcBorders>
                    <w:tl2br w:val="nil"/>
                    <w:tr2bl w:val="nil"/>
                  </w:tcBorders>
                  <w:vAlign w:val="center"/>
                </w:tcPr>
                <w:p w14:paraId="4B4361D1">
                  <w:pPr>
                    <w:jc w:val="center"/>
                    <w:rPr>
                      <w:color w:val="auto"/>
                      <w:sz w:val="21"/>
                      <w:szCs w:val="21"/>
                    </w:rPr>
                  </w:pPr>
                  <w:r>
                    <w:rPr>
                      <w:rFonts w:hint="eastAsia"/>
                      <w:color w:val="auto"/>
                      <w:sz w:val="21"/>
                      <w:szCs w:val="21"/>
                    </w:rPr>
                    <w:t>155.39</w:t>
                  </w:r>
                </w:p>
              </w:tc>
              <w:tc>
                <w:tcPr>
                  <w:tcW w:w="0" w:type="auto"/>
                  <w:tcBorders>
                    <w:tl2br w:val="nil"/>
                    <w:tr2bl w:val="nil"/>
                  </w:tcBorders>
                  <w:vAlign w:val="center"/>
                </w:tcPr>
                <w:p w14:paraId="025D8DE3">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4E66AB59">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1BFC6C4E">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1D4471E1">
                  <w:pPr>
                    <w:jc w:val="center"/>
                    <w:rPr>
                      <w:color w:val="auto"/>
                      <w:sz w:val="21"/>
                      <w:szCs w:val="21"/>
                    </w:rPr>
                  </w:pPr>
                  <w:r>
                    <w:rPr>
                      <w:rFonts w:hint="eastAsia"/>
                      <w:color w:val="auto"/>
                      <w:sz w:val="21"/>
                      <w:szCs w:val="21"/>
                    </w:rPr>
                    <w:t>昼间、夜间</w:t>
                  </w:r>
                </w:p>
              </w:tc>
            </w:tr>
            <w:tr w14:paraId="747BC68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67AE026">
                  <w:pPr>
                    <w:jc w:val="center"/>
                    <w:rPr>
                      <w:color w:val="auto"/>
                      <w:sz w:val="21"/>
                      <w:szCs w:val="21"/>
                    </w:rPr>
                  </w:pPr>
                  <w:r>
                    <w:rPr>
                      <w:rFonts w:hint="eastAsia"/>
                      <w:color w:val="auto"/>
                      <w:sz w:val="21"/>
                      <w:szCs w:val="21"/>
                    </w:rPr>
                    <w:t>12</w:t>
                  </w:r>
                </w:p>
              </w:tc>
              <w:tc>
                <w:tcPr>
                  <w:tcW w:w="0" w:type="auto"/>
                  <w:tcBorders>
                    <w:tl2br w:val="nil"/>
                    <w:tr2bl w:val="nil"/>
                  </w:tcBorders>
                  <w:vAlign w:val="center"/>
                </w:tcPr>
                <w:p w14:paraId="060AFC65">
                  <w:pPr>
                    <w:jc w:val="center"/>
                    <w:rPr>
                      <w:color w:val="auto"/>
                      <w:sz w:val="21"/>
                      <w:szCs w:val="21"/>
                    </w:rPr>
                  </w:pPr>
                  <w:r>
                    <w:rPr>
                      <w:rFonts w:hint="eastAsia"/>
                      <w:color w:val="auto"/>
                      <w:sz w:val="21"/>
                      <w:szCs w:val="21"/>
                    </w:rPr>
                    <w:t>5#搅拌器</w:t>
                  </w:r>
                </w:p>
              </w:tc>
              <w:tc>
                <w:tcPr>
                  <w:tcW w:w="0" w:type="auto"/>
                  <w:tcBorders>
                    <w:tl2br w:val="nil"/>
                    <w:tr2bl w:val="nil"/>
                  </w:tcBorders>
                  <w:shd w:val="clear" w:color="auto" w:fill="auto"/>
                  <w:vAlign w:val="center"/>
                </w:tcPr>
                <w:p w14:paraId="71931B38">
                  <w:pPr>
                    <w:jc w:val="center"/>
                    <w:rPr>
                      <w:color w:val="auto"/>
                      <w:sz w:val="21"/>
                      <w:szCs w:val="21"/>
                    </w:rPr>
                  </w:pPr>
                  <w:r>
                    <w:rPr>
                      <w:rFonts w:hint="eastAsia"/>
                      <w:color w:val="auto"/>
                      <w:sz w:val="21"/>
                      <w:szCs w:val="21"/>
                    </w:rPr>
                    <w:t>212.51</w:t>
                  </w:r>
                </w:p>
              </w:tc>
              <w:tc>
                <w:tcPr>
                  <w:tcW w:w="0" w:type="auto"/>
                  <w:tcBorders>
                    <w:tl2br w:val="nil"/>
                    <w:tr2bl w:val="nil"/>
                  </w:tcBorders>
                  <w:vAlign w:val="center"/>
                </w:tcPr>
                <w:p w14:paraId="6CBC60E8">
                  <w:pPr>
                    <w:jc w:val="center"/>
                    <w:rPr>
                      <w:color w:val="auto"/>
                      <w:sz w:val="21"/>
                      <w:szCs w:val="21"/>
                    </w:rPr>
                  </w:pPr>
                  <w:r>
                    <w:rPr>
                      <w:rFonts w:hint="eastAsia"/>
                      <w:color w:val="auto"/>
                      <w:sz w:val="21"/>
                      <w:szCs w:val="21"/>
                    </w:rPr>
                    <w:t>161.36</w:t>
                  </w:r>
                </w:p>
              </w:tc>
              <w:tc>
                <w:tcPr>
                  <w:tcW w:w="0" w:type="auto"/>
                  <w:tcBorders>
                    <w:tl2br w:val="nil"/>
                    <w:tr2bl w:val="nil"/>
                  </w:tcBorders>
                  <w:vAlign w:val="center"/>
                </w:tcPr>
                <w:p w14:paraId="1582F75B">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3896B30E">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4928400D">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3FF4373B">
                  <w:pPr>
                    <w:jc w:val="center"/>
                    <w:rPr>
                      <w:color w:val="auto"/>
                      <w:sz w:val="21"/>
                      <w:szCs w:val="21"/>
                    </w:rPr>
                  </w:pPr>
                  <w:r>
                    <w:rPr>
                      <w:rFonts w:hint="eastAsia"/>
                      <w:color w:val="auto"/>
                      <w:sz w:val="21"/>
                      <w:szCs w:val="21"/>
                    </w:rPr>
                    <w:t>昼间、夜间</w:t>
                  </w:r>
                </w:p>
              </w:tc>
            </w:tr>
            <w:tr w14:paraId="53FDA24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DB6AFB4">
                  <w:pPr>
                    <w:jc w:val="center"/>
                    <w:rPr>
                      <w:color w:val="auto"/>
                      <w:sz w:val="21"/>
                      <w:szCs w:val="21"/>
                    </w:rPr>
                  </w:pPr>
                  <w:r>
                    <w:rPr>
                      <w:rFonts w:hint="eastAsia"/>
                      <w:color w:val="auto"/>
                      <w:sz w:val="21"/>
                      <w:szCs w:val="21"/>
                    </w:rPr>
                    <w:t>13</w:t>
                  </w:r>
                </w:p>
              </w:tc>
              <w:tc>
                <w:tcPr>
                  <w:tcW w:w="0" w:type="auto"/>
                  <w:tcBorders>
                    <w:tl2br w:val="nil"/>
                    <w:tr2bl w:val="nil"/>
                  </w:tcBorders>
                  <w:vAlign w:val="center"/>
                </w:tcPr>
                <w:p w14:paraId="37F6AA94">
                  <w:pPr>
                    <w:jc w:val="center"/>
                    <w:rPr>
                      <w:color w:val="auto"/>
                      <w:sz w:val="21"/>
                      <w:szCs w:val="21"/>
                    </w:rPr>
                  </w:pPr>
                  <w:r>
                    <w:rPr>
                      <w:rFonts w:hint="eastAsia"/>
                      <w:color w:val="auto"/>
                      <w:sz w:val="21"/>
                      <w:szCs w:val="21"/>
                    </w:rPr>
                    <w:t>6#搅拌器</w:t>
                  </w:r>
                </w:p>
              </w:tc>
              <w:tc>
                <w:tcPr>
                  <w:tcW w:w="0" w:type="auto"/>
                  <w:tcBorders>
                    <w:tl2br w:val="nil"/>
                    <w:tr2bl w:val="nil"/>
                  </w:tcBorders>
                  <w:shd w:val="clear" w:color="auto" w:fill="auto"/>
                  <w:vAlign w:val="center"/>
                </w:tcPr>
                <w:p w14:paraId="04915029">
                  <w:pPr>
                    <w:jc w:val="center"/>
                    <w:rPr>
                      <w:color w:val="auto"/>
                      <w:sz w:val="21"/>
                      <w:szCs w:val="21"/>
                    </w:rPr>
                  </w:pPr>
                  <w:r>
                    <w:rPr>
                      <w:rFonts w:hint="eastAsia"/>
                      <w:color w:val="auto"/>
                      <w:sz w:val="21"/>
                      <w:szCs w:val="21"/>
                    </w:rPr>
                    <w:t>210.88</w:t>
                  </w:r>
                </w:p>
              </w:tc>
              <w:tc>
                <w:tcPr>
                  <w:tcW w:w="0" w:type="auto"/>
                  <w:tcBorders>
                    <w:tl2br w:val="nil"/>
                    <w:tr2bl w:val="nil"/>
                  </w:tcBorders>
                  <w:vAlign w:val="center"/>
                </w:tcPr>
                <w:p w14:paraId="30285781">
                  <w:pPr>
                    <w:jc w:val="center"/>
                    <w:rPr>
                      <w:color w:val="auto"/>
                      <w:sz w:val="21"/>
                      <w:szCs w:val="21"/>
                    </w:rPr>
                  </w:pPr>
                  <w:r>
                    <w:rPr>
                      <w:rFonts w:hint="eastAsia"/>
                      <w:color w:val="auto"/>
                      <w:sz w:val="21"/>
                      <w:szCs w:val="21"/>
                    </w:rPr>
                    <w:t>156.96</w:t>
                  </w:r>
                </w:p>
              </w:tc>
              <w:tc>
                <w:tcPr>
                  <w:tcW w:w="0" w:type="auto"/>
                  <w:tcBorders>
                    <w:tl2br w:val="nil"/>
                    <w:tr2bl w:val="nil"/>
                  </w:tcBorders>
                  <w:vAlign w:val="center"/>
                </w:tcPr>
                <w:p w14:paraId="47AFD8F4">
                  <w:pPr>
                    <w:jc w:val="center"/>
                    <w:rPr>
                      <w:color w:val="auto"/>
                      <w:sz w:val="21"/>
                      <w:szCs w:val="21"/>
                    </w:rPr>
                  </w:pPr>
                  <w:r>
                    <w:rPr>
                      <w:color w:val="auto"/>
                      <w:sz w:val="21"/>
                      <w:szCs w:val="21"/>
                    </w:rPr>
                    <w:t>1</w:t>
                  </w:r>
                </w:p>
              </w:tc>
              <w:tc>
                <w:tcPr>
                  <w:tcW w:w="0" w:type="auto"/>
                  <w:tcBorders>
                    <w:tl2br w:val="nil"/>
                    <w:tr2bl w:val="nil"/>
                  </w:tcBorders>
                  <w:vAlign w:val="center"/>
                </w:tcPr>
                <w:p w14:paraId="5474240A">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02FD20BA">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3360A247">
                  <w:pPr>
                    <w:jc w:val="center"/>
                    <w:rPr>
                      <w:color w:val="auto"/>
                      <w:sz w:val="21"/>
                      <w:szCs w:val="21"/>
                    </w:rPr>
                  </w:pPr>
                  <w:r>
                    <w:rPr>
                      <w:rFonts w:hint="eastAsia"/>
                      <w:color w:val="auto"/>
                      <w:sz w:val="21"/>
                      <w:szCs w:val="21"/>
                    </w:rPr>
                    <w:t>昼间、夜间</w:t>
                  </w:r>
                </w:p>
              </w:tc>
            </w:tr>
            <w:tr w14:paraId="5CAA15F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77C3C00E">
                  <w:pPr>
                    <w:jc w:val="center"/>
                    <w:rPr>
                      <w:color w:val="auto"/>
                      <w:sz w:val="21"/>
                      <w:szCs w:val="21"/>
                    </w:rPr>
                  </w:pPr>
                  <w:r>
                    <w:rPr>
                      <w:rFonts w:hint="eastAsia"/>
                      <w:color w:val="auto"/>
                      <w:sz w:val="21"/>
                      <w:szCs w:val="21"/>
                    </w:rPr>
                    <w:t>14</w:t>
                  </w:r>
                </w:p>
              </w:tc>
              <w:tc>
                <w:tcPr>
                  <w:tcW w:w="0" w:type="auto"/>
                  <w:tcBorders>
                    <w:tl2br w:val="nil"/>
                    <w:tr2bl w:val="nil"/>
                  </w:tcBorders>
                  <w:vAlign w:val="center"/>
                </w:tcPr>
                <w:p w14:paraId="643E40AF">
                  <w:pPr>
                    <w:jc w:val="center"/>
                    <w:rPr>
                      <w:color w:val="auto"/>
                      <w:sz w:val="21"/>
                      <w:szCs w:val="21"/>
                    </w:rPr>
                  </w:pPr>
                  <w:r>
                    <w:rPr>
                      <w:rFonts w:hint="eastAsia"/>
                      <w:color w:val="auto"/>
                      <w:sz w:val="21"/>
                      <w:szCs w:val="21"/>
                    </w:rPr>
                    <w:t>7#搅拌器</w:t>
                  </w:r>
                </w:p>
              </w:tc>
              <w:tc>
                <w:tcPr>
                  <w:tcW w:w="0" w:type="auto"/>
                  <w:tcBorders>
                    <w:tl2br w:val="nil"/>
                    <w:tr2bl w:val="nil"/>
                  </w:tcBorders>
                  <w:shd w:val="clear" w:color="auto" w:fill="auto"/>
                  <w:vAlign w:val="center"/>
                </w:tcPr>
                <w:p w14:paraId="0B490036">
                  <w:pPr>
                    <w:jc w:val="center"/>
                    <w:rPr>
                      <w:color w:val="auto"/>
                      <w:sz w:val="21"/>
                      <w:szCs w:val="21"/>
                    </w:rPr>
                  </w:pPr>
                  <w:r>
                    <w:rPr>
                      <w:rFonts w:hint="eastAsia"/>
                      <w:color w:val="auto"/>
                      <w:sz w:val="21"/>
                      <w:szCs w:val="21"/>
                    </w:rPr>
                    <w:t>209.34</w:t>
                  </w:r>
                </w:p>
              </w:tc>
              <w:tc>
                <w:tcPr>
                  <w:tcW w:w="0" w:type="auto"/>
                  <w:tcBorders>
                    <w:tl2br w:val="nil"/>
                    <w:tr2bl w:val="nil"/>
                  </w:tcBorders>
                  <w:vAlign w:val="center"/>
                </w:tcPr>
                <w:p w14:paraId="14C9315B">
                  <w:pPr>
                    <w:jc w:val="center"/>
                    <w:rPr>
                      <w:color w:val="auto"/>
                      <w:sz w:val="21"/>
                      <w:szCs w:val="21"/>
                    </w:rPr>
                  </w:pPr>
                  <w:r>
                    <w:rPr>
                      <w:rFonts w:hint="eastAsia"/>
                      <w:color w:val="auto"/>
                      <w:sz w:val="21"/>
                      <w:szCs w:val="21"/>
                    </w:rPr>
                    <w:t>162.9</w:t>
                  </w:r>
                </w:p>
              </w:tc>
              <w:tc>
                <w:tcPr>
                  <w:tcW w:w="0" w:type="auto"/>
                  <w:tcBorders>
                    <w:tl2br w:val="nil"/>
                    <w:tr2bl w:val="nil"/>
                  </w:tcBorders>
                  <w:vAlign w:val="center"/>
                </w:tcPr>
                <w:p w14:paraId="42F6AE57">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5EC51356">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5DF92CF7">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1E18E7D3">
                  <w:pPr>
                    <w:jc w:val="center"/>
                    <w:rPr>
                      <w:color w:val="auto"/>
                      <w:sz w:val="21"/>
                      <w:szCs w:val="21"/>
                    </w:rPr>
                  </w:pPr>
                  <w:r>
                    <w:rPr>
                      <w:rFonts w:hint="eastAsia"/>
                      <w:color w:val="auto"/>
                      <w:sz w:val="21"/>
                      <w:szCs w:val="21"/>
                    </w:rPr>
                    <w:t>昼间、夜间</w:t>
                  </w:r>
                </w:p>
              </w:tc>
            </w:tr>
            <w:tr w14:paraId="126F727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0308EEA0">
                  <w:pPr>
                    <w:jc w:val="center"/>
                    <w:rPr>
                      <w:color w:val="auto"/>
                      <w:sz w:val="21"/>
                      <w:szCs w:val="21"/>
                    </w:rPr>
                  </w:pPr>
                  <w:r>
                    <w:rPr>
                      <w:rFonts w:hint="eastAsia"/>
                      <w:color w:val="auto"/>
                      <w:sz w:val="21"/>
                      <w:szCs w:val="21"/>
                    </w:rPr>
                    <w:t>15</w:t>
                  </w:r>
                </w:p>
              </w:tc>
              <w:tc>
                <w:tcPr>
                  <w:tcW w:w="0" w:type="auto"/>
                  <w:tcBorders>
                    <w:tl2br w:val="nil"/>
                    <w:tr2bl w:val="nil"/>
                  </w:tcBorders>
                  <w:vAlign w:val="center"/>
                </w:tcPr>
                <w:p w14:paraId="20B43F02">
                  <w:pPr>
                    <w:jc w:val="center"/>
                    <w:rPr>
                      <w:color w:val="auto"/>
                      <w:sz w:val="21"/>
                      <w:szCs w:val="21"/>
                    </w:rPr>
                  </w:pPr>
                  <w:r>
                    <w:rPr>
                      <w:rFonts w:hint="eastAsia"/>
                      <w:color w:val="auto"/>
                      <w:sz w:val="21"/>
                      <w:szCs w:val="21"/>
                    </w:rPr>
                    <w:t>8#搅拌器</w:t>
                  </w:r>
                </w:p>
              </w:tc>
              <w:tc>
                <w:tcPr>
                  <w:tcW w:w="0" w:type="auto"/>
                  <w:tcBorders>
                    <w:tl2br w:val="nil"/>
                    <w:tr2bl w:val="nil"/>
                  </w:tcBorders>
                  <w:shd w:val="clear" w:color="auto" w:fill="auto"/>
                  <w:vAlign w:val="center"/>
                </w:tcPr>
                <w:p w14:paraId="7B20B99E">
                  <w:pPr>
                    <w:jc w:val="center"/>
                    <w:rPr>
                      <w:color w:val="auto"/>
                      <w:sz w:val="21"/>
                      <w:szCs w:val="21"/>
                    </w:rPr>
                  </w:pPr>
                  <w:r>
                    <w:rPr>
                      <w:rFonts w:hint="eastAsia"/>
                      <w:color w:val="auto"/>
                      <w:sz w:val="21"/>
                      <w:szCs w:val="21"/>
                    </w:rPr>
                    <w:t>207.22</w:t>
                  </w:r>
                </w:p>
              </w:tc>
              <w:tc>
                <w:tcPr>
                  <w:tcW w:w="0" w:type="auto"/>
                  <w:tcBorders>
                    <w:tl2br w:val="nil"/>
                    <w:tr2bl w:val="nil"/>
                  </w:tcBorders>
                  <w:vAlign w:val="center"/>
                </w:tcPr>
                <w:p w14:paraId="192EB4FD">
                  <w:pPr>
                    <w:jc w:val="center"/>
                    <w:rPr>
                      <w:color w:val="auto"/>
                      <w:sz w:val="21"/>
                      <w:szCs w:val="21"/>
                    </w:rPr>
                  </w:pPr>
                  <w:r>
                    <w:rPr>
                      <w:rFonts w:hint="eastAsia"/>
                      <w:color w:val="auto"/>
                      <w:sz w:val="21"/>
                      <w:szCs w:val="21"/>
                    </w:rPr>
                    <w:t>158.22</w:t>
                  </w:r>
                </w:p>
              </w:tc>
              <w:tc>
                <w:tcPr>
                  <w:tcW w:w="0" w:type="auto"/>
                  <w:tcBorders>
                    <w:tl2br w:val="nil"/>
                    <w:tr2bl w:val="nil"/>
                  </w:tcBorders>
                  <w:vAlign w:val="center"/>
                </w:tcPr>
                <w:p w14:paraId="6080FC00">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59C8DBD7">
                  <w:pPr>
                    <w:jc w:val="center"/>
                    <w:rPr>
                      <w:color w:val="auto"/>
                      <w:sz w:val="21"/>
                      <w:szCs w:val="21"/>
                    </w:rPr>
                  </w:pPr>
                  <w:r>
                    <w:rPr>
                      <w:rFonts w:hint="eastAsia"/>
                      <w:color w:val="auto"/>
                      <w:sz w:val="21"/>
                      <w:szCs w:val="21"/>
                    </w:rPr>
                    <w:t>70</w:t>
                  </w:r>
                </w:p>
              </w:tc>
              <w:tc>
                <w:tcPr>
                  <w:tcW w:w="0" w:type="auto"/>
                  <w:tcBorders>
                    <w:tl2br w:val="nil"/>
                    <w:tr2bl w:val="nil"/>
                  </w:tcBorders>
                  <w:vAlign w:val="center"/>
                </w:tcPr>
                <w:p w14:paraId="2F150D65">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11CAA4CC">
                  <w:pPr>
                    <w:jc w:val="center"/>
                    <w:rPr>
                      <w:color w:val="auto"/>
                      <w:sz w:val="21"/>
                      <w:szCs w:val="21"/>
                    </w:rPr>
                  </w:pPr>
                  <w:r>
                    <w:rPr>
                      <w:rFonts w:hint="eastAsia"/>
                      <w:color w:val="auto"/>
                      <w:sz w:val="21"/>
                      <w:szCs w:val="21"/>
                    </w:rPr>
                    <w:t>昼间、夜间</w:t>
                  </w:r>
                </w:p>
              </w:tc>
            </w:tr>
            <w:tr w14:paraId="07DB6E2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45815D7C">
                  <w:pPr>
                    <w:jc w:val="center"/>
                    <w:rPr>
                      <w:color w:val="auto"/>
                      <w:sz w:val="21"/>
                      <w:szCs w:val="21"/>
                    </w:rPr>
                  </w:pPr>
                  <w:r>
                    <w:rPr>
                      <w:rFonts w:hint="eastAsia"/>
                      <w:color w:val="auto"/>
                      <w:sz w:val="21"/>
                      <w:szCs w:val="21"/>
                    </w:rPr>
                    <w:t>16</w:t>
                  </w:r>
                </w:p>
              </w:tc>
              <w:tc>
                <w:tcPr>
                  <w:tcW w:w="0" w:type="auto"/>
                  <w:tcBorders>
                    <w:tl2br w:val="nil"/>
                    <w:tr2bl w:val="nil"/>
                  </w:tcBorders>
                  <w:vAlign w:val="center"/>
                </w:tcPr>
                <w:p w14:paraId="19072B2A">
                  <w:pPr>
                    <w:jc w:val="center"/>
                    <w:rPr>
                      <w:color w:val="auto"/>
                      <w:sz w:val="21"/>
                      <w:szCs w:val="21"/>
                    </w:rPr>
                  </w:pPr>
                  <w:r>
                    <w:rPr>
                      <w:rFonts w:hint="eastAsia"/>
                      <w:color w:val="auto"/>
                      <w:sz w:val="21"/>
                      <w:szCs w:val="21"/>
                    </w:rPr>
                    <w:t>天车</w:t>
                  </w:r>
                </w:p>
              </w:tc>
              <w:tc>
                <w:tcPr>
                  <w:tcW w:w="0" w:type="auto"/>
                  <w:tcBorders>
                    <w:tl2br w:val="nil"/>
                    <w:tr2bl w:val="nil"/>
                  </w:tcBorders>
                  <w:vAlign w:val="center"/>
                </w:tcPr>
                <w:p w14:paraId="572C894A">
                  <w:pPr>
                    <w:jc w:val="center"/>
                    <w:rPr>
                      <w:color w:val="auto"/>
                      <w:sz w:val="21"/>
                      <w:szCs w:val="21"/>
                    </w:rPr>
                  </w:pPr>
                  <w:r>
                    <w:rPr>
                      <w:rFonts w:hint="eastAsia"/>
                      <w:color w:val="auto"/>
                      <w:sz w:val="21"/>
                      <w:szCs w:val="21"/>
                    </w:rPr>
                    <w:t>217.85</w:t>
                  </w:r>
                </w:p>
              </w:tc>
              <w:tc>
                <w:tcPr>
                  <w:tcW w:w="0" w:type="auto"/>
                  <w:tcBorders>
                    <w:tl2br w:val="nil"/>
                    <w:tr2bl w:val="nil"/>
                  </w:tcBorders>
                  <w:vAlign w:val="center"/>
                </w:tcPr>
                <w:p w14:paraId="35D10C05">
                  <w:pPr>
                    <w:jc w:val="center"/>
                    <w:rPr>
                      <w:color w:val="auto"/>
                      <w:sz w:val="21"/>
                      <w:szCs w:val="21"/>
                    </w:rPr>
                  </w:pPr>
                  <w:r>
                    <w:rPr>
                      <w:rFonts w:hint="eastAsia"/>
                      <w:color w:val="auto"/>
                      <w:sz w:val="21"/>
                      <w:szCs w:val="21"/>
                    </w:rPr>
                    <w:t>123.16</w:t>
                  </w:r>
                </w:p>
              </w:tc>
              <w:tc>
                <w:tcPr>
                  <w:tcW w:w="0" w:type="auto"/>
                  <w:tcBorders>
                    <w:tl2br w:val="nil"/>
                    <w:tr2bl w:val="nil"/>
                  </w:tcBorders>
                  <w:vAlign w:val="center"/>
                </w:tcPr>
                <w:p w14:paraId="0251D9DD">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6B2C0BF7">
                  <w:pPr>
                    <w:jc w:val="center"/>
                    <w:rPr>
                      <w:color w:val="auto"/>
                      <w:sz w:val="21"/>
                      <w:szCs w:val="21"/>
                    </w:rPr>
                  </w:pPr>
                  <w:r>
                    <w:rPr>
                      <w:rFonts w:hint="eastAsia"/>
                      <w:color w:val="auto"/>
                      <w:sz w:val="21"/>
                      <w:szCs w:val="21"/>
                    </w:rPr>
                    <w:t>85</w:t>
                  </w:r>
                </w:p>
              </w:tc>
              <w:tc>
                <w:tcPr>
                  <w:tcW w:w="0" w:type="auto"/>
                  <w:tcBorders>
                    <w:tl2br w:val="nil"/>
                    <w:tr2bl w:val="nil"/>
                  </w:tcBorders>
                  <w:vAlign w:val="center"/>
                </w:tcPr>
                <w:p w14:paraId="70FCF1C0">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5B233CB3">
                  <w:pPr>
                    <w:jc w:val="center"/>
                    <w:rPr>
                      <w:color w:val="auto"/>
                      <w:sz w:val="21"/>
                      <w:szCs w:val="21"/>
                    </w:rPr>
                  </w:pPr>
                  <w:r>
                    <w:rPr>
                      <w:rFonts w:hint="eastAsia"/>
                      <w:color w:val="auto"/>
                      <w:sz w:val="21"/>
                      <w:szCs w:val="21"/>
                    </w:rPr>
                    <w:t>昼间、夜间</w:t>
                  </w:r>
                </w:p>
              </w:tc>
            </w:tr>
            <w:tr w14:paraId="365400E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5E5EEF7B">
                  <w:pPr>
                    <w:jc w:val="center"/>
                    <w:rPr>
                      <w:color w:val="auto"/>
                      <w:sz w:val="21"/>
                      <w:szCs w:val="21"/>
                    </w:rPr>
                  </w:pPr>
                  <w:r>
                    <w:rPr>
                      <w:rFonts w:hint="eastAsia"/>
                      <w:color w:val="auto"/>
                      <w:sz w:val="21"/>
                      <w:szCs w:val="21"/>
                    </w:rPr>
                    <w:t>17</w:t>
                  </w:r>
                </w:p>
              </w:tc>
              <w:tc>
                <w:tcPr>
                  <w:tcW w:w="0" w:type="auto"/>
                  <w:tcBorders>
                    <w:tl2br w:val="nil"/>
                    <w:tr2bl w:val="nil"/>
                  </w:tcBorders>
                  <w:vAlign w:val="center"/>
                </w:tcPr>
                <w:p w14:paraId="42E56CE4">
                  <w:pPr>
                    <w:jc w:val="center"/>
                    <w:rPr>
                      <w:color w:val="auto"/>
                      <w:sz w:val="21"/>
                      <w:szCs w:val="21"/>
                    </w:rPr>
                  </w:pPr>
                  <w:r>
                    <w:rPr>
                      <w:rFonts w:hint="eastAsia"/>
                      <w:color w:val="auto"/>
                      <w:sz w:val="21"/>
                      <w:szCs w:val="21"/>
                    </w:rPr>
                    <w:t>绞车</w:t>
                  </w:r>
                </w:p>
              </w:tc>
              <w:tc>
                <w:tcPr>
                  <w:tcW w:w="0" w:type="auto"/>
                  <w:tcBorders>
                    <w:tl2br w:val="nil"/>
                    <w:tr2bl w:val="nil"/>
                  </w:tcBorders>
                  <w:vAlign w:val="center"/>
                </w:tcPr>
                <w:p w14:paraId="666376B7">
                  <w:pPr>
                    <w:jc w:val="center"/>
                    <w:rPr>
                      <w:color w:val="auto"/>
                      <w:sz w:val="21"/>
                      <w:szCs w:val="21"/>
                    </w:rPr>
                  </w:pPr>
                  <w:r>
                    <w:rPr>
                      <w:rFonts w:hint="eastAsia"/>
                      <w:color w:val="auto"/>
                      <w:sz w:val="21"/>
                      <w:szCs w:val="21"/>
                    </w:rPr>
                    <w:t>223.36</w:t>
                  </w:r>
                </w:p>
              </w:tc>
              <w:tc>
                <w:tcPr>
                  <w:tcW w:w="0" w:type="auto"/>
                  <w:tcBorders>
                    <w:tl2br w:val="nil"/>
                    <w:tr2bl w:val="nil"/>
                  </w:tcBorders>
                  <w:vAlign w:val="center"/>
                </w:tcPr>
                <w:p w14:paraId="764F181C">
                  <w:pPr>
                    <w:jc w:val="center"/>
                    <w:rPr>
                      <w:color w:val="auto"/>
                      <w:sz w:val="21"/>
                      <w:szCs w:val="21"/>
                    </w:rPr>
                  </w:pPr>
                  <w:r>
                    <w:rPr>
                      <w:rFonts w:hint="eastAsia"/>
                      <w:color w:val="auto"/>
                      <w:sz w:val="21"/>
                      <w:szCs w:val="21"/>
                    </w:rPr>
                    <w:t>121.39</w:t>
                  </w:r>
                </w:p>
              </w:tc>
              <w:tc>
                <w:tcPr>
                  <w:tcW w:w="0" w:type="auto"/>
                  <w:tcBorders>
                    <w:tl2br w:val="nil"/>
                    <w:tr2bl w:val="nil"/>
                  </w:tcBorders>
                  <w:vAlign w:val="center"/>
                </w:tcPr>
                <w:p w14:paraId="1CB28F8E">
                  <w:pPr>
                    <w:jc w:val="center"/>
                    <w:rPr>
                      <w:color w:val="auto"/>
                      <w:sz w:val="21"/>
                      <w:szCs w:val="21"/>
                    </w:rPr>
                  </w:pPr>
                  <w:r>
                    <w:rPr>
                      <w:rFonts w:hint="eastAsia"/>
                      <w:color w:val="auto"/>
                      <w:sz w:val="21"/>
                      <w:szCs w:val="21"/>
                    </w:rPr>
                    <w:t>1</w:t>
                  </w:r>
                </w:p>
              </w:tc>
              <w:tc>
                <w:tcPr>
                  <w:tcW w:w="0" w:type="auto"/>
                  <w:tcBorders>
                    <w:tl2br w:val="nil"/>
                    <w:tr2bl w:val="nil"/>
                  </w:tcBorders>
                  <w:vAlign w:val="center"/>
                </w:tcPr>
                <w:p w14:paraId="59D1162D">
                  <w:pPr>
                    <w:jc w:val="center"/>
                    <w:rPr>
                      <w:color w:val="auto"/>
                      <w:sz w:val="21"/>
                      <w:szCs w:val="21"/>
                    </w:rPr>
                  </w:pPr>
                  <w:r>
                    <w:rPr>
                      <w:rFonts w:hint="eastAsia"/>
                      <w:color w:val="auto"/>
                      <w:sz w:val="21"/>
                      <w:szCs w:val="21"/>
                    </w:rPr>
                    <w:t>85</w:t>
                  </w:r>
                </w:p>
              </w:tc>
              <w:tc>
                <w:tcPr>
                  <w:tcW w:w="0" w:type="auto"/>
                  <w:tcBorders>
                    <w:tl2br w:val="nil"/>
                    <w:tr2bl w:val="nil"/>
                  </w:tcBorders>
                  <w:vAlign w:val="center"/>
                </w:tcPr>
                <w:p w14:paraId="731E5E74">
                  <w:pPr>
                    <w:jc w:val="center"/>
                    <w:rPr>
                      <w:color w:val="auto"/>
                      <w:sz w:val="21"/>
                      <w:szCs w:val="21"/>
                    </w:rPr>
                  </w:pPr>
                  <w:r>
                    <w:rPr>
                      <w:rFonts w:hint="eastAsia"/>
                      <w:color w:val="auto"/>
                      <w:sz w:val="21"/>
                      <w:szCs w:val="21"/>
                    </w:rPr>
                    <w:t>减震安装、</w:t>
                  </w:r>
                  <w:r>
                    <w:rPr>
                      <w:color w:val="auto"/>
                      <w:sz w:val="21"/>
                      <w:szCs w:val="21"/>
                    </w:rPr>
                    <w:t>衬弹性垫料</w:t>
                  </w:r>
                </w:p>
              </w:tc>
              <w:tc>
                <w:tcPr>
                  <w:tcW w:w="0" w:type="auto"/>
                  <w:tcBorders>
                    <w:tl2br w:val="nil"/>
                    <w:tr2bl w:val="nil"/>
                  </w:tcBorders>
                  <w:vAlign w:val="center"/>
                </w:tcPr>
                <w:p w14:paraId="76638F0E">
                  <w:pPr>
                    <w:jc w:val="center"/>
                    <w:rPr>
                      <w:color w:val="auto"/>
                      <w:sz w:val="21"/>
                      <w:szCs w:val="21"/>
                    </w:rPr>
                  </w:pPr>
                  <w:r>
                    <w:rPr>
                      <w:rFonts w:hint="eastAsia"/>
                      <w:color w:val="auto"/>
                      <w:sz w:val="21"/>
                      <w:szCs w:val="21"/>
                    </w:rPr>
                    <w:t>昼间、夜间</w:t>
                  </w:r>
                </w:p>
              </w:tc>
            </w:tr>
            <w:tr w14:paraId="787F45B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0" w:type="auto"/>
                  <w:tcBorders>
                    <w:tl2br w:val="nil"/>
                    <w:tr2bl w:val="nil"/>
                  </w:tcBorders>
                  <w:vAlign w:val="center"/>
                </w:tcPr>
                <w:p w14:paraId="202F755B">
                  <w:pPr>
                    <w:jc w:val="center"/>
                    <w:rPr>
                      <w:color w:val="auto"/>
                      <w:sz w:val="21"/>
                      <w:szCs w:val="21"/>
                    </w:rPr>
                  </w:pPr>
                  <w:r>
                    <w:rPr>
                      <w:rFonts w:hint="eastAsia"/>
                      <w:color w:val="auto"/>
                      <w:sz w:val="21"/>
                      <w:szCs w:val="21"/>
                    </w:rPr>
                    <w:t>18</w:t>
                  </w:r>
                </w:p>
              </w:tc>
              <w:tc>
                <w:tcPr>
                  <w:tcW w:w="0" w:type="auto"/>
                  <w:tcBorders>
                    <w:tl2br w:val="nil"/>
                    <w:tr2bl w:val="nil"/>
                  </w:tcBorders>
                  <w:vAlign w:val="center"/>
                </w:tcPr>
                <w:p w14:paraId="17402BD2">
                  <w:pPr>
                    <w:jc w:val="center"/>
                    <w:rPr>
                      <w:color w:val="auto"/>
                      <w:sz w:val="21"/>
                      <w:szCs w:val="21"/>
                    </w:rPr>
                  </w:pPr>
                  <w:r>
                    <w:rPr>
                      <w:rFonts w:hint="eastAsia"/>
                      <w:color w:val="auto"/>
                      <w:sz w:val="21"/>
                      <w:szCs w:val="21"/>
                    </w:rPr>
                    <w:t>气源净化装置</w:t>
                  </w:r>
                </w:p>
              </w:tc>
              <w:tc>
                <w:tcPr>
                  <w:tcW w:w="0" w:type="auto"/>
                  <w:tcBorders>
                    <w:tl2br w:val="nil"/>
                    <w:tr2bl w:val="nil"/>
                  </w:tcBorders>
                  <w:vAlign w:val="center"/>
                </w:tcPr>
                <w:p w14:paraId="3006D633">
                  <w:pPr>
                    <w:jc w:val="center"/>
                    <w:rPr>
                      <w:color w:val="auto"/>
                      <w:sz w:val="21"/>
                      <w:szCs w:val="21"/>
                    </w:rPr>
                  </w:pPr>
                  <w:r>
                    <w:rPr>
                      <w:color w:val="auto"/>
                      <w:sz w:val="21"/>
                      <w:szCs w:val="21"/>
                    </w:rPr>
                    <w:t>215.44</w:t>
                  </w:r>
                </w:p>
              </w:tc>
              <w:tc>
                <w:tcPr>
                  <w:tcW w:w="0" w:type="auto"/>
                  <w:tcBorders>
                    <w:tl2br w:val="nil"/>
                    <w:tr2bl w:val="nil"/>
                  </w:tcBorders>
                  <w:vAlign w:val="center"/>
                </w:tcPr>
                <w:p w14:paraId="3E39A4FF">
                  <w:pPr>
                    <w:jc w:val="center"/>
                    <w:rPr>
                      <w:color w:val="auto"/>
                      <w:sz w:val="21"/>
                      <w:szCs w:val="21"/>
                    </w:rPr>
                  </w:pPr>
                  <w:r>
                    <w:rPr>
                      <w:color w:val="auto"/>
                      <w:sz w:val="21"/>
                      <w:szCs w:val="21"/>
                    </w:rPr>
                    <w:t>124.31</w:t>
                  </w:r>
                </w:p>
              </w:tc>
              <w:tc>
                <w:tcPr>
                  <w:tcW w:w="0" w:type="auto"/>
                  <w:tcBorders>
                    <w:tl2br w:val="nil"/>
                    <w:tr2bl w:val="nil"/>
                  </w:tcBorders>
                  <w:vAlign w:val="center"/>
                </w:tcPr>
                <w:p w14:paraId="2A5EDB83">
                  <w:pPr>
                    <w:jc w:val="center"/>
                    <w:rPr>
                      <w:color w:val="auto"/>
                      <w:sz w:val="21"/>
                      <w:szCs w:val="21"/>
                    </w:rPr>
                  </w:pPr>
                  <w:r>
                    <w:rPr>
                      <w:rFonts w:hint="eastAsia"/>
                      <w:color w:val="auto"/>
                      <w:sz w:val="21"/>
                      <w:szCs w:val="21"/>
                    </w:rPr>
                    <w:t>0</w:t>
                  </w:r>
                </w:p>
              </w:tc>
              <w:tc>
                <w:tcPr>
                  <w:tcW w:w="0" w:type="auto"/>
                  <w:tcBorders>
                    <w:tl2br w:val="nil"/>
                    <w:tr2bl w:val="nil"/>
                  </w:tcBorders>
                  <w:vAlign w:val="center"/>
                </w:tcPr>
                <w:p w14:paraId="2DCC7EAA">
                  <w:pPr>
                    <w:jc w:val="center"/>
                    <w:rPr>
                      <w:color w:val="auto"/>
                      <w:sz w:val="21"/>
                      <w:szCs w:val="21"/>
                    </w:rPr>
                  </w:pPr>
                  <w:r>
                    <w:rPr>
                      <w:rFonts w:hint="eastAsia"/>
                      <w:color w:val="auto"/>
                      <w:sz w:val="21"/>
                      <w:szCs w:val="21"/>
                    </w:rPr>
                    <w:t>80</w:t>
                  </w:r>
                </w:p>
              </w:tc>
              <w:tc>
                <w:tcPr>
                  <w:tcW w:w="0" w:type="auto"/>
                  <w:tcBorders>
                    <w:tl2br w:val="nil"/>
                    <w:tr2bl w:val="nil"/>
                  </w:tcBorders>
                  <w:vAlign w:val="center"/>
                </w:tcPr>
                <w:p w14:paraId="48497F88">
                  <w:pPr>
                    <w:jc w:val="center"/>
                    <w:rPr>
                      <w:color w:val="auto"/>
                      <w:sz w:val="21"/>
                      <w:szCs w:val="21"/>
                    </w:rPr>
                  </w:pPr>
                  <w:r>
                    <w:rPr>
                      <w:rFonts w:hint="eastAsia"/>
                      <w:color w:val="auto"/>
                      <w:sz w:val="21"/>
                      <w:szCs w:val="21"/>
                    </w:rPr>
                    <w:t>减震安装、衬弹性垫料</w:t>
                  </w:r>
                </w:p>
              </w:tc>
              <w:tc>
                <w:tcPr>
                  <w:tcW w:w="0" w:type="auto"/>
                  <w:tcBorders>
                    <w:tl2br w:val="nil"/>
                    <w:tr2bl w:val="nil"/>
                  </w:tcBorders>
                  <w:vAlign w:val="center"/>
                </w:tcPr>
                <w:p w14:paraId="671BDB9A">
                  <w:pPr>
                    <w:jc w:val="center"/>
                    <w:rPr>
                      <w:color w:val="auto"/>
                      <w:sz w:val="21"/>
                      <w:szCs w:val="21"/>
                    </w:rPr>
                  </w:pPr>
                  <w:r>
                    <w:rPr>
                      <w:rFonts w:hint="eastAsia"/>
                      <w:color w:val="auto"/>
                      <w:sz w:val="21"/>
                      <w:szCs w:val="21"/>
                    </w:rPr>
                    <w:t>昼间、夜间</w:t>
                  </w:r>
                </w:p>
              </w:tc>
            </w:tr>
          </w:tbl>
          <w:p w14:paraId="772D20B1">
            <w:pPr>
              <w:spacing w:line="360" w:lineRule="auto"/>
              <w:ind w:firstLine="480" w:firstLineChars="200"/>
              <w:rPr>
                <w:rFonts w:hint="eastAsia"/>
                <w:color w:val="auto"/>
              </w:rPr>
            </w:pPr>
            <w:r>
              <w:rPr>
                <w:rFonts w:hint="eastAsia"/>
                <w:color w:val="auto"/>
              </w:rPr>
              <w:t>储层改造工程主要噪声源包括作业中的压裂泵、供液泵、仪表车、混砂车、管汇车等。施工期部分装置采取了消声、减震、软连接等降噪减震措施，有一定的降噪效果。储层改造工程生产设备噪声源强如下表。</w:t>
            </w:r>
          </w:p>
          <w:p w14:paraId="0CDAC53C">
            <w:pPr>
              <w:spacing w:line="360" w:lineRule="auto"/>
              <w:jc w:val="center"/>
              <w:rPr>
                <w:rFonts w:hint="eastAsia"/>
                <w:b/>
                <w:bCs/>
                <w:color w:val="auto"/>
              </w:rPr>
            </w:pPr>
            <w:r>
              <w:rPr>
                <w:rFonts w:hint="eastAsia"/>
                <w:b/>
                <w:bCs/>
                <w:color w:val="auto"/>
              </w:rPr>
              <w:t>表4-7 项目生产设备噪声源强  单位：dB(A)</w:t>
            </w:r>
          </w:p>
          <w:tbl>
            <w:tblPr>
              <w:tblStyle w:val="19"/>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autofit"/>
              <w:tblCellMar>
                <w:top w:w="0" w:type="dxa"/>
                <w:left w:w="108" w:type="dxa"/>
                <w:bottom w:w="0" w:type="dxa"/>
                <w:right w:w="108" w:type="dxa"/>
              </w:tblCellMar>
            </w:tblPr>
            <w:tblGrid>
              <w:gridCol w:w="477"/>
              <w:gridCol w:w="897"/>
              <w:gridCol w:w="959"/>
              <w:gridCol w:w="1134"/>
              <w:gridCol w:w="995"/>
              <w:gridCol w:w="1790"/>
              <w:gridCol w:w="1335"/>
              <w:gridCol w:w="913"/>
            </w:tblGrid>
            <w:tr w14:paraId="32E74BDD">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vMerge w:val="restart"/>
                  <w:tcBorders>
                    <w:tl2br w:val="nil"/>
                    <w:tr2bl w:val="nil"/>
                  </w:tcBorders>
                  <w:vAlign w:val="center"/>
                </w:tcPr>
                <w:p w14:paraId="4FFCAACB">
                  <w:pPr>
                    <w:jc w:val="center"/>
                    <w:rPr>
                      <w:b/>
                      <w:bCs/>
                      <w:color w:val="auto"/>
                      <w:sz w:val="21"/>
                      <w:szCs w:val="21"/>
                    </w:rPr>
                  </w:pPr>
                  <w:r>
                    <w:rPr>
                      <w:b/>
                      <w:bCs/>
                      <w:color w:val="auto"/>
                      <w:sz w:val="21"/>
                      <w:szCs w:val="21"/>
                    </w:rPr>
                    <w:t>序号</w:t>
                  </w:r>
                </w:p>
              </w:tc>
              <w:tc>
                <w:tcPr>
                  <w:tcW w:w="528" w:type="pct"/>
                  <w:vMerge w:val="restart"/>
                  <w:tcBorders>
                    <w:tl2br w:val="nil"/>
                    <w:tr2bl w:val="nil"/>
                  </w:tcBorders>
                  <w:vAlign w:val="center"/>
                </w:tcPr>
                <w:p w14:paraId="15A3BB0E">
                  <w:pPr>
                    <w:jc w:val="center"/>
                    <w:rPr>
                      <w:b/>
                      <w:bCs/>
                      <w:color w:val="auto"/>
                      <w:sz w:val="21"/>
                      <w:szCs w:val="21"/>
                    </w:rPr>
                  </w:pPr>
                  <w:r>
                    <w:rPr>
                      <w:b/>
                      <w:bCs/>
                      <w:color w:val="auto"/>
                      <w:sz w:val="21"/>
                      <w:szCs w:val="21"/>
                    </w:rPr>
                    <w:t>声源名称</w:t>
                  </w:r>
                </w:p>
              </w:tc>
              <w:tc>
                <w:tcPr>
                  <w:tcW w:w="1816" w:type="pct"/>
                  <w:gridSpan w:val="3"/>
                  <w:tcBorders>
                    <w:tl2br w:val="nil"/>
                    <w:tr2bl w:val="nil"/>
                  </w:tcBorders>
                  <w:vAlign w:val="center"/>
                </w:tcPr>
                <w:p w14:paraId="421D3452">
                  <w:pPr>
                    <w:jc w:val="center"/>
                    <w:rPr>
                      <w:b/>
                      <w:bCs/>
                      <w:color w:val="auto"/>
                      <w:sz w:val="21"/>
                      <w:szCs w:val="21"/>
                    </w:rPr>
                  </w:pPr>
                  <w:r>
                    <w:rPr>
                      <w:b/>
                      <w:bCs/>
                      <w:color w:val="auto"/>
                      <w:sz w:val="21"/>
                      <w:szCs w:val="21"/>
                    </w:rPr>
                    <w:t>空间相对位置/m</w:t>
                  </w:r>
                </w:p>
              </w:tc>
              <w:tc>
                <w:tcPr>
                  <w:tcW w:w="1053" w:type="pct"/>
                  <w:tcBorders>
                    <w:tl2br w:val="nil"/>
                    <w:tr2bl w:val="nil"/>
                  </w:tcBorders>
                  <w:vAlign w:val="center"/>
                </w:tcPr>
                <w:p w14:paraId="094BD6FB">
                  <w:pPr>
                    <w:jc w:val="center"/>
                    <w:rPr>
                      <w:b/>
                      <w:bCs/>
                      <w:color w:val="auto"/>
                      <w:sz w:val="21"/>
                      <w:szCs w:val="21"/>
                    </w:rPr>
                  </w:pPr>
                  <w:r>
                    <w:rPr>
                      <w:b/>
                      <w:bCs/>
                      <w:color w:val="auto"/>
                      <w:sz w:val="21"/>
                      <w:szCs w:val="21"/>
                    </w:rPr>
                    <w:t>声源源强</w:t>
                  </w:r>
                </w:p>
              </w:tc>
              <w:tc>
                <w:tcPr>
                  <w:tcW w:w="785" w:type="pct"/>
                  <w:vMerge w:val="restart"/>
                  <w:tcBorders>
                    <w:tl2br w:val="nil"/>
                    <w:tr2bl w:val="nil"/>
                  </w:tcBorders>
                  <w:vAlign w:val="center"/>
                </w:tcPr>
                <w:p w14:paraId="1BD20DB9">
                  <w:pPr>
                    <w:jc w:val="center"/>
                    <w:rPr>
                      <w:b/>
                      <w:bCs/>
                      <w:color w:val="auto"/>
                      <w:sz w:val="21"/>
                      <w:szCs w:val="21"/>
                    </w:rPr>
                  </w:pPr>
                  <w:r>
                    <w:rPr>
                      <w:b/>
                      <w:bCs/>
                      <w:color w:val="auto"/>
                      <w:sz w:val="21"/>
                      <w:szCs w:val="21"/>
                    </w:rPr>
                    <w:t>声源控制措施</w:t>
                  </w:r>
                </w:p>
              </w:tc>
              <w:tc>
                <w:tcPr>
                  <w:tcW w:w="538" w:type="pct"/>
                  <w:vMerge w:val="restart"/>
                  <w:tcBorders>
                    <w:tl2br w:val="nil"/>
                    <w:tr2bl w:val="nil"/>
                  </w:tcBorders>
                  <w:vAlign w:val="center"/>
                </w:tcPr>
                <w:p w14:paraId="320FA1B3">
                  <w:pPr>
                    <w:jc w:val="center"/>
                    <w:rPr>
                      <w:b/>
                      <w:bCs/>
                      <w:color w:val="auto"/>
                      <w:sz w:val="21"/>
                      <w:szCs w:val="21"/>
                    </w:rPr>
                  </w:pPr>
                  <w:r>
                    <w:rPr>
                      <w:b/>
                      <w:bCs/>
                      <w:color w:val="auto"/>
                      <w:sz w:val="21"/>
                      <w:szCs w:val="21"/>
                    </w:rPr>
                    <w:t>运行时段</w:t>
                  </w:r>
                </w:p>
              </w:tc>
            </w:tr>
            <w:tr w14:paraId="369C7AF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vMerge w:val="continue"/>
                  <w:tcBorders>
                    <w:tl2br w:val="nil"/>
                    <w:tr2bl w:val="nil"/>
                  </w:tcBorders>
                  <w:vAlign w:val="center"/>
                </w:tcPr>
                <w:p w14:paraId="3E4D41D0">
                  <w:pPr>
                    <w:jc w:val="center"/>
                    <w:rPr>
                      <w:color w:val="auto"/>
                      <w:sz w:val="21"/>
                      <w:szCs w:val="21"/>
                    </w:rPr>
                  </w:pPr>
                </w:p>
              </w:tc>
              <w:tc>
                <w:tcPr>
                  <w:tcW w:w="528" w:type="pct"/>
                  <w:vMerge w:val="continue"/>
                  <w:tcBorders>
                    <w:tl2br w:val="nil"/>
                    <w:tr2bl w:val="nil"/>
                  </w:tcBorders>
                  <w:vAlign w:val="center"/>
                </w:tcPr>
                <w:p w14:paraId="5138E11E">
                  <w:pPr>
                    <w:jc w:val="center"/>
                    <w:rPr>
                      <w:color w:val="auto"/>
                      <w:sz w:val="21"/>
                      <w:szCs w:val="21"/>
                    </w:rPr>
                  </w:pPr>
                </w:p>
              </w:tc>
              <w:tc>
                <w:tcPr>
                  <w:tcW w:w="564" w:type="pct"/>
                  <w:tcBorders>
                    <w:tl2br w:val="nil"/>
                    <w:tr2bl w:val="nil"/>
                  </w:tcBorders>
                  <w:vAlign w:val="center"/>
                </w:tcPr>
                <w:p w14:paraId="5FEB28CD">
                  <w:pPr>
                    <w:jc w:val="center"/>
                    <w:rPr>
                      <w:b/>
                      <w:bCs/>
                      <w:color w:val="auto"/>
                      <w:sz w:val="21"/>
                      <w:szCs w:val="21"/>
                    </w:rPr>
                  </w:pPr>
                  <w:r>
                    <w:rPr>
                      <w:b/>
                      <w:bCs/>
                      <w:color w:val="auto"/>
                      <w:sz w:val="21"/>
                      <w:szCs w:val="21"/>
                    </w:rPr>
                    <w:t>X</w:t>
                  </w:r>
                </w:p>
              </w:tc>
              <w:tc>
                <w:tcPr>
                  <w:tcW w:w="667" w:type="pct"/>
                  <w:tcBorders>
                    <w:tl2br w:val="nil"/>
                    <w:tr2bl w:val="nil"/>
                  </w:tcBorders>
                  <w:vAlign w:val="center"/>
                </w:tcPr>
                <w:p w14:paraId="0BB0F70F">
                  <w:pPr>
                    <w:jc w:val="center"/>
                    <w:rPr>
                      <w:b/>
                      <w:bCs/>
                      <w:color w:val="auto"/>
                      <w:sz w:val="21"/>
                      <w:szCs w:val="21"/>
                    </w:rPr>
                  </w:pPr>
                  <w:r>
                    <w:rPr>
                      <w:b/>
                      <w:bCs/>
                      <w:color w:val="auto"/>
                      <w:sz w:val="21"/>
                      <w:szCs w:val="21"/>
                    </w:rPr>
                    <w:t>Y</w:t>
                  </w:r>
                </w:p>
              </w:tc>
              <w:tc>
                <w:tcPr>
                  <w:tcW w:w="584" w:type="pct"/>
                  <w:tcBorders>
                    <w:tl2br w:val="nil"/>
                    <w:tr2bl w:val="nil"/>
                  </w:tcBorders>
                  <w:vAlign w:val="center"/>
                </w:tcPr>
                <w:p w14:paraId="6D4FA56C">
                  <w:pPr>
                    <w:jc w:val="center"/>
                    <w:rPr>
                      <w:b/>
                      <w:bCs/>
                      <w:color w:val="auto"/>
                      <w:sz w:val="21"/>
                      <w:szCs w:val="21"/>
                    </w:rPr>
                  </w:pPr>
                  <w:r>
                    <w:rPr>
                      <w:b/>
                      <w:bCs/>
                      <w:color w:val="auto"/>
                      <w:sz w:val="21"/>
                      <w:szCs w:val="21"/>
                    </w:rPr>
                    <w:t>Z</w:t>
                  </w:r>
                </w:p>
              </w:tc>
              <w:tc>
                <w:tcPr>
                  <w:tcW w:w="1053" w:type="pct"/>
                  <w:tcBorders>
                    <w:tl2br w:val="nil"/>
                    <w:tr2bl w:val="nil"/>
                  </w:tcBorders>
                  <w:vAlign w:val="center"/>
                </w:tcPr>
                <w:p w14:paraId="14AAD950">
                  <w:pPr>
                    <w:jc w:val="center"/>
                    <w:rPr>
                      <w:b/>
                      <w:bCs/>
                      <w:color w:val="auto"/>
                      <w:sz w:val="21"/>
                      <w:szCs w:val="21"/>
                    </w:rPr>
                  </w:pPr>
                  <w:r>
                    <w:rPr>
                      <w:b/>
                      <w:bCs/>
                      <w:color w:val="auto"/>
                      <w:sz w:val="21"/>
                      <w:szCs w:val="21"/>
                    </w:rPr>
                    <w:t>声功率级dB（A）</w:t>
                  </w:r>
                </w:p>
              </w:tc>
              <w:tc>
                <w:tcPr>
                  <w:tcW w:w="785" w:type="pct"/>
                  <w:vMerge w:val="continue"/>
                  <w:tcBorders>
                    <w:tl2br w:val="nil"/>
                    <w:tr2bl w:val="nil"/>
                  </w:tcBorders>
                  <w:vAlign w:val="center"/>
                </w:tcPr>
                <w:p w14:paraId="507B7BFD">
                  <w:pPr>
                    <w:jc w:val="center"/>
                    <w:rPr>
                      <w:color w:val="auto"/>
                      <w:sz w:val="21"/>
                      <w:szCs w:val="21"/>
                    </w:rPr>
                  </w:pPr>
                </w:p>
              </w:tc>
              <w:tc>
                <w:tcPr>
                  <w:tcW w:w="538" w:type="pct"/>
                  <w:vMerge w:val="continue"/>
                  <w:tcBorders>
                    <w:tl2br w:val="nil"/>
                    <w:tr2bl w:val="nil"/>
                  </w:tcBorders>
                  <w:vAlign w:val="center"/>
                </w:tcPr>
                <w:p w14:paraId="353E78EB">
                  <w:pPr>
                    <w:jc w:val="center"/>
                    <w:rPr>
                      <w:color w:val="auto"/>
                      <w:sz w:val="21"/>
                      <w:szCs w:val="21"/>
                    </w:rPr>
                  </w:pPr>
                </w:p>
              </w:tc>
            </w:tr>
            <w:tr w14:paraId="5B6CBB97">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trHeight w:val="292" w:hRule="atLeast"/>
                <w:jc w:val="center"/>
              </w:trPr>
              <w:tc>
                <w:tcPr>
                  <w:tcW w:w="281" w:type="pct"/>
                  <w:tcBorders>
                    <w:tl2br w:val="nil"/>
                    <w:tr2bl w:val="nil"/>
                  </w:tcBorders>
                  <w:vAlign w:val="center"/>
                </w:tcPr>
                <w:p w14:paraId="3E20B04E">
                  <w:pPr>
                    <w:jc w:val="center"/>
                    <w:rPr>
                      <w:color w:val="auto"/>
                      <w:sz w:val="21"/>
                      <w:szCs w:val="21"/>
                    </w:rPr>
                  </w:pPr>
                  <w:r>
                    <w:rPr>
                      <w:color w:val="auto"/>
                      <w:sz w:val="21"/>
                      <w:szCs w:val="21"/>
                    </w:rPr>
                    <w:t>1</w:t>
                  </w:r>
                </w:p>
              </w:tc>
              <w:tc>
                <w:tcPr>
                  <w:tcW w:w="528" w:type="pct"/>
                  <w:tcBorders>
                    <w:tl2br w:val="nil"/>
                    <w:tr2bl w:val="nil"/>
                  </w:tcBorders>
                  <w:vAlign w:val="center"/>
                </w:tcPr>
                <w:p w14:paraId="2AE390D6">
                  <w:pPr>
                    <w:jc w:val="center"/>
                    <w:rPr>
                      <w:color w:val="auto"/>
                      <w:sz w:val="21"/>
                      <w:szCs w:val="21"/>
                    </w:rPr>
                  </w:pPr>
                  <w:r>
                    <w:rPr>
                      <w:rFonts w:hint="eastAsia"/>
                      <w:color w:val="auto"/>
                      <w:sz w:val="21"/>
                      <w:szCs w:val="21"/>
                    </w:rPr>
                    <w:t>仪表车</w:t>
                  </w:r>
                </w:p>
              </w:tc>
              <w:tc>
                <w:tcPr>
                  <w:tcW w:w="564" w:type="pct"/>
                  <w:tcBorders>
                    <w:tl2br w:val="nil"/>
                    <w:tr2bl w:val="nil"/>
                  </w:tcBorders>
                  <w:vAlign w:val="center"/>
                </w:tcPr>
                <w:p w14:paraId="5AC9E34E">
                  <w:pPr>
                    <w:jc w:val="center"/>
                    <w:rPr>
                      <w:color w:val="auto"/>
                      <w:sz w:val="21"/>
                      <w:szCs w:val="21"/>
                    </w:rPr>
                  </w:pPr>
                  <w:r>
                    <w:rPr>
                      <w:rFonts w:hint="eastAsia"/>
                      <w:color w:val="auto"/>
                      <w:sz w:val="21"/>
                      <w:szCs w:val="21"/>
                    </w:rPr>
                    <w:t>105.93</w:t>
                  </w:r>
                </w:p>
              </w:tc>
              <w:tc>
                <w:tcPr>
                  <w:tcW w:w="667" w:type="pct"/>
                  <w:tcBorders>
                    <w:tl2br w:val="nil"/>
                    <w:tr2bl w:val="nil"/>
                  </w:tcBorders>
                  <w:vAlign w:val="center"/>
                </w:tcPr>
                <w:p w14:paraId="69BCE5A4">
                  <w:pPr>
                    <w:jc w:val="center"/>
                    <w:rPr>
                      <w:color w:val="auto"/>
                      <w:sz w:val="21"/>
                      <w:szCs w:val="21"/>
                    </w:rPr>
                  </w:pPr>
                  <w:r>
                    <w:rPr>
                      <w:rFonts w:hint="eastAsia"/>
                      <w:color w:val="auto"/>
                      <w:sz w:val="21"/>
                      <w:szCs w:val="21"/>
                    </w:rPr>
                    <w:t>9</w:t>
                  </w:r>
                  <w:r>
                    <w:rPr>
                      <w:color w:val="auto"/>
                      <w:sz w:val="21"/>
                      <w:szCs w:val="21"/>
                    </w:rPr>
                    <w:t>3.83</w:t>
                  </w:r>
                </w:p>
              </w:tc>
              <w:tc>
                <w:tcPr>
                  <w:tcW w:w="584" w:type="pct"/>
                  <w:tcBorders>
                    <w:tl2br w:val="nil"/>
                    <w:tr2bl w:val="nil"/>
                  </w:tcBorders>
                  <w:vAlign w:val="center"/>
                </w:tcPr>
                <w:p w14:paraId="6965912F">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5DE69389">
                  <w:pPr>
                    <w:jc w:val="center"/>
                    <w:rPr>
                      <w:color w:val="auto"/>
                      <w:sz w:val="21"/>
                      <w:szCs w:val="21"/>
                    </w:rPr>
                  </w:pPr>
                  <w:r>
                    <w:rPr>
                      <w:rFonts w:hint="eastAsia"/>
                      <w:color w:val="auto"/>
                      <w:sz w:val="21"/>
                      <w:szCs w:val="21"/>
                    </w:rPr>
                    <w:t>85</w:t>
                  </w:r>
                </w:p>
              </w:tc>
              <w:tc>
                <w:tcPr>
                  <w:tcW w:w="785" w:type="pct"/>
                  <w:tcBorders>
                    <w:tl2br w:val="nil"/>
                    <w:tr2bl w:val="nil"/>
                  </w:tcBorders>
                  <w:vAlign w:val="center"/>
                </w:tcPr>
                <w:p w14:paraId="1C23B246">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57B1CBAC">
                  <w:pPr>
                    <w:jc w:val="center"/>
                    <w:rPr>
                      <w:color w:val="auto"/>
                      <w:sz w:val="21"/>
                      <w:szCs w:val="21"/>
                    </w:rPr>
                  </w:pPr>
                  <w:r>
                    <w:rPr>
                      <w:rFonts w:hint="eastAsia"/>
                      <w:color w:val="auto"/>
                      <w:sz w:val="21"/>
                      <w:szCs w:val="21"/>
                    </w:rPr>
                    <w:t>昼间</w:t>
                  </w:r>
                </w:p>
              </w:tc>
            </w:tr>
            <w:tr w14:paraId="42CCBD4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22A5D1F4">
                  <w:pPr>
                    <w:jc w:val="center"/>
                    <w:rPr>
                      <w:color w:val="auto"/>
                      <w:sz w:val="21"/>
                      <w:szCs w:val="21"/>
                    </w:rPr>
                  </w:pPr>
                  <w:r>
                    <w:rPr>
                      <w:color w:val="auto"/>
                      <w:sz w:val="21"/>
                      <w:szCs w:val="21"/>
                    </w:rPr>
                    <w:t>2</w:t>
                  </w:r>
                </w:p>
              </w:tc>
              <w:tc>
                <w:tcPr>
                  <w:tcW w:w="528" w:type="pct"/>
                  <w:tcBorders>
                    <w:tl2br w:val="nil"/>
                    <w:tr2bl w:val="nil"/>
                  </w:tcBorders>
                  <w:vAlign w:val="center"/>
                </w:tcPr>
                <w:p w14:paraId="3906B239">
                  <w:pPr>
                    <w:jc w:val="center"/>
                    <w:rPr>
                      <w:color w:val="auto"/>
                      <w:sz w:val="21"/>
                      <w:szCs w:val="21"/>
                    </w:rPr>
                  </w:pPr>
                  <w:r>
                    <w:rPr>
                      <w:rFonts w:hint="eastAsia"/>
                      <w:color w:val="auto"/>
                      <w:sz w:val="21"/>
                      <w:szCs w:val="21"/>
                    </w:rPr>
                    <w:t>供液泵</w:t>
                  </w:r>
                </w:p>
              </w:tc>
              <w:tc>
                <w:tcPr>
                  <w:tcW w:w="564" w:type="pct"/>
                  <w:tcBorders>
                    <w:tl2br w:val="nil"/>
                    <w:tr2bl w:val="nil"/>
                  </w:tcBorders>
                  <w:vAlign w:val="center"/>
                </w:tcPr>
                <w:p w14:paraId="3910B533">
                  <w:pPr>
                    <w:jc w:val="center"/>
                    <w:rPr>
                      <w:color w:val="auto"/>
                      <w:sz w:val="21"/>
                      <w:szCs w:val="21"/>
                    </w:rPr>
                  </w:pPr>
                  <w:r>
                    <w:rPr>
                      <w:rFonts w:hint="eastAsia"/>
                      <w:color w:val="auto"/>
                      <w:sz w:val="21"/>
                      <w:szCs w:val="21"/>
                    </w:rPr>
                    <w:t>77.63</w:t>
                  </w:r>
                </w:p>
              </w:tc>
              <w:tc>
                <w:tcPr>
                  <w:tcW w:w="667" w:type="pct"/>
                  <w:tcBorders>
                    <w:tl2br w:val="nil"/>
                    <w:tr2bl w:val="nil"/>
                  </w:tcBorders>
                  <w:vAlign w:val="center"/>
                </w:tcPr>
                <w:p w14:paraId="6BD46B3A">
                  <w:pPr>
                    <w:jc w:val="center"/>
                    <w:rPr>
                      <w:color w:val="auto"/>
                      <w:sz w:val="21"/>
                      <w:szCs w:val="21"/>
                    </w:rPr>
                  </w:pPr>
                  <w:r>
                    <w:rPr>
                      <w:color w:val="auto"/>
                      <w:sz w:val="21"/>
                      <w:szCs w:val="21"/>
                    </w:rPr>
                    <w:t>106.44</w:t>
                  </w:r>
                </w:p>
              </w:tc>
              <w:tc>
                <w:tcPr>
                  <w:tcW w:w="584" w:type="pct"/>
                  <w:tcBorders>
                    <w:tl2br w:val="nil"/>
                    <w:tr2bl w:val="nil"/>
                  </w:tcBorders>
                  <w:vAlign w:val="center"/>
                </w:tcPr>
                <w:p w14:paraId="388AF072">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2DFB267A">
                  <w:pPr>
                    <w:jc w:val="center"/>
                    <w:rPr>
                      <w:color w:val="auto"/>
                      <w:sz w:val="21"/>
                      <w:szCs w:val="21"/>
                    </w:rPr>
                  </w:pPr>
                  <w:r>
                    <w:rPr>
                      <w:rFonts w:hint="eastAsia"/>
                      <w:color w:val="auto"/>
                      <w:sz w:val="21"/>
                      <w:szCs w:val="21"/>
                    </w:rPr>
                    <w:t>80</w:t>
                  </w:r>
                </w:p>
              </w:tc>
              <w:tc>
                <w:tcPr>
                  <w:tcW w:w="785" w:type="pct"/>
                  <w:tcBorders>
                    <w:tl2br w:val="nil"/>
                    <w:tr2bl w:val="nil"/>
                  </w:tcBorders>
                  <w:vAlign w:val="center"/>
                </w:tcPr>
                <w:p w14:paraId="41B2F1E3">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4665CF8A">
                  <w:pPr>
                    <w:jc w:val="center"/>
                    <w:rPr>
                      <w:color w:val="auto"/>
                      <w:sz w:val="21"/>
                      <w:szCs w:val="21"/>
                    </w:rPr>
                  </w:pPr>
                  <w:r>
                    <w:rPr>
                      <w:rFonts w:hint="eastAsia"/>
                      <w:color w:val="auto"/>
                      <w:sz w:val="21"/>
                      <w:szCs w:val="21"/>
                    </w:rPr>
                    <w:t>昼间</w:t>
                  </w:r>
                </w:p>
              </w:tc>
            </w:tr>
            <w:tr w14:paraId="39A49228">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57DE978C">
                  <w:pPr>
                    <w:jc w:val="center"/>
                    <w:rPr>
                      <w:color w:val="auto"/>
                      <w:sz w:val="21"/>
                      <w:szCs w:val="21"/>
                    </w:rPr>
                  </w:pPr>
                  <w:r>
                    <w:rPr>
                      <w:color w:val="auto"/>
                      <w:sz w:val="21"/>
                      <w:szCs w:val="21"/>
                    </w:rPr>
                    <w:t>3</w:t>
                  </w:r>
                </w:p>
              </w:tc>
              <w:tc>
                <w:tcPr>
                  <w:tcW w:w="528" w:type="pct"/>
                  <w:tcBorders>
                    <w:tl2br w:val="nil"/>
                    <w:tr2bl w:val="nil"/>
                  </w:tcBorders>
                  <w:vAlign w:val="center"/>
                </w:tcPr>
                <w:p w14:paraId="67C2A0E7">
                  <w:pPr>
                    <w:jc w:val="center"/>
                    <w:rPr>
                      <w:color w:val="auto"/>
                      <w:sz w:val="21"/>
                      <w:szCs w:val="21"/>
                    </w:rPr>
                  </w:pPr>
                  <w:r>
                    <w:rPr>
                      <w:rFonts w:hint="eastAsia"/>
                      <w:color w:val="auto"/>
                      <w:sz w:val="21"/>
                      <w:szCs w:val="21"/>
                    </w:rPr>
                    <w:t>供液泵</w:t>
                  </w:r>
                </w:p>
              </w:tc>
              <w:tc>
                <w:tcPr>
                  <w:tcW w:w="564" w:type="pct"/>
                  <w:tcBorders>
                    <w:tl2br w:val="nil"/>
                    <w:tr2bl w:val="nil"/>
                  </w:tcBorders>
                  <w:vAlign w:val="center"/>
                </w:tcPr>
                <w:p w14:paraId="083482DC">
                  <w:pPr>
                    <w:jc w:val="center"/>
                    <w:rPr>
                      <w:color w:val="auto"/>
                      <w:sz w:val="21"/>
                      <w:szCs w:val="21"/>
                    </w:rPr>
                  </w:pPr>
                  <w:r>
                    <w:rPr>
                      <w:rFonts w:hint="eastAsia"/>
                      <w:color w:val="auto"/>
                      <w:sz w:val="21"/>
                      <w:szCs w:val="21"/>
                    </w:rPr>
                    <w:t>70.76</w:t>
                  </w:r>
                </w:p>
              </w:tc>
              <w:tc>
                <w:tcPr>
                  <w:tcW w:w="667" w:type="pct"/>
                  <w:tcBorders>
                    <w:tl2br w:val="nil"/>
                    <w:tr2bl w:val="nil"/>
                  </w:tcBorders>
                  <w:vAlign w:val="center"/>
                </w:tcPr>
                <w:p w14:paraId="2F9F5662">
                  <w:pPr>
                    <w:jc w:val="center"/>
                    <w:rPr>
                      <w:color w:val="auto"/>
                      <w:sz w:val="21"/>
                      <w:szCs w:val="21"/>
                    </w:rPr>
                  </w:pPr>
                  <w:r>
                    <w:rPr>
                      <w:rFonts w:hint="eastAsia"/>
                      <w:color w:val="auto"/>
                      <w:sz w:val="21"/>
                      <w:szCs w:val="21"/>
                    </w:rPr>
                    <w:t>8</w:t>
                  </w:r>
                  <w:r>
                    <w:rPr>
                      <w:color w:val="auto"/>
                      <w:sz w:val="21"/>
                      <w:szCs w:val="21"/>
                    </w:rPr>
                    <w:t>4.29</w:t>
                  </w:r>
                </w:p>
              </w:tc>
              <w:tc>
                <w:tcPr>
                  <w:tcW w:w="584" w:type="pct"/>
                  <w:tcBorders>
                    <w:tl2br w:val="nil"/>
                    <w:tr2bl w:val="nil"/>
                  </w:tcBorders>
                  <w:vAlign w:val="center"/>
                </w:tcPr>
                <w:p w14:paraId="1DAED7E2">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26BB8ACC">
                  <w:pPr>
                    <w:jc w:val="center"/>
                    <w:rPr>
                      <w:color w:val="auto"/>
                      <w:sz w:val="21"/>
                      <w:szCs w:val="21"/>
                    </w:rPr>
                  </w:pPr>
                  <w:r>
                    <w:rPr>
                      <w:rFonts w:hint="eastAsia"/>
                      <w:color w:val="auto"/>
                      <w:sz w:val="21"/>
                      <w:szCs w:val="21"/>
                    </w:rPr>
                    <w:t>80</w:t>
                  </w:r>
                </w:p>
              </w:tc>
              <w:tc>
                <w:tcPr>
                  <w:tcW w:w="785" w:type="pct"/>
                  <w:tcBorders>
                    <w:tl2br w:val="nil"/>
                    <w:tr2bl w:val="nil"/>
                  </w:tcBorders>
                  <w:vAlign w:val="center"/>
                </w:tcPr>
                <w:p w14:paraId="61D318B0">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241B2F0E">
                  <w:pPr>
                    <w:jc w:val="center"/>
                    <w:rPr>
                      <w:color w:val="auto"/>
                      <w:sz w:val="21"/>
                      <w:szCs w:val="21"/>
                    </w:rPr>
                  </w:pPr>
                  <w:r>
                    <w:rPr>
                      <w:rFonts w:hint="eastAsia"/>
                      <w:color w:val="auto"/>
                      <w:sz w:val="21"/>
                      <w:szCs w:val="21"/>
                    </w:rPr>
                    <w:t>昼间</w:t>
                  </w:r>
                </w:p>
              </w:tc>
            </w:tr>
            <w:tr w14:paraId="74FB150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70C10660">
                  <w:pPr>
                    <w:jc w:val="center"/>
                    <w:rPr>
                      <w:color w:val="auto"/>
                      <w:sz w:val="21"/>
                      <w:szCs w:val="21"/>
                    </w:rPr>
                  </w:pPr>
                  <w:r>
                    <w:rPr>
                      <w:color w:val="auto"/>
                      <w:sz w:val="21"/>
                      <w:szCs w:val="21"/>
                    </w:rPr>
                    <w:t>4</w:t>
                  </w:r>
                </w:p>
              </w:tc>
              <w:tc>
                <w:tcPr>
                  <w:tcW w:w="528" w:type="pct"/>
                  <w:tcBorders>
                    <w:tl2br w:val="nil"/>
                    <w:tr2bl w:val="nil"/>
                  </w:tcBorders>
                  <w:vAlign w:val="center"/>
                </w:tcPr>
                <w:p w14:paraId="3CDCC4D7">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75BEE6CA">
                  <w:pPr>
                    <w:jc w:val="center"/>
                    <w:rPr>
                      <w:color w:val="auto"/>
                      <w:sz w:val="21"/>
                      <w:szCs w:val="21"/>
                    </w:rPr>
                  </w:pPr>
                  <w:r>
                    <w:rPr>
                      <w:rFonts w:hint="eastAsia"/>
                      <w:color w:val="auto"/>
                      <w:sz w:val="21"/>
                      <w:szCs w:val="21"/>
                    </w:rPr>
                    <w:t>82.81</w:t>
                  </w:r>
                </w:p>
              </w:tc>
              <w:tc>
                <w:tcPr>
                  <w:tcW w:w="667" w:type="pct"/>
                  <w:tcBorders>
                    <w:tl2br w:val="nil"/>
                    <w:tr2bl w:val="nil"/>
                  </w:tcBorders>
                  <w:vAlign w:val="center"/>
                </w:tcPr>
                <w:p w14:paraId="003F8287">
                  <w:pPr>
                    <w:jc w:val="center"/>
                    <w:rPr>
                      <w:color w:val="auto"/>
                      <w:sz w:val="21"/>
                      <w:szCs w:val="21"/>
                    </w:rPr>
                  </w:pPr>
                  <w:r>
                    <w:rPr>
                      <w:rFonts w:hint="eastAsia"/>
                      <w:color w:val="auto"/>
                      <w:sz w:val="21"/>
                      <w:szCs w:val="21"/>
                    </w:rPr>
                    <w:t>8</w:t>
                  </w:r>
                  <w:r>
                    <w:rPr>
                      <w:color w:val="auto"/>
                      <w:sz w:val="21"/>
                      <w:szCs w:val="21"/>
                    </w:rPr>
                    <w:t>0.96</w:t>
                  </w:r>
                </w:p>
              </w:tc>
              <w:tc>
                <w:tcPr>
                  <w:tcW w:w="584" w:type="pct"/>
                  <w:tcBorders>
                    <w:tl2br w:val="nil"/>
                    <w:tr2bl w:val="nil"/>
                  </w:tcBorders>
                  <w:vAlign w:val="center"/>
                </w:tcPr>
                <w:p w14:paraId="6769B4D9">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5C743CAE">
                  <w:pPr>
                    <w:jc w:val="center"/>
                    <w:rPr>
                      <w:color w:val="auto"/>
                      <w:sz w:val="21"/>
                      <w:szCs w:val="21"/>
                    </w:rPr>
                  </w:pPr>
                  <w:r>
                    <w:rPr>
                      <w:rFonts w:hint="eastAsia"/>
                      <w:color w:val="auto"/>
                      <w:sz w:val="21"/>
                      <w:szCs w:val="21"/>
                    </w:rPr>
                    <w:t>80</w:t>
                  </w:r>
                </w:p>
              </w:tc>
              <w:tc>
                <w:tcPr>
                  <w:tcW w:w="785" w:type="pct"/>
                  <w:tcBorders>
                    <w:tl2br w:val="nil"/>
                    <w:tr2bl w:val="nil"/>
                  </w:tcBorders>
                  <w:vAlign w:val="center"/>
                </w:tcPr>
                <w:p w14:paraId="446D687B">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416641A4">
                  <w:pPr>
                    <w:jc w:val="center"/>
                    <w:rPr>
                      <w:color w:val="auto"/>
                      <w:sz w:val="21"/>
                      <w:szCs w:val="21"/>
                    </w:rPr>
                  </w:pPr>
                  <w:r>
                    <w:rPr>
                      <w:rFonts w:hint="eastAsia"/>
                      <w:color w:val="auto"/>
                      <w:sz w:val="21"/>
                      <w:szCs w:val="21"/>
                    </w:rPr>
                    <w:t>昼间</w:t>
                  </w:r>
                </w:p>
              </w:tc>
            </w:tr>
            <w:tr w14:paraId="1E0A1F61">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29176F40">
                  <w:pPr>
                    <w:jc w:val="center"/>
                    <w:rPr>
                      <w:color w:val="auto"/>
                      <w:sz w:val="21"/>
                      <w:szCs w:val="21"/>
                    </w:rPr>
                  </w:pPr>
                  <w:r>
                    <w:rPr>
                      <w:rFonts w:hint="eastAsia"/>
                      <w:color w:val="auto"/>
                      <w:sz w:val="21"/>
                      <w:szCs w:val="21"/>
                    </w:rPr>
                    <w:t>5</w:t>
                  </w:r>
                </w:p>
              </w:tc>
              <w:tc>
                <w:tcPr>
                  <w:tcW w:w="528" w:type="pct"/>
                  <w:tcBorders>
                    <w:tl2br w:val="nil"/>
                    <w:tr2bl w:val="nil"/>
                  </w:tcBorders>
                  <w:vAlign w:val="center"/>
                </w:tcPr>
                <w:p w14:paraId="4CE7F467">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6268321F">
                  <w:pPr>
                    <w:jc w:val="center"/>
                    <w:rPr>
                      <w:color w:val="auto"/>
                      <w:sz w:val="21"/>
                      <w:szCs w:val="21"/>
                    </w:rPr>
                  </w:pPr>
                  <w:r>
                    <w:rPr>
                      <w:rFonts w:hint="eastAsia"/>
                      <w:color w:val="auto"/>
                      <w:sz w:val="21"/>
                      <w:szCs w:val="21"/>
                    </w:rPr>
                    <w:t>87</w:t>
                  </w:r>
                </w:p>
              </w:tc>
              <w:tc>
                <w:tcPr>
                  <w:tcW w:w="667" w:type="pct"/>
                  <w:tcBorders>
                    <w:tl2br w:val="nil"/>
                    <w:tr2bl w:val="nil"/>
                  </w:tcBorders>
                  <w:vAlign w:val="center"/>
                </w:tcPr>
                <w:p w14:paraId="5F5EEE31">
                  <w:pPr>
                    <w:jc w:val="center"/>
                    <w:rPr>
                      <w:color w:val="auto"/>
                      <w:sz w:val="21"/>
                      <w:szCs w:val="21"/>
                    </w:rPr>
                  </w:pPr>
                  <w:r>
                    <w:rPr>
                      <w:rFonts w:hint="eastAsia"/>
                      <w:color w:val="auto"/>
                      <w:sz w:val="21"/>
                      <w:szCs w:val="21"/>
                    </w:rPr>
                    <w:t>7</w:t>
                  </w:r>
                  <w:r>
                    <w:rPr>
                      <w:color w:val="auto"/>
                      <w:sz w:val="21"/>
                      <w:szCs w:val="21"/>
                    </w:rPr>
                    <w:t>9.31</w:t>
                  </w:r>
                </w:p>
              </w:tc>
              <w:tc>
                <w:tcPr>
                  <w:tcW w:w="584" w:type="pct"/>
                  <w:tcBorders>
                    <w:tl2br w:val="nil"/>
                    <w:tr2bl w:val="nil"/>
                  </w:tcBorders>
                  <w:vAlign w:val="center"/>
                </w:tcPr>
                <w:p w14:paraId="3A5049DD">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67468D16">
                  <w:pPr>
                    <w:jc w:val="center"/>
                    <w:rPr>
                      <w:color w:val="auto"/>
                      <w:sz w:val="21"/>
                      <w:szCs w:val="21"/>
                    </w:rPr>
                  </w:pPr>
                  <w:r>
                    <w:rPr>
                      <w:rFonts w:hint="eastAsia"/>
                      <w:color w:val="auto"/>
                      <w:sz w:val="21"/>
                      <w:szCs w:val="21"/>
                    </w:rPr>
                    <w:t>80</w:t>
                  </w:r>
                </w:p>
              </w:tc>
              <w:tc>
                <w:tcPr>
                  <w:tcW w:w="785" w:type="pct"/>
                  <w:tcBorders>
                    <w:tl2br w:val="nil"/>
                    <w:tr2bl w:val="nil"/>
                  </w:tcBorders>
                  <w:vAlign w:val="center"/>
                </w:tcPr>
                <w:p w14:paraId="4E3FBF70">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450EB89D">
                  <w:pPr>
                    <w:jc w:val="center"/>
                    <w:rPr>
                      <w:color w:val="auto"/>
                      <w:sz w:val="21"/>
                      <w:szCs w:val="21"/>
                    </w:rPr>
                  </w:pPr>
                  <w:r>
                    <w:rPr>
                      <w:rFonts w:hint="eastAsia"/>
                      <w:color w:val="auto"/>
                      <w:sz w:val="21"/>
                      <w:szCs w:val="21"/>
                    </w:rPr>
                    <w:t>昼间</w:t>
                  </w:r>
                </w:p>
              </w:tc>
            </w:tr>
            <w:tr w14:paraId="58C45409">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4F674A57">
                  <w:pPr>
                    <w:jc w:val="center"/>
                    <w:rPr>
                      <w:color w:val="auto"/>
                      <w:sz w:val="21"/>
                      <w:szCs w:val="21"/>
                    </w:rPr>
                  </w:pPr>
                  <w:r>
                    <w:rPr>
                      <w:rFonts w:hint="eastAsia"/>
                      <w:color w:val="auto"/>
                      <w:sz w:val="21"/>
                      <w:szCs w:val="21"/>
                    </w:rPr>
                    <w:t>6</w:t>
                  </w:r>
                </w:p>
              </w:tc>
              <w:tc>
                <w:tcPr>
                  <w:tcW w:w="528" w:type="pct"/>
                  <w:tcBorders>
                    <w:tl2br w:val="nil"/>
                    <w:tr2bl w:val="nil"/>
                  </w:tcBorders>
                  <w:vAlign w:val="center"/>
                </w:tcPr>
                <w:p w14:paraId="17280C59">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5D6D2570">
                  <w:pPr>
                    <w:jc w:val="center"/>
                    <w:rPr>
                      <w:color w:val="auto"/>
                      <w:sz w:val="21"/>
                      <w:szCs w:val="21"/>
                    </w:rPr>
                  </w:pPr>
                  <w:r>
                    <w:rPr>
                      <w:rFonts w:hint="eastAsia"/>
                      <w:color w:val="auto"/>
                      <w:sz w:val="21"/>
                      <w:szCs w:val="21"/>
                    </w:rPr>
                    <w:t>91.77</w:t>
                  </w:r>
                </w:p>
              </w:tc>
              <w:tc>
                <w:tcPr>
                  <w:tcW w:w="667" w:type="pct"/>
                  <w:tcBorders>
                    <w:tl2br w:val="nil"/>
                    <w:tr2bl w:val="nil"/>
                  </w:tcBorders>
                  <w:vAlign w:val="center"/>
                </w:tcPr>
                <w:p w14:paraId="238024A7">
                  <w:pPr>
                    <w:jc w:val="center"/>
                    <w:rPr>
                      <w:color w:val="auto"/>
                      <w:sz w:val="21"/>
                      <w:szCs w:val="21"/>
                    </w:rPr>
                  </w:pPr>
                  <w:r>
                    <w:rPr>
                      <w:rFonts w:hint="eastAsia"/>
                      <w:color w:val="auto"/>
                      <w:sz w:val="21"/>
                      <w:szCs w:val="21"/>
                    </w:rPr>
                    <w:t>7</w:t>
                  </w:r>
                  <w:r>
                    <w:rPr>
                      <w:color w:val="auto"/>
                      <w:sz w:val="21"/>
                      <w:szCs w:val="21"/>
                    </w:rPr>
                    <w:t>7.55</w:t>
                  </w:r>
                </w:p>
              </w:tc>
              <w:tc>
                <w:tcPr>
                  <w:tcW w:w="584" w:type="pct"/>
                  <w:tcBorders>
                    <w:tl2br w:val="nil"/>
                    <w:tr2bl w:val="nil"/>
                  </w:tcBorders>
                  <w:vAlign w:val="center"/>
                </w:tcPr>
                <w:p w14:paraId="3C494D1A">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3BFE3BCA">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4E306112">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087ADDE9">
                  <w:pPr>
                    <w:jc w:val="center"/>
                    <w:rPr>
                      <w:color w:val="auto"/>
                      <w:sz w:val="21"/>
                      <w:szCs w:val="21"/>
                    </w:rPr>
                  </w:pPr>
                  <w:r>
                    <w:rPr>
                      <w:rFonts w:hint="eastAsia"/>
                      <w:color w:val="auto"/>
                      <w:sz w:val="21"/>
                      <w:szCs w:val="21"/>
                    </w:rPr>
                    <w:t>昼间</w:t>
                  </w:r>
                </w:p>
              </w:tc>
            </w:tr>
            <w:tr w14:paraId="01765FA3">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570C0947">
                  <w:pPr>
                    <w:jc w:val="center"/>
                    <w:rPr>
                      <w:color w:val="auto"/>
                      <w:sz w:val="21"/>
                      <w:szCs w:val="21"/>
                    </w:rPr>
                  </w:pPr>
                  <w:r>
                    <w:rPr>
                      <w:rFonts w:hint="eastAsia"/>
                      <w:color w:val="auto"/>
                      <w:sz w:val="21"/>
                      <w:szCs w:val="21"/>
                    </w:rPr>
                    <w:t>7</w:t>
                  </w:r>
                </w:p>
              </w:tc>
              <w:tc>
                <w:tcPr>
                  <w:tcW w:w="528" w:type="pct"/>
                  <w:tcBorders>
                    <w:tl2br w:val="nil"/>
                    <w:tr2bl w:val="nil"/>
                  </w:tcBorders>
                  <w:vAlign w:val="center"/>
                </w:tcPr>
                <w:p w14:paraId="1D5C03B1">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7209C117">
                  <w:pPr>
                    <w:jc w:val="center"/>
                    <w:rPr>
                      <w:color w:val="auto"/>
                      <w:sz w:val="21"/>
                      <w:szCs w:val="21"/>
                    </w:rPr>
                  </w:pPr>
                  <w:r>
                    <w:rPr>
                      <w:rFonts w:hint="eastAsia"/>
                      <w:color w:val="auto"/>
                      <w:sz w:val="21"/>
                      <w:szCs w:val="21"/>
                    </w:rPr>
                    <w:t>95.67</w:t>
                  </w:r>
                </w:p>
              </w:tc>
              <w:tc>
                <w:tcPr>
                  <w:tcW w:w="667" w:type="pct"/>
                  <w:tcBorders>
                    <w:tl2br w:val="nil"/>
                    <w:tr2bl w:val="nil"/>
                  </w:tcBorders>
                  <w:vAlign w:val="center"/>
                </w:tcPr>
                <w:p w14:paraId="4FC3A85B">
                  <w:pPr>
                    <w:jc w:val="center"/>
                    <w:rPr>
                      <w:color w:val="auto"/>
                      <w:sz w:val="21"/>
                      <w:szCs w:val="21"/>
                    </w:rPr>
                  </w:pPr>
                  <w:r>
                    <w:rPr>
                      <w:rFonts w:hint="eastAsia"/>
                      <w:color w:val="auto"/>
                      <w:sz w:val="21"/>
                      <w:szCs w:val="21"/>
                    </w:rPr>
                    <w:t>7</w:t>
                  </w:r>
                  <w:r>
                    <w:rPr>
                      <w:color w:val="auto"/>
                      <w:sz w:val="21"/>
                      <w:szCs w:val="21"/>
                    </w:rPr>
                    <w:t>5.9</w:t>
                  </w:r>
                </w:p>
              </w:tc>
              <w:tc>
                <w:tcPr>
                  <w:tcW w:w="584" w:type="pct"/>
                  <w:tcBorders>
                    <w:tl2br w:val="nil"/>
                    <w:tr2bl w:val="nil"/>
                  </w:tcBorders>
                  <w:vAlign w:val="center"/>
                </w:tcPr>
                <w:p w14:paraId="01E7C90A">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4E9C5871">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08282220">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2D16377E">
                  <w:pPr>
                    <w:jc w:val="center"/>
                    <w:rPr>
                      <w:color w:val="auto"/>
                      <w:sz w:val="21"/>
                      <w:szCs w:val="21"/>
                    </w:rPr>
                  </w:pPr>
                  <w:r>
                    <w:rPr>
                      <w:rFonts w:hint="eastAsia"/>
                      <w:color w:val="auto"/>
                      <w:sz w:val="21"/>
                      <w:szCs w:val="21"/>
                    </w:rPr>
                    <w:t>昼间</w:t>
                  </w:r>
                </w:p>
              </w:tc>
            </w:tr>
            <w:tr w14:paraId="6BB4A39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665F04FD">
                  <w:pPr>
                    <w:jc w:val="center"/>
                    <w:rPr>
                      <w:color w:val="auto"/>
                      <w:sz w:val="21"/>
                      <w:szCs w:val="21"/>
                    </w:rPr>
                  </w:pPr>
                  <w:r>
                    <w:rPr>
                      <w:rFonts w:hint="eastAsia"/>
                      <w:color w:val="auto"/>
                      <w:sz w:val="21"/>
                      <w:szCs w:val="21"/>
                    </w:rPr>
                    <w:t>8</w:t>
                  </w:r>
                </w:p>
              </w:tc>
              <w:tc>
                <w:tcPr>
                  <w:tcW w:w="528" w:type="pct"/>
                  <w:tcBorders>
                    <w:tl2br w:val="nil"/>
                    <w:tr2bl w:val="nil"/>
                  </w:tcBorders>
                  <w:vAlign w:val="center"/>
                </w:tcPr>
                <w:p w14:paraId="7FC4FA15">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1E82C324">
                  <w:pPr>
                    <w:jc w:val="center"/>
                    <w:rPr>
                      <w:color w:val="auto"/>
                      <w:sz w:val="21"/>
                      <w:szCs w:val="21"/>
                    </w:rPr>
                  </w:pPr>
                  <w:r>
                    <w:rPr>
                      <w:rFonts w:hint="eastAsia"/>
                      <w:color w:val="auto"/>
                      <w:sz w:val="21"/>
                      <w:szCs w:val="21"/>
                    </w:rPr>
                    <w:t>82.03</w:t>
                  </w:r>
                </w:p>
              </w:tc>
              <w:tc>
                <w:tcPr>
                  <w:tcW w:w="667" w:type="pct"/>
                  <w:tcBorders>
                    <w:tl2br w:val="nil"/>
                    <w:tr2bl w:val="nil"/>
                  </w:tcBorders>
                  <w:vAlign w:val="center"/>
                </w:tcPr>
                <w:p w14:paraId="298A5F61">
                  <w:pPr>
                    <w:jc w:val="center"/>
                    <w:rPr>
                      <w:color w:val="auto"/>
                      <w:sz w:val="21"/>
                      <w:szCs w:val="21"/>
                    </w:rPr>
                  </w:pPr>
                  <w:r>
                    <w:rPr>
                      <w:rFonts w:hint="eastAsia"/>
                      <w:color w:val="auto"/>
                      <w:sz w:val="21"/>
                      <w:szCs w:val="21"/>
                    </w:rPr>
                    <w:t>1</w:t>
                  </w:r>
                  <w:r>
                    <w:rPr>
                      <w:color w:val="auto"/>
                      <w:sz w:val="21"/>
                      <w:szCs w:val="21"/>
                    </w:rPr>
                    <w:t>04.33</w:t>
                  </w:r>
                </w:p>
              </w:tc>
              <w:tc>
                <w:tcPr>
                  <w:tcW w:w="584" w:type="pct"/>
                  <w:tcBorders>
                    <w:tl2br w:val="nil"/>
                    <w:tr2bl w:val="nil"/>
                  </w:tcBorders>
                  <w:vAlign w:val="center"/>
                </w:tcPr>
                <w:p w14:paraId="3CA45C52">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5323198F">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2D58BB40">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52130420">
                  <w:pPr>
                    <w:jc w:val="center"/>
                    <w:rPr>
                      <w:color w:val="auto"/>
                      <w:sz w:val="21"/>
                      <w:szCs w:val="21"/>
                    </w:rPr>
                  </w:pPr>
                  <w:r>
                    <w:rPr>
                      <w:rFonts w:hint="eastAsia"/>
                      <w:color w:val="auto"/>
                      <w:sz w:val="21"/>
                      <w:szCs w:val="21"/>
                    </w:rPr>
                    <w:t>昼间</w:t>
                  </w:r>
                </w:p>
              </w:tc>
            </w:tr>
            <w:tr w14:paraId="25F7631D">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042718C9">
                  <w:pPr>
                    <w:jc w:val="center"/>
                    <w:rPr>
                      <w:color w:val="auto"/>
                      <w:sz w:val="21"/>
                      <w:szCs w:val="21"/>
                    </w:rPr>
                  </w:pPr>
                  <w:r>
                    <w:rPr>
                      <w:rFonts w:hint="eastAsia"/>
                      <w:color w:val="auto"/>
                      <w:sz w:val="21"/>
                      <w:szCs w:val="21"/>
                    </w:rPr>
                    <w:t>9</w:t>
                  </w:r>
                </w:p>
              </w:tc>
              <w:tc>
                <w:tcPr>
                  <w:tcW w:w="528" w:type="pct"/>
                  <w:tcBorders>
                    <w:tl2br w:val="nil"/>
                    <w:tr2bl w:val="nil"/>
                  </w:tcBorders>
                  <w:vAlign w:val="center"/>
                </w:tcPr>
                <w:p w14:paraId="64DA3E61">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053F54F9">
                  <w:pPr>
                    <w:jc w:val="center"/>
                    <w:rPr>
                      <w:color w:val="auto"/>
                      <w:sz w:val="21"/>
                      <w:szCs w:val="21"/>
                    </w:rPr>
                  </w:pPr>
                  <w:r>
                    <w:rPr>
                      <w:rFonts w:hint="eastAsia"/>
                      <w:color w:val="auto"/>
                      <w:sz w:val="21"/>
                      <w:szCs w:val="21"/>
                    </w:rPr>
                    <w:t>86.12</w:t>
                  </w:r>
                </w:p>
              </w:tc>
              <w:tc>
                <w:tcPr>
                  <w:tcW w:w="667" w:type="pct"/>
                  <w:tcBorders>
                    <w:tl2br w:val="nil"/>
                    <w:tr2bl w:val="nil"/>
                  </w:tcBorders>
                  <w:vAlign w:val="center"/>
                </w:tcPr>
                <w:p w14:paraId="29539F62">
                  <w:pPr>
                    <w:jc w:val="center"/>
                    <w:rPr>
                      <w:color w:val="auto"/>
                      <w:sz w:val="21"/>
                      <w:szCs w:val="21"/>
                    </w:rPr>
                  </w:pPr>
                  <w:r>
                    <w:rPr>
                      <w:rFonts w:hint="eastAsia"/>
                      <w:color w:val="auto"/>
                      <w:sz w:val="21"/>
                      <w:szCs w:val="21"/>
                    </w:rPr>
                    <w:t>1</w:t>
                  </w:r>
                  <w:r>
                    <w:rPr>
                      <w:color w:val="auto"/>
                      <w:sz w:val="21"/>
                      <w:szCs w:val="21"/>
                    </w:rPr>
                    <w:t>02.48</w:t>
                  </w:r>
                </w:p>
              </w:tc>
              <w:tc>
                <w:tcPr>
                  <w:tcW w:w="584" w:type="pct"/>
                  <w:tcBorders>
                    <w:tl2br w:val="nil"/>
                    <w:tr2bl w:val="nil"/>
                  </w:tcBorders>
                  <w:vAlign w:val="center"/>
                </w:tcPr>
                <w:p w14:paraId="3ACA9666">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43331060">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27C0AFED">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1D9DDB99">
                  <w:pPr>
                    <w:jc w:val="center"/>
                    <w:rPr>
                      <w:color w:val="auto"/>
                      <w:sz w:val="21"/>
                      <w:szCs w:val="21"/>
                    </w:rPr>
                  </w:pPr>
                  <w:r>
                    <w:rPr>
                      <w:rFonts w:hint="eastAsia"/>
                      <w:color w:val="auto"/>
                      <w:sz w:val="21"/>
                      <w:szCs w:val="21"/>
                    </w:rPr>
                    <w:t>昼间</w:t>
                  </w:r>
                </w:p>
              </w:tc>
            </w:tr>
            <w:tr w14:paraId="42A9D11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7FA17C74">
                  <w:pPr>
                    <w:jc w:val="center"/>
                    <w:rPr>
                      <w:color w:val="auto"/>
                      <w:sz w:val="21"/>
                      <w:szCs w:val="21"/>
                    </w:rPr>
                  </w:pPr>
                  <w:r>
                    <w:rPr>
                      <w:rFonts w:hint="eastAsia"/>
                      <w:color w:val="auto"/>
                      <w:sz w:val="21"/>
                      <w:szCs w:val="21"/>
                    </w:rPr>
                    <w:t>1</w:t>
                  </w:r>
                  <w:r>
                    <w:rPr>
                      <w:color w:val="auto"/>
                      <w:sz w:val="21"/>
                      <w:szCs w:val="21"/>
                    </w:rPr>
                    <w:t>0</w:t>
                  </w:r>
                </w:p>
              </w:tc>
              <w:tc>
                <w:tcPr>
                  <w:tcW w:w="528" w:type="pct"/>
                  <w:tcBorders>
                    <w:tl2br w:val="nil"/>
                    <w:tr2bl w:val="nil"/>
                  </w:tcBorders>
                  <w:vAlign w:val="center"/>
                </w:tcPr>
                <w:p w14:paraId="27560ADF">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223BB281">
                  <w:pPr>
                    <w:jc w:val="center"/>
                    <w:rPr>
                      <w:color w:val="auto"/>
                      <w:sz w:val="21"/>
                      <w:szCs w:val="21"/>
                    </w:rPr>
                  </w:pPr>
                  <w:r>
                    <w:rPr>
                      <w:rFonts w:hint="eastAsia"/>
                      <w:color w:val="auto"/>
                      <w:sz w:val="21"/>
                      <w:szCs w:val="21"/>
                    </w:rPr>
                    <w:t>91.28</w:t>
                  </w:r>
                </w:p>
              </w:tc>
              <w:tc>
                <w:tcPr>
                  <w:tcW w:w="667" w:type="pct"/>
                  <w:tcBorders>
                    <w:tl2br w:val="nil"/>
                    <w:tr2bl w:val="nil"/>
                  </w:tcBorders>
                  <w:vAlign w:val="center"/>
                </w:tcPr>
                <w:p w14:paraId="3244CA9C">
                  <w:pPr>
                    <w:jc w:val="center"/>
                    <w:rPr>
                      <w:color w:val="auto"/>
                      <w:sz w:val="21"/>
                      <w:szCs w:val="21"/>
                    </w:rPr>
                  </w:pPr>
                  <w:r>
                    <w:rPr>
                      <w:rFonts w:hint="eastAsia"/>
                      <w:color w:val="auto"/>
                      <w:sz w:val="21"/>
                      <w:szCs w:val="21"/>
                    </w:rPr>
                    <w:t>1</w:t>
                  </w:r>
                  <w:r>
                    <w:rPr>
                      <w:color w:val="auto"/>
                      <w:sz w:val="21"/>
                      <w:szCs w:val="21"/>
                    </w:rPr>
                    <w:t>00.73</w:t>
                  </w:r>
                </w:p>
              </w:tc>
              <w:tc>
                <w:tcPr>
                  <w:tcW w:w="584" w:type="pct"/>
                  <w:tcBorders>
                    <w:tl2br w:val="nil"/>
                    <w:tr2bl w:val="nil"/>
                  </w:tcBorders>
                  <w:vAlign w:val="center"/>
                </w:tcPr>
                <w:p w14:paraId="70B1CDA3">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4DC8A2F2">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1E6DCC33">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506438DA">
                  <w:pPr>
                    <w:jc w:val="center"/>
                    <w:rPr>
                      <w:color w:val="auto"/>
                      <w:sz w:val="21"/>
                      <w:szCs w:val="21"/>
                    </w:rPr>
                  </w:pPr>
                  <w:r>
                    <w:rPr>
                      <w:rFonts w:hint="eastAsia"/>
                      <w:color w:val="auto"/>
                      <w:sz w:val="21"/>
                      <w:szCs w:val="21"/>
                    </w:rPr>
                    <w:t>昼间</w:t>
                  </w:r>
                </w:p>
              </w:tc>
            </w:tr>
            <w:tr w14:paraId="18EC7DED">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58CE9A9C">
                  <w:pPr>
                    <w:jc w:val="center"/>
                    <w:rPr>
                      <w:color w:val="auto"/>
                      <w:sz w:val="21"/>
                      <w:szCs w:val="21"/>
                    </w:rPr>
                  </w:pPr>
                  <w:r>
                    <w:rPr>
                      <w:rFonts w:hint="eastAsia"/>
                      <w:color w:val="auto"/>
                      <w:sz w:val="21"/>
                      <w:szCs w:val="21"/>
                    </w:rPr>
                    <w:t>1</w:t>
                  </w:r>
                  <w:r>
                    <w:rPr>
                      <w:color w:val="auto"/>
                      <w:sz w:val="21"/>
                      <w:szCs w:val="21"/>
                    </w:rPr>
                    <w:t>1</w:t>
                  </w:r>
                </w:p>
              </w:tc>
              <w:tc>
                <w:tcPr>
                  <w:tcW w:w="528" w:type="pct"/>
                  <w:tcBorders>
                    <w:tl2br w:val="nil"/>
                    <w:tr2bl w:val="nil"/>
                  </w:tcBorders>
                  <w:vAlign w:val="center"/>
                </w:tcPr>
                <w:p w14:paraId="69E12BBC">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56FF80C2">
                  <w:pPr>
                    <w:jc w:val="center"/>
                    <w:rPr>
                      <w:color w:val="auto"/>
                      <w:sz w:val="21"/>
                      <w:szCs w:val="21"/>
                    </w:rPr>
                  </w:pPr>
                  <w:r>
                    <w:rPr>
                      <w:rFonts w:hint="eastAsia"/>
                      <w:color w:val="auto"/>
                      <w:sz w:val="21"/>
                      <w:szCs w:val="21"/>
                    </w:rPr>
                    <w:t>95.18</w:t>
                  </w:r>
                </w:p>
              </w:tc>
              <w:tc>
                <w:tcPr>
                  <w:tcW w:w="667" w:type="pct"/>
                  <w:tcBorders>
                    <w:tl2br w:val="nil"/>
                    <w:tr2bl w:val="nil"/>
                  </w:tcBorders>
                  <w:vAlign w:val="center"/>
                </w:tcPr>
                <w:p w14:paraId="28E24825">
                  <w:pPr>
                    <w:jc w:val="center"/>
                    <w:rPr>
                      <w:color w:val="auto"/>
                      <w:sz w:val="21"/>
                      <w:szCs w:val="21"/>
                    </w:rPr>
                  </w:pPr>
                  <w:r>
                    <w:rPr>
                      <w:rFonts w:hint="eastAsia"/>
                      <w:color w:val="auto"/>
                      <w:sz w:val="21"/>
                      <w:szCs w:val="21"/>
                    </w:rPr>
                    <w:t>9</w:t>
                  </w:r>
                  <w:r>
                    <w:rPr>
                      <w:color w:val="auto"/>
                      <w:sz w:val="21"/>
                      <w:szCs w:val="21"/>
                    </w:rPr>
                    <w:t>8.88</w:t>
                  </w:r>
                </w:p>
              </w:tc>
              <w:tc>
                <w:tcPr>
                  <w:tcW w:w="584" w:type="pct"/>
                  <w:tcBorders>
                    <w:tl2br w:val="nil"/>
                    <w:tr2bl w:val="nil"/>
                  </w:tcBorders>
                  <w:vAlign w:val="center"/>
                </w:tcPr>
                <w:p w14:paraId="5989E504">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2EAFAF90">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01F8DD36">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12928170">
                  <w:pPr>
                    <w:jc w:val="center"/>
                    <w:rPr>
                      <w:color w:val="auto"/>
                      <w:sz w:val="21"/>
                      <w:szCs w:val="21"/>
                    </w:rPr>
                  </w:pPr>
                  <w:r>
                    <w:rPr>
                      <w:rFonts w:hint="eastAsia"/>
                      <w:color w:val="auto"/>
                      <w:sz w:val="21"/>
                      <w:szCs w:val="21"/>
                    </w:rPr>
                    <w:t>昼间</w:t>
                  </w:r>
                </w:p>
              </w:tc>
            </w:tr>
            <w:tr w14:paraId="5B3B69B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6CC12CB1">
                  <w:pPr>
                    <w:jc w:val="center"/>
                    <w:rPr>
                      <w:color w:val="auto"/>
                      <w:sz w:val="21"/>
                      <w:szCs w:val="21"/>
                    </w:rPr>
                  </w:pPr>
                  <w:r>
                    <w:rPr>
                      <w:rFonts w:hint="eastAsia"/>
                      <w:color w:val="auto"/>
                      <w:sz w:val="21"/>
                      <w:szCs w:val="21"/>
                    </w:rPr>
                    <w:t>1</w:t>
                  </w:r>
                  <w:r>
                    <w:rPr>
                      <w:color w:val="auto"/>
                      <w:sz w:val="21"/>
                      <w:szCs w:val="21"/>
                    </w:rPr>
                    <w:t>2</w:t>
                  </w:r>
                </w:p>
              </w:tc>
              <w:tc>
                <w:tcPr>
                  <w:tcW w:w="528" w:type="pct"/>
                  <w:tcBorders>
                    <w:tl2br w:val="nil"/>
                    <w:tr2bl w:val="nil"/>
                  </w:tcBorders>
                  <w:vAlign w:val="center"/>
                </w:tcPr>
                <w:p w14:paraId="097E2C04">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292B0541">
                  <w:pPr>
                    <w:jc w:val="center"/>
                    <w:rPr>
                      <w:color w:val="auto"/>
                      <w:sz w:val="21"/>
                      <w:szCs w:val="21"/>
                    </w:rPr>
                  </w:pPr>
                  <w:r>
                    <w:rPr>
                      <w:rFonts w:hint="eastAsia"/>
                      <w:color w:val="auto"/>
                      <w:sz w:val="21"/>
                      <w:szCs w:val="21"/>
                    </w:rPr>
                    <w:t>100.34</w:t>
                  </w:r>
                </w:p>
              </w:tc>
              <w:tc>
                <w:tcPr>
                  <w:tcW w:w="667" w:type="pct"/>
                  <w:tcBorders>
                    <w:tl2br w:val="nil"/>
                    <w:tr2bl w:val="nil"/>
                  </w:tcBorders>
                  <w:vAlign w:val="center"/>
                </w:tcPr>
                <w:p w14:paraId="299659C4">
                  <w:pPr>
                    <w:jc w:val="center"/>
                    <w:rPr>
                      <w:color w:val="auto"/>
                      <w:sz w:val="21"/>
                      <w:szCs w:val="21"/>
                    </w:rPr>
                  </w:pPr>
                  <w:r>
                    <w:rPr>
                      <w:rFonts w:hint="eastAsia"/>
                      <w:color w:val="auto"/>
                      <w:sz w:val="21"/>
                      <w:szCs w:val="21"/>
                    </w:rPr>
                    <w:t>9</w:t>
                  </w:r>
                  <w:r>
                    <w:rPr>
                      <w:color w:val="auto"/>
                      <w:sz w:val="21"/>
                      <w:szCs w:val="21"/>
                    </w:rPr>
                    <w:t>6.93</w:t>
                  </w:r>
                </w:p>
              </w:tc>
              <w:tc>
                <w:tcPr>
                  <w:tcW w:w="584" w:type="pct"/>
                  <w:tcBorders>
                    <w:tl2br w:val="nil"/>
                    <w:tr2bl w:val="nil"/>
                  </w:tcBorders>
                  <w:vAlign w:val="center"/>
                </w:tcPr>
                <w:p w14:paraId="39CE2410">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466540B8">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311E9505">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2DCF1C58">
                  <w:pPr>
                    <w:jc w:val="center"/>
                    <w:rPr>
                      <w:color w:val="auto"/>
                      <w:sz w:val="21"/>
                      <w:szCs w:val="21"/>
                    </w:rPr>
                  </w:pPr>
                  <w:r>
                    <w:rPr>
                      <w:rFonts w:hint="eastAsia"/>
                      <w:color w:val="auto"/>
                      <w:sz w:val="21"/>
                      <w:szCs w:val="21"/>
                    </w:rPr>
                    <w:t>昼间</w:t>
                  </w:r>
                </w:p>
              </w:tc>
            </w:tr>
            <w:tr w14:paraId="74D047A0">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0F3C5B3A">
                  <w:pPr>
                    <w:jc w:val="center"/>
                    <w:rPr>
                      <w:color w:val="auto"/>
                      <w:sz w:val="21"/>
                      <w:szCs w:val="21"/>
                    </w:rPr>
                  </w:pPr>
                  <w:r>
                    <w:rPr>
                      <w:rFonts w:hint="eastAsia"/>
                      <w:color w:val="auto"/>
                      <w:sz w:val="21"/>
                      <w:szCs w:val="21"/>
                    </w:rPr>
                    <w:t>1</w:t>
                  </w:r>
                  <w:r>
                    <w:rPr>
                      <w:color w:val="auto"/>
                      <w:sz w:val="21"/>
                      <w:szCs w:val="21"/>
                    </w:rPr>
                    <w:t>3</w:t>
                  </w:r>
                </w:p>
              </w:tc>
              <w:tc>
                <w:tcPr>
                  <w:tcW w:w="528" w:type="pct"/>
                  <w:tcBorders>
                    <w:tl2br w:val="nil"/>
                    <w:tr2bl w:val="nil"/>
                  </w:tcBorders>
                  <w:vAlign w:val="center"/>
                </w:tcPr>
                <w:p w14:paraId="292755E2">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67A5E305">
                  <w:pPr>
                    <w:jc w:val="center"/>
                    <w:rPr>
                      <w:color w:val="auto"/>
                      <w:sz w:val="21"/>
                      <w:szCs w:val="21"/>
                    </w:rPr>
                  </w:pPr>
                  <w:r>
                    <w:rPr>
                      <w:rFonts w:hint="eastAsia"/>
                      <w:color w:val="auto"/>
                      <w:sz w:val="21"/>
                      <w:szCs w:val="21"/>
                    </w:rPr>
                    <w:t>104.53</w:t>
                  </w:r>
                </w:p>
              </w:tc>
              <w:tc>
                <w:tcPr>
                  <w:tcW w:w="667" w:type="pct"/>
                  <w:tcBorders>
                    <w:tl2br w:val="nil"/>
                    <w:tr2bl w:val="nil"/>
                  </w:tcBorders>
                  <w:vAlign w:val="center"/>
                </w:tcPr>
                <w:p w14:paraId="3D53E275">
                  <w:pPr>
                    <w:jc w:val="center"/>
                    <w:rPr>
                      <w:color w:val="auto"/>
                      <w:sz w:val="21"/>
                      <w:szCs w:val="21"/>
                    </w:rPr>
                  </w:pPr>
                  <w:r>
                    <w:rPr>
                      <w:rFonts w:hint="eastAsia"/>
                      <w:color w:val="auto"/>
                      <w:sz w:val="21"/>
                      <w:szCs w:val="21"/>
                    </w:rPr>
                    <w:t>9</w:t>
                  </w:r>
                  <w:r>
                    <w:rPr>
                      <w:color w:val="auto"/>
                      <w:sz w:val="21"/>
                      <w:szCs w:val="21"/>
                    </w:rPr>
                    <w:t>4.98</w:t>
                  </w:r>
                </w:p>
              </w:tc>
              <w:tc>
                <w:tcPr>
                  <w:tcW w:w="584" w:type="pct"/>
                  <w:tcBorders>
                    <w:tl2br w:val="nil"/>
                    <w:tr2bl w:val="nil"/>
                  </w:tcBorders>
                  <w:vAlign w:val="center"/>
                </w:tcPr>
                <w:p w14:paraId="69CA7858">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1776370D">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70BE7AF1">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6FF52B43">
                  <w:pPr>
                    <w:jc w:val="center"/>
                    <w:rPr>
                      <w:color w:val="auto"/>
                      <w:sz w:val="21"/>
                      <w:szCs w:val="21"/>
                    </w:rPr>
                  </w:pPr>
                  <w:r>
                    <w:rPr>
                      <w:rFonts w:hint="eastAsia"/>
                      <w:color w:val="auto"/>
                      <w:sz w:val="21"/>
                      <w:szCs w:val="21"/>
                    </w:rPr>
                    <w:t>昼间</w:t>
                  </w:r>
                </w:p>
              </w:tc>
            </w:tr>
            <w:tr w14:paraId="58A509B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62B575CC">
                  <w:pPr>
                    <w:jc w:val="center"/>
                    <w:rPr>
                      <w:color w:val="auto"/>
                      <w:sz w:val="21"/>
                      <w:szCs w:val="21"/>
                    </w:rPr>
                  </w:pPr>
                  <w:r>
                    <w:rPr>
                      <w:rFonts w:hint="eastAsia"/>
                      <w:color w:val="auto"/>
                      <w:sz w:val="21"/>
                      <w:szCs w:val="21"/>
                    </w:rPr>
                    <w:t>1</w:t>
                  </w:r>
                  <w:r>
                    <w:rPr>
                      <w:color w:val="auto"/>
                      <w:sz w:val="21"/>
                      <w:szCs w:val="21"/>
                    </w:rPr>
                    <w:t>4</w:t>
                  </w:r>
                </w:p>
              </w:tc>
              <w:tc>
                <w:tcPr>
                  <w:tcW w:w="528" w:type="pct"/>
                  <w:tcBorders>
                    <w:tl2br w:val="nil"/>
                    <w:tr2bl w:val="nil"/>
                  </w:tcBorders>
                  <w:vAlign w:val="center"/>
                </w:tcPr>
                <w:p w14:paraId="7D6387A2">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64ADDDDA">
                  <w:pPr>
                    <w:jc w:val="center"/>
                    <w:rPr>
                      <w:color w:val="auto"/>
                      <w:sz w:val="21"/>
                      <w:szCs w:val="21"/>
                    </w:rPr>
                  </w:pPr>
                  <w:r>
                    <w:rPr>
                      <w:rFonts w:hint="eastAsia"/>
                      <w:color w:val="auto"/>
                      <w:sz w:val="21"/>
                      <w:szCs w:val="21"/>
                    </w:rPr>
                    <w:t>74.44</w:t>
                  </w:r>
                </w:p>
              </w:tc>
              <w:tc>
                <w:tcPr>
                  <w:tcW w:w="667" w:type="pct"/>
                  <w:tcBorders>
                    <w:tl2br w:val="nil"/>
                    <w:tr2bl w:val="nil"/>
                  </w:tcBorders>
                  <w:vAlign w:val="center"/>
                </w:tcPr>
                <w:p w14:paraId="12B2F0F8">
                  <w:pPr>
                    <w:jc w:val="center"/>
                    <w:rPr>
                      <w:color w:val="auto"/>
                      <w:sz w:val="21"/>
                      <w:szCs w:val="21"/>
                    </w:rPr>
                  </w:pPr>
                  <w:r>
                    <w:rPr>
                      <w:rFonts w:hint="eastAsia"/>
                      <w:color w:val="auto"/>
                      <w:sz w:val="21"/>
                      <w:szCs w:val="21"/>
                    </w:rPr>
                    <w:t>8</w:t>
                  </w:r>
                  <w:r>
                    <w:rPr>
                      <w:color w:val="auto"/>
                      <w:sz w:val="21"/>
                      <w:szCs w:val="21"/>
                    </w:rPr>
                    <w:t>4.27</w:t>
                  </w:r>
                </w:p>
              </w:tc>
              <w:tc>
                <w:tcPr>
                  <w:tcW w:w="584" w:type="pct"/>
                  <w:tcBorders>
                    <w:tl2br w:val="nil"/>
                    <w:tr2bl w:val="nil"/>
                  </w:tcBorders>
                  <w:vAlign w:val="center"/>
                </w:tcPr>
                <w:p w14:paraId="3BD6A588">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3203972F">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2668D11A">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56653147">
                  <w:pPr>
                    <w:jc w:val="center"/>
                    <w:rPr>
                      <w:color w:val="auto"/>
                      <w:sz w:val="21"/>
                      <w:szCs w:val="21"/>
                    </w:rPr>
                  </w:pPr>
                  <w:r>
                    <w:rPr>
                      <w:rFonts w:hint="eastAsia"/>
                      <w:color w:val="auto"/>
                      <w:sz w:val="21"/>
                      <w:szCs w:val="21"/>
                    </w:rPr>
                    <w:t>昼间</w:t>
                  </w:r>
                </w:p>
              </w:tc>
            </w:tr>
            <w:tr w14:paraId="1038C1EA">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39ED2F96">
                  <w:pPr>
                    <w:jc w:val="center"/>
                    <w:rPr>
                      <w:color w:val="auto"/>
                      <w:sz w:val="21"/>
                      <w:szCs w:val="21"/>
                    </w:rPr>
                  </w:pPr>
                  <w:r>
                    <w:rPr>
                      <w:rFonts w:hint="eastAsia"/>
                      <w:color w:val="auto"/>
                      <w:sz w:val="21"/>
                      <w:szCs w:val="21"/>
                    </w:rPr>
                    <w:t>1</w:t>
                  </w:r>
                  <w:r>
                    <w:rPr>
                      <w:color w:val="auto"/>
                      <w:sz w:val="21"/>
                      <w:szCs w:val="21"/>
                    </w:rPr>
                    <w:t>5</w:t>
                  </w:r>
                </w:p>
              </w:tc>
              <w:tc>
                <w:tcPr>
                  <w:tcW w:w="528" w:type="pct"/>
                  <w:tcBorders>
                    <w:tl2br w:val="nil"/>
                    <w:tr2bl w:val="nil"/>
                  </w:tcBorders>
                  <w:vAlign w:val="center"/>
                </w:tcPr>
                <w:p w14:paraId="21E8F2B2">
                  <w:pPr>
                    <w:jc w:val="center"/>
                    <w:rPr>
                      <w:color w:val="auto"/>
                      <w:sz w:val="21"/>
                      <w:szCs w:val="21"/>
                    </w:rPr>
                  </w:pPr>
                  <w:r>
                    <w:rPr>
                      <w:rFonts w:hint="eastAsia"/>
                      <w:color w:val="auto"/>
                      <w:sz w:val="21"/>
                      <w:szCs w:val="21"/>
                    </w:rPr>
                    <w:t>压裂泵</w:t>
                  </w:r>
                </w:p>
              </w:tc>
              <w:tc>
                <w:tcPr>
                  <w:tcW w:w="564" w:type="pct"/>
                  <w:tcBorders>
                    <w:tl2br w:val="nil"/>
                    <w:tr2bl w:val="nil"/>
                  </w:tcBorders>
                  <w:vAlign w:val="center"/>
                </w:tcPr>
                <w:p w14:paraId="6C80AE85">
                  <w:pPr>
                    <w:jc w:val="center"/>
                    <w:rPr>
                      <w:color w:val="auto"/>
                      <w:sz w:val="21"/>
                      <w:szCs w:val="21"/>
                    </w:rPr>
                  </w:pPr>
                  <w:r>
                    <w:rPr>
                      <w:rFonts w:hint="eastAsia"/>
                      <w:color w:val="auto"/>
                      <w:sz w:val="21"/>
                      <w:szCs w:val="21"/>
                    </w:rPr>
                    <w:t>78.72</w:t>
                  </w:r>
                </w:p>
              </w:tc>
              <w:tc>
                <w:tcPr>
                  <w:tcW w:w="667" w:type="pct"/>
                  <w:tcBorders>
                    <w:tl2br w:val="nil"/>
                    <w:tr2bl w:val="nil"/>
                  </w:tcBorders>
                  <w:vAlign w:val="center"/>
                </w:tcPr>
                <w:p w14:paraId="6F564F15">
                  <w:pPr>
                    <w:jc w:val="center"/>
                    <w:rPr>
                      <w:color w:val="auto"/>
                      <w:sz w:val="21"/>
                      <w:szCs w:val="21"/>
                    </w:rPr>
                  </w:pPr>
                  <w:r>
                    <w:rPr>
                      <w:rFonts w:hint="eastAsia"/>
                      <w:color w:val="auto"/>
                      <w:sz w:val="21"/>
                      <w:szCs w:val="21"/>
                    </w:rPr>
                    <w:t>8</w:t>
                  </w:r>
                  <w:r>
                    <w:rPr>
                      <w:color w:val="auto"/>
                      <w:sz w:val="21"/>
                      <w:szCs w:val="21"/>
                    </w:rPr>
                    <w:t>2.71</w:t>
                  </w:r>
                </w:p>
              </w:tc>
              <w:tc>
                <w:tcPr>
                  <w:tcW w:w="584" w:type="pct"/>
                  <w:tcBorders>
                    <w:tl2br w:val="nil"/>
                    <w:tr2bl w:val="nil"/>
                  </w:tcBorders>
                  <w:vAlign w:val="center"/>
                </w:tcPr>
                <w:p w14:paraId="2F77C73D">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6031B60A">
                  <w:pPr>
                    <w:jc w:val="center"/>
                    <w:rPr>
                      <w:color w:val="auto"/>
                      <w:sz w:val="21"/>
                      <w:szCs w:val="21"/>
                    </w:rPr>
                  </w:pPr>
                  <w:r>
                    <w:rPr>
                      <w:rFonts w:hint="eastAsia"/>
                      <w:color w:val="auto"/>
                      <w:sz w:val="21"/>
                      <w:szCs w:val="21"/>
                    </w:rPr>
                    <w:t>8</w:t>
                  </w:r>
                  <w:r>
                    <w:rPr>
                      <w:color w:val="auto"/>
                      <w:sz w:val="21"/>
                      <w:szCs w:val="21"/>
                    </w:rPr>
                    <w:t>0</w:t>
                  </w:r>
                </w:p>
              </w:tc>
              <w:tc>
                <w:tcPr>
                  <w:tcW w:w="785" w:type="pct"/>
                  <w:tcBorders>
                    <w:tl2br w:val="nil"/>
                    <w:tr2bl w:val="nil"/>
                  </w:tcBorders>
                  <w:vAlign w:val="center"/>
                </w:tcPr>
                <w:p w14:paraId="6C2BEEA3">
                  <w:pPr>
                    <w:jc w:val="center"/>
                    <w:rPr>
                      <w:color w:val="auto"/>
                      <w:sz w:val="21"/>
                      <w:szCs w:val="21"/>
                    </w:rPr>
                  </w:pPr>
                  <w:r>
                    <w:rPr>
                      <w:rFonts w:hint="eastAsia"/>
                      <w:color w:val="auto"/>
                      <w:sz w:val="21"/>
                      <w:szCs w:val="21"/>
                    </w:rPr>
                    <w:t>减震安装、</w:t>
                  </w:r>
                  <w:r>
                    <w:rPr>
                      <w:color w:val="auto"/>
                      <w:sz w:val="21"/>
                      <w:szCs w:val="21"/>
                    </w:rPr>
                    <w:t>衬弹性垫料</w:t>
                  </w:r>
                </w:p>
              </w:tc>
              <w:tc>
                <w:tcPr>
                  <w:tcW w:w="538" w:type="pct"/>
                  <w:tcBorders>
                    <w:tl2br w:val="nil"/>
                    <w:tr2bl w:val="nil"/>
                  </w:tcBorders>
                  <w:vAlign w:val="center"/>
                </w:tcPr>
                <w:p w14:paraId="17970EBD">
                  <w:pPr>
                    <w:jc w:val="center"/>
                    <w:rPr>
                      <w:color w:val="auto"/>
                      <w:sz w:val="21"/>
                      <w:szCs w:val="21"/>
                    </w:rPr>
                  </w:pPr>
                  <w:r>
                    <w:rPr>
                      <w:rFonts w:hint="eastAsia"/>
                      <w:color w:val="auto"/>
                      <w:sz w:val="21"/>
                      <w:szCs w:val="21"/>
                    </w:rPr>
                    <w:t>昼间</w:t>
                  </w:r>
                </w:p>
              </w:tc>
            </w:tr>
            <w:tr w14:paraId="4E5163A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60628239">
                  <w:pPr>
                    <w:jc w:val="center"/>
                    <w:rPr>
                      <w:color w:val="auto"/>
                      <w:sz w:val="21"/>
                      <w:szCs w:val="21"/>
                    </w:rPr>
                  </w:pPr>
                  <w:r>
                    <w:rPr>
                      <w:rFonts w:hint="eastAsia"/>
                      <w:color w:val="auto"/>
                      <w:sz w:val="21"/>
                      <w:szCs w:val="21"/>
                    </w:rPr>
                    <w:t>1</w:t>
                  </w:r>
                  <w:r>
                    <w:rPr>
                      <w:color w:val="auto"/>
                      <w:sz w:val="21"/>
                      <w:szCs w:val="21"/>
                    </w:rPr>
                    <w:t>6</w:t>
                  </w:r>
                </w:p>
              </w:tc>
              <w:tc>
                <w:tcPr>
                  <w:tcW w:w="528" w:type="pct"/>
                  <w:tcBorders>
                    <w:tl2br w:val="nil"/>
                    <w:tr2bl w:val="nil"/>
                  </w:tcBorders>
                  <w:vAlign w:val="center"/>
                </w:tcPr>
                <w:p w14:paraId="64A5E82C">
                  <w:pPr>
                    <w:jc w:val="center"/>
                    <w:rPr>
                      <w:color w:val="auto"/>
                      <w:sz w:val="21"/>
                      <w:szCs w:val="21"/>
                    </w:rPr>
                  </w:pPr>
                  <w:r>
                    <w:rPr>
                      <w:rFonts w:hint="eastAsia"/>
                      <w:color w:val="auto"/>
                      <w:sz w:val="21"/>
                      <w:szCs w:val="21"/>
                    </w:rPr>
                    <w:t>混砂车</w:t>
                  </w:r>
                </w:p>
              </w:tc>
              <w:tc>
                <w:tcPr>
                  <w:tcW w:w="564" w:type="pct"/>
                  <w:tcBorders>
                    <w:tl2br w:val="nil"/>
                    <w:tr2bl w:val="nil"/>
                  </w:tcBorders>
                  <w:vAlign w:val="center"/>
                </w:tcPr>
                <w:p w14:paraId="645B23E1">
                  <w:pPr>
                    <w:jc w:val="center"/>
                    <w:rPr>
                      <w:color w:val="auto"/>
                      <w:sz w:val="21"/>
                      <w:szCs w:val="21"/>
                    </w:rPr>
                  </w:pPr>
                  <w:r>
                    <w:rPr>
                      <w:rFonts w:hint="eastAsia"/>
                      <w:color w:val="auto"/>
                      <w:sz w:val="21"/>
                      <w:szCs w:val="21"/>
                    </w:rPr>
                    <w:t>110,92</w:t>
                  </w:r>
                </w:p>
              </w:tc>
              <w:tc>
                <w:tcPr>
                  <w:tcW w:w="667" w:type="pct"/>
                  <w:tcBorders>
                    <w:tl2br w:val="nil"/>
                    <w:tr2bl w:val="nil"/>
                  </w:tcBorders>
                  <w:vAlign w:val="center"/>
                </w:tcPr>
                <w:p w14:paraId="61DF90DF">
                  <w:pPr>
                    <w:jc w:val="center"/>
                    <w:rPr>
                      <w:color w:val="auto"/>
                      <w:sz w:val="21"/>
                      <w:szCs w:val="21"/>
                    </w:rPr>
                  </w:pPr>
                  <w:r>
                    <w:rPr>
                      <w:rFonts w:hint="eastAsia"/>
                      <w:color w:val="auto"/>
                      <w:sz w:val="21"/>
                      <w:szCs w:val="21"/>
                    </w:rPr>
                    <w:t>9</w:t>
                  </w:r>
                  <w:r>
                    <w:rPr>
                      <w:color w:val="auto"/>
                      <w:sz w:val="21"/>
                      <w:szCs w:val="21"/>
                    </w:rPr>
                    <w:t>2.61</w:t>
                  </w:r>
                </w:p>
              </w:tc>
              <w:tc>
                <w:tcPr>
                  <w:tcW w:w="584" w:type="pct"/>
                  <w:tcBorders>
                    <w:tl2br w:val="nil"/>
                    <w:tr2bl w:val="nil"/>
                  </w:tcBorders>
                  <w:vAlign w:val="center"/>
                </w:tcPr>
                <w:p w14:paraId="06F2492E">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0F899F71">
                  <w:pPr>
                    <w:jc w:val="center"/>
                    <w:rPr>
                      <w:color w:val="auto"/>
                      <w:sz w:val="21"/>
                      <w:szCs w:val="21"/>
                    </w:rPr>
                  </w:pPr>
                  <w:r>
                    <w:rPr>
                      <w:rFonts w:hint="eastAsia"/>
                      <w:color w:val="auto"/>
                      <w:sz w:val="21"/>
                      <w:szCs w:val="21"/>
                    </w:rPr>
                    <w:t>9</w:t>
                  </w:r>
                  <w:r>
                    <w:rPr>
                      <w:color w:val="auto"/>
                      <w:sz w:val="21"/>
                      <w:szCs w:val="21"/>
                    </w:rPr>
                    <w:t>0</w:t>
                  </w:r>
                </w:p>
              </w:tc>
              <w:tc>
                <w:tcPr>
                  <w:tcW w:w="785" w:type="pct"/>
                  <w:tcBorders>
                    <w:tl2br w:val="nil"/>
                    <w:tr2bl w:val="nil"/>
                  </w:tcBorders>
                  <w:vAlign w:val="center"/>
                </w:tcPr>
                <w:p w14:paraId="1EE00AFE">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1CC3339C">
                  <w:pPr>
                    <w:jc w:val="center"/>
                    <w:rPr>
                      <w:color w:val="auto"/>
                      <w:sz w:val="21"/>
                      <w:szCs w:val="21"/>
                    </w:rPr>
                  </w:pPr>
                  <w:r>
                    <w:rPr>
                      <w:rFonts w:hint="eastAsia"/>
                      <w:color w:val="auto"/>
                      <w:sz w:val="21"/>
                      <w:szCs w:val="21"/>
                    </w:rPr>
                    <w:t>昼间</w:t>
                  </w:r>
                </w:p>
              </w:tc>
            </w:tr>
            <w:tr w14:paraId="722D037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7CCBD433">
                  <w:pPr>
                    <w:jc w:val="center"/>
                    <w:rPr>
                      <w:color w:val="auto"/>
                      <w:sz w:val="21"/>
                      <w:szCs w:val="21"/>
                    </w:rPr>
                  </w:pPr>
                  <w:r>
                    <w:rPr>
                      <w:rFonts w:hint="eastAsia"/>
                      <w:color w:val="auto"/>
                      <w:sz w:val="21"/>
                      <w:szCs w:val="21"/>
                    </w:rPr>
                    <w:t>1</w:t>
                  </w:r>
                  <w:r>
                    <w:rPr>
                      <w:color w:val="auto"/>
                      <w:sz w:val="21"/>
                      <w:szCs w:val="21"/>
                    </w:rPr>
                    <w:t>7</w:t>
                  </w:r>
                </w:p>
              </w:tc>
              <w:tc>
                <w:tcPr>
                  <w:tcW w:w="528" w:type="pct"/>
                  <w:tcBorders>
                    <w:tl2br w:val="nil"/>
                    <w:tr2bl w:val="nil"/>
                  </w:tcBorders>
                  <w:vAlign w:val="center"/>
                </w:tcPr>
                <w:p w14:paraId="603FA28F">
                  <w:pPr>
                    <w:jc w:val="center"/>
                    <w:rPr>
                      <w:color w:val="auto"/>
                      <w:sz w:val="21"/>
                      <w:szCs w:val="21"/>
                    </w:rPr>
                  </w:pPr>
                  <w:r>
                    <w:rPr>
                      <w:rFonts w:hint="eastAsia"/>
                      <w:color w:val="auto"/>
                      <w:sz w:val="21"/>
                      <w:szCs w:val="21"/>
                    </w:rPr>
                    <w:t>混砂车</w:t>
                  </w:r>
                </w:p>
              </w:tc>
              <w:tc>
                <w:tcPr>
                  <w:tcW w:w="564" w:type="pct"/>
                  <w:tcBorders>
                    <w:tl2br w:val="nil"/>
                    <w:tr2bl w:val="nil"/>
                  </w:tcBorders>
                  <w:vAlign w:val="center"/>
                </w:tcPr>
                <w:p w14:paraId="407E346F">
                  <w:pPr>
                    <w:jc w:val="center"/>
                    <w:rPr>
                      <w:color w:val="auto"/>
                      <w:sz w:val="21"/>
                      <w:szCs w:val="21"/>
                    </w:rPr>
                  </w:pPr>
                  <w:r>
                    <w:rPr>
                      <w:rFonts w:hint="eastAsia"/>
                      <w:color w:val="auto"/>
                      <w:sz w:val="21"/>
                      <w:szCs w:val="21"/>
                    </w:rPr>
                    <w:t>100.33</w:t>
                  </w:r>
                </w:p>
              </w:tc>
              <w:tc>
                <w:tcPr>
                  <w:tcW w:w="667" w:type="pct"/>
                  <w:tcBorders>
                    <w:tl2br w:val="nil"/>
                    <w:tr2bl w:val="nil"/>
                  </w:tcBorders>
                  <w:vAlign w:val="center"/>
                </w:tcPr>
                <w:p w14:paraId="24A50EC0">
                  <w:pPr>
                    <w:jc w:val="center"/>
                    <w:rPr>
                      <w:color w:val="auto"/>
                      <w:sz w:val="21"/>
                      <w:szCs w:val="21"/>
                    </w:rPr>
                  </w:pPr>
                  <w:r>
                    <w:rPr>
                      <w:rFonts w:hint="eastAsia"/>
                      <w:color w:val="auto"/>
                      <w:sz w:val="21"/>
                      <w:szCs w:val="21"/>
                    </w:rPr>
                    <w:t>6</w:t>
                  </w:r>
                  <w:r>
                    <w:rPr>
                      <w:color w:val="auto"/>
                      <w:sz w:val="21"/>
                      <w:szCs w:val="21"/>
                    </w:rPr>
                    <w:t>8.02</w:t>
                  </w:r>
                </w:p>
              </w:tc>
              <w:tc>
                <w:tcPr>
                  <w:tcW w:w="584" w:type="pct"/>
                  <w:tcBorders>
                    <w:tl2br w:val="nil"/>
                    <w:tr2bl w:val="nil"/>
                  </w:tcBorders>
                  <w:vAlign w:val="center"/>
                </w:tcPr>
                <w:p w14:paraId="16EF357C">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37C8D1C3">
                  <w:pPr>
                    <w:jc w:val="center"/>
                    <w:rPr>
                      <w:color w:val="auto"/>
                      <w:sz w:val="21"/>
                      <w:szCs w:val="21"/>
                    </w:rPr>
                  </w:pPr>
                  <w:r>
                    <w:rPr>
                      <w:rFonts w:hint="eastAsia"/>
                      <w:color w:val="auto"/>
                      <w:sz w:val="21"/>
                      <w:szCs w:val="21"/>
                    </w:rPr>
                    <w:t>9</w:t>
                  </w:r>
                  <w:r>
                    <w:rPr>
                      <w:color w:val="auto"/>
                      <w:sz w:val="21"/>
                      <w:szCs w:val="21"/>
                    </w:rPr>
                    <w:t>0</w:t>
                  </w:r>
                </w:p>
              </w:tc>
              <w:tc>
                <w:tcPr>
                  <w:tcW w:w="785" w:type="pct"/>
                  <w:tcBorders>
                    <w:tl2br w:val="nil"/>
                    <w:tr2bl w:val="nil"/>
                  </w:tcBorders>
                  <w:vAlign w:val="center"/>
                </w:tcPr>
                <w:p w14:paraId="5E86C727">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19B093EA">
                  <w:pPr>
                    <w:jc w:val="center"/>
                    <w:rPr>
                      <w:color w:val="auto"/>
                      <w:sz w:val="21"/>
                      <w:szCs w:val="21"/>
                    </w:rPr>
                  </w:pPr>
                  <w:r>
                    <w:rPr>
                      <w:rFonts w:hint="eastAsia"/>
                      <w:color w:val="auto"/>
                      <w:sz w:val="21"/>
                      <w:szCs w:val="21"/>
                    </w:rPr>
                    <w:t>昼间</w:t>
                  </w:r>
                </w:p>
              </w:tc>
            </w:tr>
            <w:tr w14:paraId="4DECC3C5">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29A9CAC2">
                  <w:pPr>
                    <w:jc w:val="center"/>
                    <w:rPr>
                      <w:color w:val="auto"/>
                      <w:sz w:val="21"/>
                      <w:szCs w:val="21"/>
                    </w:rPr>
                  </w:pPr>
                  <w:r>
                    <w:rPr>
                      <w:rFonts w:hint="eastAsia"/>
                      <w:color w:val="auto"/>
                      <w:sz w:val="21"/>
                      <w:szCs w:val="21"/>
                    </w:rPr>
                    <w:t>1</w:t>
                  </w:r>
                  <w:r>
                    <w:rPr>
                      <w:color w:val="auto"/>
                      <w:sz w:val="21"/>
                      <w:szCs w:val="21"/>
                    </w:rPr>
                    <w:t>8</w:t>
                  </w:r>
                </w:p>
              </w:tc>
              <w:tc>
                <w:tcPr>
                  <w:tcW w:w="528" w:type="pct"/>
                  <w:tcBorders>
                    <w:tl2br w:val="nil"/>
                    <w:tr2bl w:val="nil"/>
                  </w:tcBorders>
                  <w:vAlign w:val="center"/>
                </w:tcPr>
                <w:p w14:paraId="4EC1B6A3">
                  <w:pPr>
                    <w:jc w:val="center"/>
                    <w:rPr>
                      <w:color w:val="auto"/>
                      <w:sz w:val="21"/>
                      <w:szCs w:val="21"/>
                    </w:rPr>
                  </w:pPr>
                  <w:r>
                    <w:rPr>
                      <w:rFonts w:hint="eastAsia"/>
                      <w:color w:val="auto"/>
                      <w:sz w:val="21"/>
                      <w:szCs w:val="21"/>
                    </w:rPr>
                    <w:t>混配车</w:t>
                  </w:r>
                </w:p>
              </w:tc>
              <w:tc>
                <w:tcPr>
                  <w:tcW w:w="564" w:type="pct"/>
                  <w:tcBorders>
                    <w:tl2br w:val="nil"/>
                    <w:tr2bl w:val="nil"/>
                  </w:tcBorders>
                  <w:vAlign w:val="center"/>
                </w:tcPr>
                <w:p w14:paraId="07EC6EFF">
                  <w:pPr>
                    <w:jc w:val="center"/>
                    <w:rPr>
                      <w:color w:val="auto"/>
                      <w:sz w:val="21"/>
                      <w:szCs w:val="21"/>
                    </w:rPr>
                  </w:pPr>
                  <w:r>
                    <w:rPr>
                      <w:rFonts w:hint="eastAsia"/>
                      <w:color w:val="auto"/>
                      <w:sz w:val="21"/>
                      <w:szCs w:val="21"/>
                    </w:rPr>
                    <w:t>76.91</w:t>
                  </w:r>
                </w:p>
              </w:tc>
              <w:tc>
                <w:tcPr>
                  <w:tcW w:w="667" w:type="pct"/>
                  <w:tcBorders>
                    <w:tl2br w:val="nil"/>
                    <w:tr2bl w:val="nil"/>
                  </w:tcBorders>
                  <w:vAlign w:val="center"/>
                </w:tcPr>
                <w:p w14:paraId="07E3DE73">
                  <w:pPr>
                    <w:jc w:val="center"/>
                    <w:rPr>
                      <w:color w:val="auto"/>
                      <w:sz w:val="21"/>
                      <w:szCs w:val="21"/>
                    </w:rPr>
                  </w:pPr>
                  <w:r>
                    <w:rPr>
                      <w:rFonts w:hint="eastAsia"/>
                      <w:color w:val="auto"/>
                      <w:sz w:val="21"/>
                      <w:szCs w:val="21"/>
                    </w:rPr>
                    <w:t>9</w:t>
                  </w:r>
                  <w:r>
                    <w:rPr>
                      <w:color w:val="auto"/>
                      <w:sz w:val="21"/>
                      <w:szCs w:val="21"/>
                    </w:rPr>
                    <w:t>9.75</w:t>
                  </w:r>
                </w:p>
              </w:tc>
              <w:tc>
                <w:tcPr>
                  <w:tcW w:w="584" w:type="pct"/>
                  <w:tcBorders>
                    <w:tl2br w:val="nil"/>
                    <w:tr2bl w:val="nil"/>
                  </w:tcBorders>
                  <w:vAlign w:val="center"/>
                </w:tcPr>
                <w:p w14:paraId="3D12DFC4">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0F392260">
                  <w:pPr>
                    <w:jc w:val="center"/>
                    <w:rPr>
                      <w:color w:val="auto"/>
                      <w:sz w:val="21"/>
                      <w:szCs w:val="21"/>
                    </w:rPr>
                  </w:pPr>
                  <w:r>
                    <w:rPr>
                      <w:rFonts w:hint="eastAsia"/>
                      <w:color w:val="auto"/>
                      <w:sz w:val="21"/>
                      <w:szCs w:val="21"/>
                    </w:rPr>
                    <w:t>9</w:t>
                  </w:r>
                  <w:r>
                    <w:rPr>
                      <w:color w:val="auto"/>
                      <w:sz w:val="21"/>
                      <w:szCs w:val="21"/>
                    </w:rPr>
                    <w:t>0</w:t>
                  </w:r>
                </w:p>
              </w:tc>
              <w:tc>
                <w:tcPr>
                  <w:tcW w:w="785" w:type="pct"/>
                  <w:tcBorders>
                    <w:tl2br w:val="nil"/>
                    <w:tr2bl w:val="nil"/>
                  </w:tcBorders>
                  <w:vAlign w:val="center"/>
                </w:tcPr>
                <w:p w14:paraId="5C58E377">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333D523C">
                  <w:pPr>
                    <w:jc w:val="center"/>
                    <w:rPr>
                      <w:color w:val="auto"/>
                      <w:sz w:val="21"/>
                      <w:szCs w:val="21"/>
                    </w:rPr>
                  </w:pPr>
                  <w:r>
                    <w:rPr>
                      <w:rFonts w:hint="eastAsia"/>
                      <w:color w:val="auto"/>
                      <w:sz w:val="21"/>
                      <w:szCs w:val="21"/>
                    </w:rPr>
                    <w:t>昼间</w:t>
                  </w:r>
                </w:p>
              </w:tc>
            </w:tr>
            <w:tr w14:paraId="5D0181CB">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3DC38DED">
                  <w:pPr>
                    <w:jc w:val="center"/>
                    <w:rPr>
                      <w:color w:val="auto"/>
                      <w:sz w:val="21"/>
                      <w:szCs w:val="21"/>
                    </w:rPr>
                  </w:pPr>
                  <w:r>
                    <w:rPr>
                      <w:rFonts w:hint="eastAsia"/>
                      <w:color w:val="auto"/>
                      <w:sz w:val="21"/>
                      <w:szCs w:val="21"/>
                    </w:rPr>
                    <w:t>1</w:t>
                  </w:r>
                  <w:r>
                    <w:rPr>
                      <w:color w:val="auto"/>
                      <w:sz w:val="21"/>
                      <w:szCs w:val="21"/>
                    </w:rPr>
                    <w:t>9</w:t>
                  </w:r>
                </w:p>
              </w:tc>
              <w:tc>
                <w:tcPr>
                  <w:tcW w:w="528" w:type="pct"/>
                  <w:tcBorders>
                    <w:tl2br w:val="nil"/>
                    <w:tr2bl w:val="nil"/>
                  </w:tcBorders>
                  <w:vAlign w:val="center"/>
                </w:tcPr>
                <w:p w14:paraId="4376FD1E">
                  <w:pPr>
                    <w:jc w:val="center"/>
                    <w:rPr>
                      <w:color w:val="auto"/>
                      <w:sz w:val="21"/>
                      <w:szCs w:val="21"/>
                    </w:rPr>
                  </w:pPr>
                  <w:r>
                    <w:rPr>
                      <w:rFonts w:hint="eastAsia"/>
                      <w:color w:val="auto"/>
                      <w:sz w:val="21"/>
                      <w:szCs w:val="21"/>
                    </w:rPr>
                    <w:t>混配车</w:t>
                  </w:r>
                </w:p>
              </w:tc>
              <w:tc>
                <w:tcPr>
                  <w:tcW w:w="564" w:type="pct"/>
                  <w:tcBorders>
                    <w:tl2br w:val="nil"/>
                    <w:tr2bl w:val="nil"/>
                  </w:tcBorders>
                  <w:vAlign w:val="center"/>
                </w:tcPr>
                <w:p w14:paraId="6DE8E93A">
                  <w:pPr>
                    <w:jc w:val="center"/>
                    <w:rPr>
                      <w:color w:val="auto"/>
                      <w:sz w:val="21"/>
                      <w:szCs w:val="21"/>
                    </w:rPr>
                  </w:pPr>
                  <w:r>
                    <w:rPr>
                      <w:rFonts w:hint="eastAsia"/>
                      <w:color w:val="auto"/>
                      <w:sz w:val="21"/>
                      <w:szCs w:val="21"/>
                    </w:rPr>
                    <w:t>73.47</w:t>
                  </w:r>
                </w:p>
              </w:tc>
              <w:tc>
                <w:tcPr>
                  <w:tcW w:w="667" w:type="pct"/>
                  <w:tcBorders>
                    <w:tl2br w:val="nil"/>
                    <w:tr2bl w:val="nil"/>
                  </w:tcBorders>
                  <w:vAlign w:val="center"/>
                </w:tcPr>
                <w:p w14:paraId="3557367F">
                  <w:pPr>
                    <w:jc w:val="center"/>
                    <w:rPr>
                      <w:color w:val="auto"/>
                      <w:sz w:val="21"/>
                      <w:szCs w:val="21"/>
                    </w:rPr>
                  </w:pPr>
                  <w:r>
                    <w:rPr>
                      <w:rFonts w:hint="eastAsia"/>
                      <w:color w:val="auto"/>
                      <w:sz w:val="21"/>
                      <w:szCs w:val="21"/>
                    </w:rPr>
                    <w:t>8</w:t>
                  </w:r>
                  <w:r>
                    <w:rPr>
                      <w:color w:val="auto"/>
                      <w:sz w:val="21"/>
                      <w:szCs w:val="21"/>
                    </w:rPr>
                    <w:t>9.72</w:t>
                  </w:r>
                </w:p>
              </w:tc>
              <w:tc>
                <w:tcPr>
                  <w:tcW w:w="584" w:type="pct"/>
                  <w:tcBorders>
                    <w:tl2br w:val="nil"/>
                    <w:tr2bl w:val="nil"/>
                  </w:tcBorders>
                  <w:vAlign w:val="center"/>
                </w:tcPr>
                <w:p w14:paraId="3F229DD2">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4211B24F">
                  <w:pPr>
                    <w:jc w:val="center"/>
                    <w:rPr>
                      <w:color w:val="auto"/>
                      <w:sz w:val="21"/>
                      <w:szCs w:val="21"/>
                    </w:rPr>
                  </w:pPr>
                  <w:r>
                    <w:rPr>
                      <w:rFonts w:hint="eastAsia"/>
                      <w:color w:val="auto"/>
                      <w:sz w:val="21"/>
                      <w:szCs w:val="21"/>
                    </w:rPr>
                    <w:t>9</w:t>
                  </w:r>
                  <w:r>
                    <w:rPr>
                      <w:color w:val="auto"/>
                      <w:sz w:val="21"/>
                      <w:szCs w:val="21"/>
                    </w:rPr>
                    <w:t>0</w:t>
                  </w:r>
                </w:p>
              </w:tc>
              <w:tc>
                <w:tcPr>
                  <w:tcW w:w="785" w:type="pct"/>
                  <w:tcBorders>
                    <w:tl2br w:val="nil"/>
                    <w:tr2bl w:val="nil"/>
                  </w:tcBorders>
                  <w:vAlign w:val="center"/>
                </w:tcPr>
                <w:p w14:paraId="63A706A1">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6530458D">
                  <w:pPr>
                    <w:jc w:val="center"/>
                    <w:rPr>
                      <w:color w:val="auto"/>
                      <w:sz w:val="21"/>
                      <w:szCs w:val="21"/>
                    </w:rPr>
                  </w:pPr>
                  <w:r>
                    <w:rPr>
                      <w:rFonts w:hint="eastAsia"/>
                      <w:color w:val="auto"/>
                      <w:sz w:val="21"/>
                      <w:szCs w:val="21"/>
                    </w:rPr>
                    <w:t>昼间</w:t>
                  </w:r>
                </w:p>
              </w:tc>
            </w:tr>
            <w:tr w14:paraId="75A429D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281" w:type="pct"/>
                  <w:tcBorders>
                    <w:tl2br w:val="nil"/>
                    <w:tr2bl w:val="nil"/>
                  </w:tcBorders>
                  <w:vAlign w:val="center"/>
                </w:tcPr>
                <w:p w14:paraId="05860BB4">
                  <w:pPr>
                    <w:jc w:val="center"/>
                    <w:rPr>
                      <w:color w:val="auto"/>
                      <w:sz w:val="21"/>
                      <w:szCs w:val="21"/>
                    </w:rPr>
                  </w:pPr>
                  <w:r>
                    <w:rPr>
                      <w:rFonts w:hint="eastAsia"/>
                      <w:color w:val="auto"/>
                      <w:sz w:val="21"/>
                      <w:szCs w:val="21"/>
                    </w:rPr>
                    <w:t>2</w:t>
                  </w:r>
                  <w:r>
                    <w:rPr>
                      <w:color w:val="auto"/>
                      <w:sz w:val="21"/>
                      <w:szCs w:val="21"/>
                    </w:rPr>
                    <w:t>0</w:t>
                  </w:r>
                </w:p>
              </w:tc>
              <w:tc>
                <w:tcPr>
                  <w:tcW w:w="528" w:type="pct"/>
                  <w:tcBorders>
                    <w:tl2br w:val="nil"/>
                    <w:tr2bl w:val="nil"/>
                  </w:tcBorders>
                  <w:vAlign w:val="center"/>
                </w:tcPr>
                <w:p w14:paraId="4BFE2751">
                  <w:pPr>
                    <w:jc w:val="center"/>
                    <w:rPr>
                      <w:color w:val="auto"/>
                      <w:sz w:val="21"/>
                      <w:szCs w:val="21"/>
                    </w:rPr>
                  </w:pPr>
                  <w:r>
                    <w:rPr>
                      <w:rFonts w:hint="eastAsia"/>
                      <w:color w:val="auto"/>
                      <w:sz w:val="21"/>
                      <w:szCs w:val="21"/>
                    </w:rPr>
                    <w:t>管汇车</w:t>
                  </w:r>
                </w:p>
              </w:tc>
              <w:tc>
                <w:tcPr>
                  <w:tcW w:w="564" w:type="pct"/>
                  <w:tcBorders>
                    <w:tl2br w:val="nil"/>
                    <w:tr2bl w:val="nil"/>
                  </w:tcBorders>
                  <w:vAlign w:val="center"/>
                </w:tcPr>
                <w:p w14:paraId="0FC0F134">
                  <w:pPr>
                    <w:jc w:val="center"/>
                    <w:rPr>
                      <w:color w:val="auto"/>
                      <w:sz w:val="21"/>
                      <w:szCs w:val="21"/>
                    </w:rPr>
                  </w:pPr>
                  <w:r>
                    <w:rPr>
                      <w:rFonts w:hint="eastAsia"/>
                      <w:color w:val="auto"/>
                      <w:sz w:val="21"/>
                      <w:szCs w:val="21"/>
                    </w:rPr>
                    <w:t>93.54</w:t>
                  </w:r>
                </w:p>
              </w:tc>
              <w:tc>
                <w:tcPr>
                  <w:tcW w:w="667" w:type="pct"/>
                  <w:tcBorders>
                    <w:tl2br w:val="nil"/>
                    <w:tr2bl w:val="nil"/>
                  </w:tcBorders>
                  <w:vAlign w:val="center"/>
                </w:tcPr>
                <w:p w14:paraId="39479E5B">
                  <w:pPr>
                    <w:jc w:val="center"/>
                    <w:rPr>
                      <w:color w:val="auto"/>
                      <w:sz w:val="21"/>
                      <w:szCs w:val="21"/>
                    </w:rPr>
                  </w:pPr>
                  <w:r>
                    <w:rPr>
                      <w:rFonts w:hint="eastAsia"/>
                      <w:color w:val="auto"/>
                      <w:sz w:val="21"/>
                      <w:szCs w:val="21"/>
                    </w:rPr>
                    <w:t>8</w:t>
                  </w:r>
                  <w:r>
                    <w:rPr>
                      <w:color w:val="auto"/>
                      <w:sz w:val="21"/>
                      <w:szCs w:val="21"/>
                    </w:rPr>
                    <w:t>8</w:t>
                  </w:r>
                </w:p>
              </w:tc>
              <w:tc>
                <w:tcPr>
                  <w:tcW w:w="584" w:type="pct"/>
                  <w:tcBorders>
                    <w:tl2br w:val="nil"/>
                    <w:tr2bl w:val="nil"/>
                  </w:tcBorders>
                  <w:vAlign w:val="center"/>
                </w:tcPr>
                <w:p w14:paraId="42B75339">
                  <w:pPr>
                    <w:jc w:val="center"/>
                    <w:rPr>
                      <w:color w:val="auto"/>
                      <w:sz w:val="21"/>
                      <w:szCs w:val="21"/>
                    </w:rPr>
                  </w:pPr>
                  <w:r>
                    <w:rPr>
                      <w:rFonts w:hint="eastAsia"/>
                      <w:color w:val="auto"/>
                      <w:sz w:val="21"/>
                      <w:szCs w:val="21"/>
                    </w:rPr>
                    <w:t>0</w:t>
                  </w:r>
                </w:p>
              </w:tc>
              <w:tc>
                <w:tcPr>
                  <w:tcW w:w="1053" w:type="pct"/>
                  <w:tcBorders>
                    <w:tl2br w:val="nil"/>
                    <w:tr2bl w:val="nil"/>
                  </w:tcBorders>
                  <w:vAlign w:val="center"/>
                </w:tcPr>
                <w:p w14:paraId="2064A184">
                  <w:pPr>
                    <w:jc w:val="center"/>
                    <w:rPr>
                      <w:color w:val="auto"/>
                      <w:sz w:val="21"/>
                      <w:szCs w:val="21"/>
                    </w:rPr>
                  </w:pPr>
                  <w:r>
                    <w:rPr>
                      <w:rFonts w:hint="eastAsia"/>
                      <w:color w:val="auto"/>
                      <w:sz w:val="21"/>
                      <w:szCs w:val="21"/>
                    </w:rPr>
                    <w:t>9</w:t>
                  </w:r>
                  <w:r>
                    <w:rPr>
                      <w:color w:val="auto"/>
                      <w:sz w:val="21"/>
                      <w:szCs w:val="21"/>
                    </w:rPr>
                    <w:t>0</w:t>
                  </w:r>
                </w:p>
              </w:tc>
              <w:tc>
                <w:tcPr>
                  <w:tcW w:w="785" w:type="pct"/>
                  <w:tcBorders>
                    <w:tl2br w:val="nil"/>
                    <w:tr2bl w:val="nil"/>
                  </w:tcBorders>
                  <w:vAlign w:val="center"/>
                </w:tcPr>
                <w:p w14:paraId="1AF8D265">
                  <w:pPr>
                    <w:jc w:val="center"/>
                    <w:rPr>
                      <w:color w:val="auto"/>
                      <w:sz w:val="21"/>
                      <w:szCs w:val="21"/>
                    </w:rPr>
                  </w:pPr>
                  <w:r>
                    <w:rPr>
                      <w:rFonts w:hint="eastAsia"/>
                      <w:color w:val="auto"/>
                      <w:sz w:val="21"/>
                      <w:szCs w:val="21"/>
                    </w:rPr>
                    <w:t>/</w:t>
                  </w:r>
                </w:p>
              </w:tc>
              <w:tc>
                <w:tcPr>
                  <w:tcW w:w="538" w:type="pct"/>
                  <w:tcBorders>
                    <w:tl2br w:val="nil"/>
                    <w:tr2bl w:val="nil"/>
                  </w:tcBorders>
                  <w:vAlign w:val="center"/>
                </w:tcPr>
                <w:p w14:paraId="457BEDD7">
                  <w:pPr>
                    <w:jc w:val="center"/>
                    <w:rPr>
                      <w:color w:val="auto"/>
                      <w:sz w:val="21"/>
                      <w:szCs w:val="21"/>
                    </w:rPr>
                  </w:pPr>
                  <w:r>
                    <w:rPr>
                      <w:rFonts w:hint="eastAsia"/>
                      <w:color w:val="auto"/>
                      <w:sz w:val="21"/>
                      <w:szCs w:val="21"/>
                    </w:rPr>
                    <w:t>昼间</w:t>
                  </w:r>
                </w:p>
              </w:tc>
            </w:tr>
          </w:tbl>
          <w:p w14:paraId="6520227C">
            <w:pPr>
              <w:spacing w:line="360" w:lineRule="auto"/>
              <w:ind w:firstLine="480" w:firstLineChars="200"/>
              <w:rPr>
                <w:rFonts w:hint="eastAsia"/>
                <w:color w:val="auto"/>
              </w:rPr>
            </w:pPr>
            <w:r>
              <w:rPr>
                <w:rFonts w:hint="eastAsia"/>
                <w:color w:val="auto"/>
              </w:rPr>
              <w:t>试采期噪声主要来自试采设备计量撬、混输泵等设备，噪声源强见下表。</w:t>
            </w:r>
          </w:p>
          <w:p w14:paraId="13110673">
            <w:pPr>
              <w:spacing w:line="360" w:lineRule="auto"/>
              <w:jc w:val="center"/>
              <w:rPr>
                <w:b/>
                <w:bCs/>
                <w:color w:val="auto"/>
              </w:rPr>
            </w:pPr>
            <w:r>
              <w:rPr>
                <w:rFonts w:hint="eastAsia"/>
                <w:b/>
                <w:bCs/>
                <w:color w:val="auto"/>
              </w:rPr>
              <w:t xml:space="preserve">表4-8 </w:t>
            </w:r>
            <w:r>
              <w:rPr>
                <w:b/>
                <w:bCs/>
                <w:color w:val="auto"/>
              </w:rPr>
              <w:t>项目生产设备噪声</w:t>
            </w:r>
            <w:r>
              <w:rPr>
                <w:rFonts w:hint="eastAsia"/>
                <w:b/>
                <w:bCs/>
                <w:color w:val="auto"/>
              </w:rPr>
              <w:t>源强</w:t>
            </w:r>
            <w:r>
              <w:rPr>
                <w:b/>
                <w:bCs/>
                <w:color w:val="auto"/>
              </w:rPr>
              <w:t xml:space="preserve">  单位：dB(A)</w:t>
            </w:r>
          </w:p>
          <w:tbl>
            <w:tblPr>
              <w:tblStyle w:val="19"/>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Layout w:type="autofit"/>
              <w:tblCellMar>
                <w:top w:w="0" w:type="dxa"/>
                <w:left w:w="108" w:type="dxa"/>
                <w:bottom w:w="0" w:type="dxa"/>
                <w:right w:w="108" w:type="dxa"/>
              </w:tblCellMar>
            </w:tblPr>
            <w:tblGrid>
              <w:gridCol w:w="672"/>
              <w:gridCol w:w="1092"/>
              <w:gridCol w:w="798"/>
              <w:gridCol w:w="815"/>
              <w:gridCol w:w="791"/>
              <w:gridCol w:w="1706"/>
              <w:gridCol w:w="1527"/>
              <w:gridCol w:w="1104"/>
            </w:tblGrid>
            <w:tr w14:paraId="5FFE5C8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vMerge w:val="restart"/>
                  <w:tcBorders>
                    <w:tl2br w:val="nil"/>
                    <w:tr2bl w:val="nil"/>
                  </w:tcBorders>
                  <w:vAlign w:val="center"/>
                </w:tcPr>
                <w:p w14:paraId="2C68986F">
                  <w:pPr>
                    <w:jc w:val="center"/>
                    <w:rPr>
                      <w:b/>
                      <w:bCs/>
                      <w:color w:val="auto"/>
                      <w:sz w:val="21"/>
                      <w:szCs w:val="21"/>
                    </w:rPr>
                  </w:pPr>
                  <w:r>
                    <w:rPr>
                      <w:b/>
                      <w:bCs/>
                      <w:color w:val="auto"/>
                      <w:sz w:val="21"/>
                      <w:szCs w:val="21"/>
                    </w:rPr>
                    <w:t>序号</w:t>
                  </w:r>
                </w:p>
              </w:tc>
              <w:tc>
                <w:tcPr>
                  <w:tcW w:w="642" w:type="pct"/>
                  <w:vMerge w:val="restart"/>
                  <w:tcBorders>
                    <w:tl2br w:val="nil"/>
                    <w:tr2bl w:val="nil"/>
                  </w:tcBorders>
                  <w:vAlign w:val="center"/>
                </w:tcPr>
                <w:p w14:paraId="0C2646A6">
                  <w:pPr>
                    <w:jc w:val="center"/>
                    <w:rPr>
                      <w:b/>
                      <w:bCs/>
                      <w:color w:val="auto"/>
                      <w:sz w:val="21"/>
                      <w:szCs w:val="21"/>
                    </w:rPr>
                  </w:pPr>
                  <w:r>
                    <w:rPr>
                      <w:b/>
                      <w:bCs/>
                      <w:color w:val="auto"/>
                      <w:sz w:val="21"/>
                      <w:szCs w:val="21"/>
                    </w:rPr>
                    <w:t>声源名称</w:t>
                  </w:r>
                </w:p>
              </w:tc>
              <w:tc>
                <w:tcPr>
                  <w:tcW w:w="1413" w:type="pct"/>
                  <w:gridSpan w:val="3"/>
                  <w:tcBorders>
                    <w:tl2br w:val="nil"/>
                    <w:tr2bl w:val="nil"/>
                  </w:tcBorders>
                  <w:vAlign w:val="center"/>
                </w:tcPr>
                <w:p w14:paraId="168F0A5F">
                  <w:pPr>
                    <w:jc w:val="center"/>
                    <w:rPr>
                      <w:b/>
                      <w:bCs/>
                      <w:color w:val="auto"/>
                      <w:sz w:val="21"/>
                      <w:szCs w:val="21"/>
                    </w:rPr>
                  </w:pPr>
                  <w:r>
                    <w:rPr>
                      <w:b/>
                      <w:bCs/>
                      <w:color w:val="auto"/>
                      <w:sz w:val="21"/>
                      <w:szCs w:val="21"/>
                    </w:rPr>
                    <w:t>空间相对位置/m</w:t>
                  </w:r>
                </w:p>
              </w:tc>
              <w:tc>
                <w:tcPr>
                  <w:tcW w:w="1003" w:type="pct"/>
                  <w:tcBorders>
                    <w:tl2br w:val="nil"/>
                    <w:tr2bl w:val="nil"/>
                  </w:tcBorders>
                  <w:vAlign w:val="center"/>
                </w:tcPr>
                <w:p w14:paraId="20B8C02D">
                  <w:pPr>
                    <w:jc w:val="center"/>
                    <w:rPr>
                      <w:b/>
                      <w:bCs/>
                      <w:color w:val="auto"/>
                      <w:sz w:val="21"/>
                      <w:szCs w:val="21"/>
                    </w:rPr>
                  </w:pPr>
                  <w:r>
                    <w:rPr>
                      <w:b/>
                      <w:bCs/>
                      <w:color w:val="auto"/>
                      <w:sz w:val="21"/>
                      <w:szCs w:val="21"/>
                    </w:rPr>
                    <w:t>声源源强</w:t>
                  </w:r>
                </w:p>
              </w:tc>
              <w:tc>
                <w:tcPr>
                  <w:tcW w:w="898" w:type="pct"/>
                  <w:vMerge w:val="restart"/>
                  <w:tcBorders>
                    <w:tl2br w:val="nil"/>
                    <w:tr2bl w:val="nil"/>
                  </w:tcBorders>
                  <w:vAlign w:val="center"/>
                </w:tcPr>
                <w:p w14:paraId="7D115334">
                  <w:pPr>
                    <w:jc w:val="center"/>
                    <w:rPr>
                      <w:b/>
                      <w:bCs/>
                      <w:color w:val="auto"/>
                      <w:sz w:val="21"/>
                      <w:szCs w:val="21"/>
                    </w:rPr>
                  </w:pPr>
                  <w:r>
                    <w:rPr>
                      <w:b/>
                      <w:bCs/>
                      <w:color w:val="auto"/>
                      <w:sz w:val="21"/>
                      <w:szCs w:val="21"/>
                    </w:rPr>
                    <w:t>声源控制措施</w:t>
                  </w:r>
                </w:p>
              </w:tc>
              <w:tc>
                <w:tcPr>
                  <w:tcW w:w="650" w:type="pct"/>
                  <w:vMerge w:val="restart"/>
                  <w:tcBorders>
                    <w:tl2br w:val="nil"/>
                    <w:tr2bl w:val="nil"/>
                  </w:tcBorders>
                  <w:vAlign w:val="center"/>
                </w:tcPr>
                <w:p w14:paraId="6CF2C35D">
                  <w:pPr>
                    <w:jc w:val="center"/>
                    <w:rPr>
                      <w:b/>
                      <w:bCs/>
                      <w:color w:val="auto"/>
                      <w:sz w:val="21"/>
                      <w:szCs w:val="21"/>
                    </w:rPr>
                  </w:pPr>
                  <w:r>
                    <w:rPr>
                      <w:b/>
                      <w:bCs/>
                      <w:color w:val="auto"/>
                      <w:sz w:val="21"/>
                      <w:szCs w:val="21"/>
                    </w:rPr>
                    <w:t>运行时段(h)</w:t>
                  </w:r>
                </w:p>
              </w:tc>
            </w:tr>
            <w:tr w14:paraId="71763357">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vMerge w:val="continue"/>
                  <w:tcBorders>
                    <w:tl2br w:val="nil"/>
                    <w:tr2bl w:val="nil"/>
                  </w:tcBorders>
                  <w:vAlign w:val="center"/>
                </w:tcPr>
                <w:p w14:paraId="058BE3BB">
                  <w:pPr>
                    <w:jc w:val="center"/>
                    <w:rPr>
                      <w:color w:val="auto"/>
                      <w:sz w:val="21"/>
                      <w:szCs w:val="21"/>
                    </w:rPr>
                  </w:pPr>
                </w:p>
              </w:tc>
              <w:tc>
                <w:tcPr>
                  <w:tcW w:w="642" w:type="pct"/>
                  <w:vMerge w:val="continue"/>
                  <w:tcBorders>
                    <w:tl2br w:val="nil"/>
                    <w:tr2bl w:val="nil"/>
                  </w:tcBorders>
                  <w:vAlign w:val="center"/>
                </w:tcPr>
                <w:p w14:paraId="21B78CC0">
                  <w:pPr>
                    <w:jc w:val="center"/>
                    <w:rPr>
                      <w:color w:val="auto"/>
                      <w:sz w:val="21"/>
                      <w:szCs w:val="21"/>
                    </w:rPr>
                  </w:pPr>
                </w:p>
              </w:tc>
              <w:tc>
                <w:tcPr>
                  <w:tcW w:w="469" w:type="pct"/>
                  <w:tcBorders>
                    <w:tl2br w:val="nil"/>
                    <w:tr2bl w:val="nil"/>
                  </w:tcBorders>
                  <w:vAlign w:val="center"/>
                </w:tcPr>
                <w:p w14:paraId="13BB7FE5">
                  <w:pPr>
                    <w:jc w:val="center"/>
                    <w:rPr>
                      <w:b/>
                      <w:bCs/>
                      <w:color w:val="auto"/>
                      <w:sz w:val="21"/>
                      <w:szCs w:val="21"/>
                    </w:rPr>
                  </w:pPr>
                  <w:r>
                    <w:rPr>
                      <w:b/>
                      <w:bCs/>
                      <w:color w:val="auto"/>
                      <w:sz w:val="21"/>
                      <w:szCs w:val="21"/>
                    </w:rPr>
                    <w:t>X</w:t>
                  </w:r>
                </w:p>
              </w:tc>
              <w:tc>
                <w:tcPr>
                  <w:tcW w:w="479" w:type="pct"/>
                  <w:tcBorders>
                    <w:tl2br w:val="nil"/>
                    <w:tr2bl w:val="nil"/>
                  </w:tcBorders>
                  <w:vAlign w:val="center"/>
                </w:tcPr>
                <w:p w14:paraId="3D75E65D">
                  <w:pPr>
                    <w:jc w:val="center"/>
                    <w:rPr>
                      <w:b/>
                      <w:bCs/>
                      <w:color w:val="auto"/>
                      <w:sz w:val="21"/>
                      <w:szCs w:val="21"/>
                    </w:rPr>
                  </w:pPr>
                  <w:r>
                    <w:rPr>
                      <w:b/>
                      <w:bCs/>
                      <w:color w:val="auto"/>
                      <w:sz w:val="21"/>
                      <w:szCs w:val="21"/>
                    </w:rPr>
                    <w:t>Y</w:t>
                  </w:r>
                </w:p>
              </w:tc>
              <w:tc>
                <w:tcPr>
                  <w:tcW w:w="464" w:type="pct"/>
                  <w:tcBorders>
                    <w:tl2br w:val="nil"/>
                    <w:tr2bl w:val="nil"/>
                  </w:tcBorders>
                  <w:vAlign w:val="center"/>
                </w:tcPr>
                <w:p w14:paraId="45511A1A">
                  <w:pPr>
                    <w:jc w:val="center"/>
                    <w:rPr>
                      <w:b/>
                      <w:bCs/>
                      <w:color w:val="auto"/>
                      <w:sz w:val="21"/>
                      <w:szCs w:val="21"/>
                    </w:rPr>
                  </w:pPr>
                  <w:r>
                    <w:rPr>
                      <w:b/>
                      <w:bCs/>
                      <w:color w:val="auto"/>
                      <w:sz w:val="21"/>
                      <w:szCs w:val="21"/>
                    </w:rPr>
                    <w:t>Z</w:t>
                  </w:r>
                </w:p>
              </w:tc>
              <w:tc>
                <w:tcPr>
                  <w:tcW w:w="1003" w:type="pct"/>
                  <w:tcBorders>
                    <w:tl2br w:val="nil"/>
                    <w:tr2bl w:val="nil"/>
                  </w:tcBorders>
                  <w:vAlign w:val="center"/>
                </w:tcPr>
                <w:p w14:paraId="1421157C">
                  <w:pPr>
                    <w:jc w:val="center"/>
                    <w:rPr>
                      <w:b/>
                      <w:bCs/>
                      <w:color w:val="auto"/>
                      <w:sz w:val="21"/>
                      <w:szCs w:val="21"/>
                    </w:rPr>
                  </w:pPr>
                  <w:r>
                    <w:rPr>
                      <w:b/>
                      <w:bCs/>
                      <w:color w:val="auto"/>
                      <w:sz w:val="21"/>
                      <w:szCs w:val="21"/>
                    </w:rPr>
                    <w:t>声功率级dB（A）</w:t>
                  </w:r>
                </w:p>
              </w:tc>
              <w:tc>
                <w:tcPr>
                  <w:tcW w:w="898" w:type="pct"/>
                  <w:vMerge w:val="continue"/>
                  <w:tcBorders>
                    <w:tl2br w:val="nil"/>
                    <w:tr2bl w:val="nil"/>
                  </w:tcBorders>
                  <w:vAlign w:val="center"/>
                </w:tcPr>
                <w:p w14:paraId="5F77A11F">
                  <w:pPr>
                    <w:jc w:val="center"/>
                    <w:rPr>
                      <w:color w:val="auto"/>
                      <w:sz w:val="21"/>
                      <w:szCs w:val="21"/>
                    </w:rPr>
                  </w:pPr>
                </w:p>
              </w:tc>
              <w:tc>
                <w:tcPr>
                  <w:tcW w:w="650" w:type="pct"/>
                  <w:vMerge w:val="continue"/>
                  <w:tcBorders>
                    <w:tl2br w:val="nil"/>
                    <w:tr2bl w:val="nil"/>
                  </w:tcBorders>
                  <w:vAlign w:val="center"/>
                </w:tcPr>
                <w:p w14:paraId="0E4F6810">
                  <w:pPr>
                    <w:jc w:val="center"/>
                    <w:rPr>
                      <w:color w:val="auto"/>
                      <w:sz w:val="21"/>
                      <w:szCs w:val="21"/>
                    </w:rPr>
                  </w:pPr>
                </w:p>
              </w:tc>
            </w:tr>
            <w:tr w14:paraId="4590EAD2">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trHeight w:val="292" w:hRule="atLeast"/>
                <w:jc w:val="center"/>
              </w:trPr>
              <w:tc>
                <w:tcPr>
                  <w:tcW w:w="395" w:type="pct"/>
                  <w:tcBorders>
                    <w:tl2br w:val="nil"/>
                    <w:tr2bl w:val="nil"/>
                  </w:tcBorders>
                  <w:vAlign w:val="center"/>
                </w:tcPr>
                <w:p w14:paraId="785402FB">
                  <w:pPr>
                    <w:jc w:val="center"/>
                    <w:rPr>
                      <w:color w:val="auto"/>
                      <w:sz w:val="21"/>
                      <w:szCs w:val="21"/>
                    </w:rPr>
                  </w:pPr>
                  <w:r>
                    <w:rPr>
                      <w:color w:val="auto"/>
                      <w:sz w:val="21"/>
                      <w:szCs w:val="21"/>
                    </w:rPr>
                    <w:t>1</w:t>
                  </w:r>
                </w:p>
              </w:tc>
              <w:tc>
                <w:tcPr>
                  <w:tcW w:w="642" w:type="pct"/>
                  <w:tcBorders>
                    <w:tl2br w:val="nil"/>
                    <w:tr2bl w:val="nil"/>
                  </w:tcBorders>
                  <w:vAlign w:val="center"/>
                </w:tcPr>
                <w:p w14:paraId="4FC4B207">
                  <w:pPr>
                    <w:jc w:val="center"/>
                    <w:rPr>
                      <w:color w:val="auto"/>
                      <w:sz w:val="21"/>
                      <w:szCs w:val="21"/>
                    </w:rPr>
                  </w:pPr>
                  <w:r>
                    <w:rPr>
                      <w:rFonts w:hint="eastAsia"/>
                      <w:color w:val="auto"/>
                      <w:sz w:val="21"/>
                      <w:szCs w:val="21"/>
                    </w:rPr>
                    <w:t>六井式选井计量阀组撬</w:t>
                  </w:r>
                </w:p>
              </w:tc>
              <w:tc>
                <w:tcPr>
                  <w:tcW w:w="469" w:type="pct"/>
                  <w:tcBorders>
                    <w:tl2br w:val="nil"/>
                    <w:tr2bl w:val="nil"/>
                  </w:tcBorders>
                  <w:vAlign w:val="center"/>
                </w:tcPr>
                <w:p w14:paraId="2E2F7CD6">
                  <w:pPr>
                    <w:jc w:val="center"/>
                    <w:rPr>
                      <w:color w:val="auto"/>
                      <w:sz w:val="21"/>
                      <w:szCs w:val="21"/>
                    </w:rPr>
                  </w:pPr>
                  <w:r>
                    <w:rPr>
                      <w:color w:val="auto"/>
                      <w:sz w:val="21"/>
                      <w:szCs w:val="21"/>
                    </w:rPr>
                    <w:t>97.58</w:t>
                  </w:r>
                </w:p>
              </w:tc>
              <w:tc>
                <w:tcPr>
                  <w:tcW w:w="479" w:type="pct"/>
                  <w:tcBorders>
                    <w:tl2br w:val="nil"/>
                    <w:tr2bl w:val="nil"/>
                  </w:tcBorders>
                  <w:vAlign w:val="center"/>
                </w:tcPr>
                <w:p w14:paraId="671ECB26">
                  <w:pPr>
                    <w:jc w:val="center"/>
                    <w:rPr>
                      <w:color w:val="auto"/>
                      <w:sz w:val="21"/>
                      <w:szCs w:val="21"/>
                    </w:rPr>
                  </w:pPr>
                  <w:r>
                    <w:rPr>
                      <w:rFonts w:hint="eastAsia"/>
                      <w:color w:val="auto"/>
                      <w:sz w:val="21"/>
                      <w:szCs w:val="21"/>
                    </w:rPr>
                    <w:t>8</w:t>
                  </w:r>
                  <w:r>
                    <w:rPr>
                      <w:color w:val="auto"/>
                      <w:sz w:val="21"/>
                      <w:szCs w:val="21"/>
                    </w:rPr>
                    <w:t>7.66</w:t>
                  </w:r>
                </w:p>
              </w:tc>
              <w:tc>
                <w:tcPr>
                  <w:tcW w:w="464" w:type="pct"/>
                  <w:tcBorders>
                    <w:tl2br w:val="nil"/>
                    <w:tr2bl w:val="nil"/>
                  </w:tcBorders>
                  <w:vAlign w:val="center"/>
                </w:tcPr>
                <w:p w14:paraId="3FF0EC89">
                  <w:pPr>
                    <w:jc w:val="center"/>
                    <w:rPr>
                      <w:color w:val="auto"/>
                      <w:sz w:val="21"/>
                      <w:szCs w:val="21"/>
                    </w:rPr>
                  </w:pPr>
                  <w:r>
                    <w:rPr>
                      <w:rFonts w:hint="eastAsia"/>
                      <w:color w:val="auto"/>
                      <w:sz w:val="21"/>
                      <w:szCs w:val="21"/>
                    </w:rPr>
                    <w:t>0</w:t>
                  </w:r>
                </w:p>
              </w:tc>
              <w:tc>
                <w:tcPr>
                  <w:tcW w:w="1003" w:type="pct"/>
                  <w:tcBorders>
                    <w:tl2br w:val="nil"/>
                    <w:tr2bl w:val="nil"/>
                  </w:tcBorders>
                  <w:vAlign w:val="center"/>
                </w:tcPr>
                <w:p w14:paraId="3F9D8F80">
                  <w:pPr>
                    <w:jc w:val="center"/>
                    <w:rPr>
                      <w:color w:val="auto"/>
                      <w:sz w:val="21"/>
                      <w:szCs w:val="21"/>
                    </w:rPr>
                  </w:pPr>
                  <w:r>
                    <w:rPr>
                      <w:rFonts w:hint="eastAsia"/>
                      <w:color w:val="auto"/>
                      <w:sz w:val="21"/>
                      <w:szCs w:val="21"/>
                    </w:rPr>
                    <w:t>85</w:t>
                  </w:r>
                </w:p>
              </w:tc>
              <w:tc>
                <w:tcPr>
                  <w:tcW w:w="898" w:type="pct"/>
                  <w:tcBorders>
                    <w:tl2br w:val="nil"/>
                    <w:tr2bl w:val="nil"/>
                  </w:tcBorders>
                  <w:vAlign w:val="center"/>
                </w:tcPr>
                <w:p w14:paraId="3C0391A8">
                  <w:pPr>
                    <w:jc w:val="center"/>
                    <w:rPr>
                      <w:color w:val="auto"/>
                      <w:sz w:val="21"/>
                      <w:szCs w:val="21"/>
                    </w:rPr>
                  </w:pPr>
                  <w:r>
                    <w:rPr>
                      <w:rFonts w:hint="eastAsia"/>
                      <w:color w:val="auto"/>
                      <w:sz w:val="21"/>
                      <w:szCs w:val="21"/>
                    </w:rPr>
                    <w:t>减震安装、</w:t>
                  </w:r>
                  <w:r>
                    <w:rPr>
                      <w:color w:val="auto"/>
                      <w:sz w:val="21"/>
                      <w:szCs w:val="21"/>
                    </w:rPr>
                    <w:t>衬弹性垫料</w:t>
                  </w:r>
                </w:p>
              </w:tc>
              <w:tc>
                <w:tcPr>
                  <w:tcW w:w="650" w:type="pct"/>
                  <w:tcBorders>
                    <w:tl2br w:val="nil"/>
                    <w:tr2bl w:val="nil"/>
                  </w:tcBorders>
                  <w:vAlign w:val="center"/>
                </w:tcPr>
                <w:p w14:paraId="35F02748">
                  <w:pPr>
                    <w:jc w:val="center"/>
                    <w:rPr>
                      <w:color w:val="auto"/>
                      <w:sz w:val="21"/>
                      <w:szCs w:val="21"/>
                      <w:highlight w:val="yellow"/>
                    </w:rPr>
                  </w:pPr>
                  <w:r>
                    <w:rPr>
                      <w:rFonts w:hint="eastAsia"/>
                      <w:color w:val="auto"/>
                      <w:sz w:val="21"/>
                      <w:szCs w:val="21"/>
                    </w:rPr>
                    <w:t>昼间、夜间</w:t>
                  </w:r>
                </w:p>
              </w:tc>
            </w:tr>
            <w:tr w14:paraId="0786454C">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tcBorders>
                    <w:tl2br w:val="nil"/>
                    <w:tr2bl w:val="nil"/>
                  </w:tcBorders>
                  <w:vAlign w:val="center"/>
                </w:tcPr>
                <w:p w14:paraId="0648ACB9">
                  <w:pPr>
                    <w:jc w:val="center"/>
                    <w:rPr>
                      <w:color w:val="auto"/>
                      <w:sz w:val="21"/>
                      <w:szCs w:val="21"/>
                    </w:rPr>
                  </w:pPr>
                  <w:r>
                    <w:rPr>
                      <w:color w:val="auto"/>
                      <w:sz w:val="21"/>
                      <w:szCs w:val="21"/>
                    </w:rPr>
                    <w:t>2</w:t>
                  </w:r>
                </w:p>
              </w:tc>
              <w:tc>
                <w:tcPr>
                  <w:tcW w:w="642" w:type="pct"/>
                  <w:tcBorders>
                    <w:tl2br w:val="nil"/>
                    <w:tr2bl w:val="nil"/>
                  </w:tcBorders>
                  <w:vAlign w:val="center"/>
                </w:tcPr>
                <w:p w14:paraId="3D4302C8">
                  <w:pPr>
                    <w:jc w:val="center"/>
                    <w:rPr>
                      <w:color w:val="auto"/>
                      <w:sz w:val="21"/>
                      <w:szCs w:val="21"/>
                    </w:rPr>
                  </w:pPr>
                  <w:r>
                    <w:rPr>
                      <w:rFonts w:hint="eastAsia"/>
                      <w:color w:val="auto"/>
                      <w:sz w:val="21"/>
                      <w:szCs w:val="21"/>
                    </w:rPr>
                    <w:t>1#钻井泵双螺杆混输泵撬</w:t>
                  </w:r>
                </w:p>
              </w:tc>
              <w:tc>
                <w:tcPr>
                  <w:tcW w:w="469" w:type="pct"/>
                  <w:tcBorders>
                    <w:tl2br w:val="nil"/>
                    <w:tr2bl w:val="nil"/>
                  </w:tcBorders>
                  <w:vAlign w:val="center"/>
                </w:tcPr>
                <w:p w14:paraId="04959060">
                  <w:pPr>
                    <w:jc w:val="center"/>
                    <w:rPr>
                      <w:color w:val="auto"/>
                      <w:sz w:val="21"/>
                      <w:szCs w:val="21"/>
                    </w:rPr>
                  </w:pPr>
                  <w:r>
                    <w:rPr>
                      <w:color w:val="auto"/>
                      <w:sz w:val="21"/>
                      <w:szCs w:val="21"/>
                    </w:rPr>
                    <w:t>79.95</w:t>
                  </w:r>
                </w:p>
              </w:tc>
              <w:tc>
                <w:tcPr>
                  <w:tcW w:w="479" w:type="pct"/>
                  <w:tcBorders>
                    <w:tl2br w:val="nil"/>
                    <w:tr2bl w:val="nil"/>
                  </w:tcBorders>
                  <w:vAlign w:val="center"/>
                </w:tcPr>
                <w:p w14:paraId="366A0F77">
                  <w:pPr>
                    <w:jc w:val="center"/>
                    <w:rPr>
                      <w:color w:val="auto"/>
                      <w:sz w:val="21"/>
                      <w:szCs w:val="21"/>
                    </w:rPr>
                  </w:pPr>
                  <w:r>
                    <w:rPr>
                      <w:rFonts w:hint="eastAsia"/>
                      <w:color w:val="auto"/>
                      <w:sz w:val="21"/>
                      <w:szCs w:val="21"/>
                    </w:rPr>
                    <w:t>9</w:t>
                  </w:r>
                  <w:r>
                    <w:rPr>
                      <w:color w:val="auto"/>
                      <w:sz w:val="21"/>
                      <w:szCs w:val="21"/>
                    </w:rPr>
                    <w:t>3.64</w:t>
                  </w:r>
                </w:p>
              </w:tc>
              <w:tc>
                <w:tcPr>
                  <w:tcW w:w="464" w:type="pct"/>
                  <w:tcBorders>
                    <w:tl2br w:val="nil"/>
                    <w:tr2bl w:val="nil"/>
                  </w:tcBorders>
                  <w:vAlign w:val="center"/>
                </w:tcPr>
                <w:p w14:paraId="3C96FF9B">
                  <w:pPr>
                    <w:jc w:val="center"/>
                    <w:rPr>
                      <w:color w:val="auto"/>
                      <w:sz w:val="21"/>
                      <w:szCs w:val="21"/>
                    </w:rPr>
                  </w:pPr>
                  <w:r>
                    <w:rPr>
                      <w:rFonts w:hint="eastAsia"/>
                      <w:color w:val="auto"/>
                      <w:sz w:val="21"/>
                      <w:szCs w:val="21"/>
                    </w:rPr>
                    <w:t>0</w:t>
                  </w:r>
                </w:p>
              </w:tc>
              <w:tc>
                <w:tcPr>
                  <w:tcW w:w="1003" w:type="pct"/>
                  <w:tcBorders>
                    <w:tl2br w:val="nil"/>
                    <w:tr2bl w:val="nil"/>
                  </w:tcBorders>
                  <w:vAlign w:val="center"/>
                </w:tcPr>
                <w:p w14:paraId="7D748DC4">
                  <w:pPr>
                    <w:jc w:val="center"/>
                    <w:rPr>
                      <w:color w:val="auto"/>
                      <w:sz w:val="21"/>
                      <w:szCs w:val="21"/>
                    </w:rPr>
                  </w:pPr>
                  <w:r>
                    <w:rPr>
                      <w:rFonts w:hint="eastAsia"/>
                      <w:color w:val="auto"/>
                      <w:sz w:val="21"/>
                      <w:szCs w:val="21"/>
                    </w:rPr>
                    <w:t>80</w:t>
                  </w:r>
                </w:p>
              </w:tc>
              <w:tc>
                <w:tcPr>
                  <w:tcW w:w="898" w:type="pct"/>
                  <w:tcBorders>
                    <w:tl2br w:val="nil"/>
                    <w:tr2bl w:val="nil"/>
                  </w:tcBorders>
                  <w:vAlign w:val="center"/>
                </w:tcPr>
                <w:p w14:paraId="59F76B3D">
                  <w:pPr>
                    <w:jc w:val="center"/>
                    <w:rPr>
                      <w:color w:val="auto"/>
                      <w:sz w:val="21"/>
                      <w:szCs w:val="21"/>
                    </w:rPr>
                  </w:pPr>
                  <w:r>
                    <w:rPr>
                      <w:rFonts w:hint="eastAsia"/>
                      <w:color w:val="auto"/>
                      <w:sz w:val="21"/>
                      <w:szCs w:val="21"/>
                    </w:rPr>
                    <w:t>减震安装、</w:t>
                  </w:r>
                  <w:r>
                    <w:rPr>
                      <w:color w:val="auto"/>
                      <w:sz w:val="21"/>
                      <w:szCs w:val="21"/>
                    </w:rPr>
                    <w:t>衬弹性垫料</w:t>
                  </w:r>
                </w:p>
              </w:tc>
              <w:tc>
                <w:tcPr>
                  <w:tcW w:w="650" w:type="pct"/>
                  <w:tcBorders>
                    <w:tl2br w:val="nil"/>
                    <w:tr2bl w:val="nil"/>
                  </w:tcBorders>
                  <w:vAlign w:val="center"/>
                </w:tcPr>
                <w:p w14:paraId="1F8493AE">
                  <w:pPr>
                    <w:jc w:val="center"/>
                    <w:rPr>
                      <w:color w:val="auto"/>
                      <w:sz w:val="21"/>
                      <w:szCs w:val="21"/>
                      <w:highlight w:val="yellow"/>
                    </w:rPr>
                  </w:pPr>
                  <w:r>
                    <w:rPr>
                      <w:rFonts w:hint="eastAsia"/>
                      <w:color w:val="auto"/>
                      <w:sz w:val="21"/>
                      <w:szCs w:val="21"/>
                    </w:rPr>
                    <w:t>昼间、夜间</w:t>
                  </w:r>
                </w:p>
              </w:tc>
            </w:tr>
            <w:tr w14:paraId="75917BFE">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tcBorders>
                    <w:tl2br w:val="nil"/>
                    <w:tr2bl w:val="nil"/>
                  </w:tcBorders>
                  <w:vAlign w:val="center"/>
                </w:tcPr>
                <w:p w14:paraId="45AF2DD0">
                  <w:pPr>
                    <w:jc w:val="center"/>
                    <w:rPr>
                      <w:color w:val="auto"/>
                      <w:sz w:val="21"/>
                      <w:szCs w:val="21"/>
                    </w:rPr>
                  </w:pPr>
                  <w:r>
                    <w:rPr>
                      <w:color w:val="auto"/>
                      <w:sz w:val="21"/>
                      <w:szCs w:val="21"/>
                    </w:rPr>
                    <w:t>3</w:t>
                  </w:r>
                </w:p>
              </w:tc>
              <w:tc>
                <w:tcPr>
                  <w:tcW w:w="642" w:type="pct"/>
                  <w:tcBorders>
                    <w:tl2br w:val="nil"/>
                    <w:tr2bl w:val="nil"/>
                  </w:tcBorders>
                  <w:vAlign w:val="center"/>
                </w:tcPr>
                <w:p w14:paraId="44D94648">
                  <w:pPr>
                    <w:jc w:val="center"/>
                    <w:rPr>
                      <w:color w:val="auto"/>
                      <w:sz w:val="21"/>
                      <w:szCs w:val="21"/>
                    </w:rPr>
                  </w:pPr>
                  <w:r>
                    <w:rPr>
                      <w:rFonts w:hint="eastAsia"/>
                      <w:color w:val="auto"/>
                      <w:sz w:val="21"/>
                      <w:szCs w:val="21"/>
                    </w:rPr>
                    <w:t>智能发球阀组撬</w:t>
                  </w:r>
                </w:p>
              </w:tc>
              <w:tc>
                <w:tcPr>
                  <w:tcW w:w="469" w:type="pct"/>
                  <w:tcBorders>
                    <w:tl2br w:val="nil"/>
                    <w:tr2bl w:val="nil"/>
                  </w:tcBorders>
                  <w:vAlign w:val="center"/>
                </w:tcPr>
                <w:p w14:paraId="01776B1B">
                  <w:pPr>
                    <w:jc w:val="center"/>
                    <w:rPr>
                      <w:color w:val="auto"/>
                      <w:sz w:val="21"/>
                      <w:szCs w:val="21"/>
                    </w:rPr>
                  </w:pPr>
                  <w:r>
                    <w:rPr>
                      <w:color w:val="auto"/>
                      <w:sz w:val="21"/>
                      <w:szCs w:val="21"/>
                    </w:rPr>
                    <w:t>85.31</w:t>
                  </w:r>
                </w:p>
              </w:tc>
              <w:tc>
                <w:tcPr>
                  <w:tcW w:w="479" w:type="pct"/>
                  <w:tcBorders>
                    <w:tl2br w:val="nil"/>
                    <w:tr2bl w:val="nil"/>
                  </w:tcBorders>
                  <w:vAlign w:val="center"/>
                </w:tcPr>
                <w:p w14:paraId="70377139">
                  <w:pPr>
                    <w:jc w:val="center"/>
                    <w:rPr>
                      <w:color w:val="auto"/>
                      <w:sz w:val="21"/>
                      <w:szCs w:val="21"/>
                    </w:rPr>
                  </w:pPr>
                  <w:r>
                    <w:rPr>
                      <w:rFonts w:hint="eastAsia"/>
                      <w:color w:val="auto"/>
                      <w:sz w:val="21"/>
                      <w:szCs w:val="21"/>
                    </w:rPr>
                    <w:t>9</w:t>
                  </w:r>
                  <w:r>
                    <w:rPr>
                      <w:color w:val="auto"/>
                      <w:sz w:val="21"/>
                      <w:szCs w:val="21"/>
                    </w:rPr>
                    <w:t>1.47</w:t>
                  </w:r>
                </w:p>
              </w:tc>
              <w:tc>
                <w:tcPr>
                  <w:tcW w:w="464" w:type="pct"/>
                  <w:tcBorders>
                    <w:tl2br w:val="nil"/>
                    <w:tr2bl w:val="nil"/>
                  </w:tcBorders>
                  <w:vAlign w:val="center"/>
                </w:tcPr>
                <w:p w14:paraId="6BE4E087">
                  <w:pPr>
                    <w:jc w:val="center"/>
                    <w:rPr>
                      <w:color w:val="auto"/>
                      <w:sz w:val="21"/>
                      <w:szCs w:val="21"/>
                    </w:rPr>
                  </w:pPr>
                  <w:r>
                    <w:rPr>
                      <w:rFonts w:hint="eastAsia"/>
                      <w:color w:val="auto"/>
                      <w:sz w:val="21"/>
                      <w:szCs w:val="21"/>
                    </w:rPr>
                    <w:t>0</w:t>
                  </w:r>
                </w:p>
              </w:tc>
              <w:tc>
                <w:tcPr>
                  <w:tcW w:w="1003" w:type="pct"/>
                  <w:tcBorders>
                    <w:tl2br w:val="nil"/>
                    <w:tr2bl w:val="nil"/>
                  </w:tcBorders>
                  <w:vAlign w:val="center"/>
                </w:tcPr>
                <w:p w14:paraId="0354FEBE">
                  <w:pPr>
                    <w:jc w:val="center"/>
                    <w:rPr>
                      <w:color w:val="auto"/>
                      <w:sz w:val="21"/>
                      <w:szCs w:val="21"/>
                    </w:rPr>
                  </w:pPr>
                  <w:r>
                    <w:rPr>
                      <w:rFonts w:hint="eastAsia"/>
                      <w:color w:val="auto"/>
                      <w:sz w:val="21"/>
                      <w:szCs w:val="21"/>
                    </w:rPr>
                    <w:t>80</w:t>
                  </w:r>
                </w:p>
              </w:tc>
              <w:tc>
                <w:tcPr>
                  <w:tcW w:w="898" w:type="pct"/>
                  <w:tcBorders>
                    <w:tl2br w:val="nil"/>
                    <w:tr2bl w:val="nil"/>
                  </w:tcBorders>
                  <w:vAlign w:val="center"/>
                </w:tcPr>
                <w:p w14:paraId="670942A7">
                  <w:pPr>
                    <w:jc w:val="center"/>
                    <w:rPr>
                      <w:color w:val="auto"/>
                      <w:sz w:val="21"/>
                      <w:szCs w:val="21"/>
                    </w:rPr>
                  </w:pPr>
                  <w:r>
                    <w:rPr>
                      <w:rFonts w:hint="eastAsia"/>
                      <w:color w:val="auto"/>
                      <w:sz w:val="21"/>
                      <w:szCs w:val="21"/>
                    </w:rPr>
                    <w:t>减震安装、</w:t>
                  </w:r>
                  <w:r>
                    <w:rPr>
                      <w:color w:val="auto"/>
                      <w:sz w:val="21"/>
                      <w:szCs w:val="21"/>
                    </w:rPr>
                    <w:t>衬弹性垫料</w:t>
                  </w:r>
                </w:p>
              </w:tc>
              <w:tc>
                <w:tcPr>
                  <w:tcW w:w="650" w:type="pct"/>
                  <w:tcBorders>
                    <w:tl2br w:val="nil"/>
                    <w:tr2bl w:val="nil"/>
                  </w:tcBorders>
                  <w:vAlign w:val="center"/>
                </w:tcPr>
                <w:p w14:paraId="5C18E968">
                  <w:pPr>
                    <w:jc w:val="center"/>
                    <w:rPr>
                      <w:color w:val="auto"/>
                      <w:sz w:val="21"/>
                      <w:szCs w:val="21"/>
                      <w:highlight w:val="yellow"/>
                    </w:rPr>
                  </w:pPr>
                  <w:r>
                    <w:rPr>
                      <w:rFonts w:hint="eastAsia"/>
                      <w:color w:val="auto"/>
                      <w:sz w:val="21"/>
                      <w:szCs w:val="21"/>
                    </w:rPr>
                    <w:t>昼间、夜间</w:t>
                  </w:r>
                </w:p>
              </w:tc>
            </w:tr>
            <w:tr w14:paraId="67ECDFE6">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tcBorders>
                    <w:tl2br w:val="nil"/>
                    <w:tr2bl w:val="nil"/>
                  </w:tcBorders>
                  <w:vAlign w:val="center"/>
                </w:tcPr>
                <w:p w14:paraId="56E0E446">
                  <w:pPr>
                    <w:jc w:val="center"/>
                    <w:rPr>
                      <w:color w:val="auto"/>
                      <w:sz w:val="21"/>
                      <w:szCs w:val="21"/>
                    </w:rPr>
                  </w:pPr>
                  <w:r>
                    <w:rPr>
                      <w:color w:val="auto"/>
                      <w:sz w:val="21"/>
                      <w:szCs w:val="21"/>
                    </w:rPr>
                    <w:t>4</w:t>
                  </w:r>
                </w:p>
              </w:tc>
              <w:tc>
                <w:tcPr>
                  <w:tcW w:w="642" w:type="pct"/>
                  <w:tcBorders>
                    <w:tl2br w:val="nil"/>
                    <w:tr2bl w:val="nil"/>
                  </w:tcBorders>
                  <w:vAlign w:val="center"/>
                </w:tcPr>
                <w:p w14:paraId="2BEE38AC">
                  <w:pPr>
                    <w:jc w:val="center"/>
                    <w:rPr>
                      <w:color w:val="auto"/>
                      <w:sz w:val="21"/>
                      <w:szCs w:val="21"/>
                    </w:rPr>
                  </w:pPr>
                  <w:r>
                    <w:rPr>
                      <w:color w:val="auto"/>
                      <w:sz w:val="21"/>
                      <w:szCs w:val="21"/>
                    </w:rPr>
                    <w:t>除砂器</w:t>
                  </w:r>
                  <w:r>
                    <w:rPr>
                      <w:rFonts w:hint="eastAsia"/>
                      <w:color w:val="auto"/>
                      <w:sz w:val="21"/>
                      <w:szCs w:val="21"/>
                    </w:rPr>
                    <w:t>清蜡剂加注撬</w:t>
                  </w:r>
                </w:p>
              </w:tc>
              <w:tc>
                <w:tcPr>
                  <w:tcW w:w="469" w:type="pct"/>
                  <w:tcBorders>
                    <w:tl2br w:val="nil"/>
                    <w:tr2bl w:val="nil"/>
                  </w:tcBorders>
                  <w:vAlign w:val="center"/>
                </w:tcPr>
                <w:p w14:paraId="09079F78">
                  <w:pPr>
                    <w:jc w:val="center"/>
                    <w:rPr>
                      <w:color w:val="auto"/>
                      <w:sz w:val="21"/>
                      <w:szCs w:val="21"/>
                    </w:rPr>
                  </w:pPr>
                  <w:r>
                    <w:rPr>
                      <w:color w:val="auto"/>
                      <w:sz w:val="21"/>
                      <w:szCs w:val="21"/>
                    </w:rPr>
                    <w:t>75</w:t>
                  </w:r>
                </w:p>
              </w:tc>
              <w:tc>
                <w:tcPr>
                  <w:tcW w:w="479" w:type="pct"/>
                  <w:tcBorders>
                    <w:tl2br w:val="nil"/>
                    <w:tr2bl w:val="nil"/>
                  </w:tcBorders>
                  <w:vAlign w:val="center"/>
                </w:tcPr>
                <w:p w14:paraId="793AE747">
                  <w:pPr>
                    <w:jc w:val="center"/>
                    <w:rPr>
                      <w:color w:val="auto"/>
                      <w:sz w:val="21"/>
                      <w:szCs w:val="21"/>
                    </w:rPr>
                  </w:pPr>
                  <w:r>
                    <w:rPr>
                      <w:rFonts w:hint="eastAsia"/>
                      <w:color w:val="auto"/>
                      <w:sz w:val="21"/>
                      <w:szCs w:val="21"/>
                    </w:rPr>
                    <w:t>9</w:t>
                  </w:r>
                  <w:r>
                    <w:rPr>
                      <w:color w:val="auto"/>
                      <w:sz w:val="21"/>
                      <w:szCs w:val="21"/>
                    </w:rPr>
                    <w:t>5.08</w:t>
                  </w:r>
                </w:p>
              </w:tc>
              <w:tc>
                <w:tcPr>
                  <w:tcW w:w="464" w:type="pct"/>
                  <w:tcBorders>
                    <w:tl2br w:val="nil"/>
                    <w:tr2bl w:val="nil"/>
                  </w:tcBorders>
                  <w:vAlign w:val="center"/>
                </w:tcPr>
                <w:p w14:paraId="3120E595">
                  <w:pPr>
                    <w:jc w:val="center"/>
                    <w:rPr>
                      <w:color w:val="auto"/>
                      <w:sz w:val="21"/>
                      <w:szCs w:val="21"/>
                    </w:rPr>
                  </w:pPr>
                  <w:r>
                    <w:rPr>
                      <w:rFonts w:hint="eastAsia"/>
                      <w:color w:val="auto"/>
                      <w:sz w:val="21"/>
                      <w:szCs w:val="21"/>
                    </w:rPr>
                    <w:t>0</w:t>
                  </w:r>
                </w:p>
              </w:tc>
              <w:tc>
                <w:tcPr>
                  <w:tcW w:w="1003" w:type="pct"/>
                  <w:tcBorders>
                    <w:tl2br w:val="nil"/>
                    <w:tr2bl w:val="nil"/>
                  </w:tcBorders>
                  <w:vAlign w:val="center"/>
                </w:tcPr>
                <w:p w14:paraId="59F1ACA9">
                  <w:pPr>
                    <w:jc w:val="center"/>
                    <w:rPr>
                      <w:color w:val="auto"/>
                      <w:sz w:val="21"/>
                      <w:szCs w:val="21"/>
                    </w:rPr>
                  </w:pPr>
                  <w:r>
                    <w:rPr>
                      <w:rFonts w:hint="eastAsia"/>
                      <w:color w:val="auto"/>
                      <w:sz w:val="21"/>
                      <w:szCs w:val="21"/>
                    </w:rPr>
                    <w:t>80</w:t>
                  </w:r>
                </w:p>
              </w:tc>
              <w:tc>
                <w:tcPr>
                  <w:tcW w:w="898" w:type="pct"/>
                  <w:tcBorders>
                    <w:tl2br w:val="nil"/>
                    <w:tr2bl w:val="nil"/>
                  </w:tcBorders>
                  <w:vAlign w:val="center"/>
                </w:tcPr>
                <w:p w14:paraId="0CBBE23C">
                  <w:pPr>
                    <w:jc w:val="center"/>
                    <w:rPr>
                      <w:color w:val="auto"/>
                      <w:sz w:val="21"/>
                      <w:szCs w:val="21"/>
                    </w:rPr>
                  </w:pPr>
                  <w:r>
                    <w:rPr>
                      <w:rFonts w:hint="eastAsia"/>
                      <w:color w:val="auto"/>
                      <w:sz w:val="21"/>
                      <w:szCs w:val="21"/>
                    </w:rPr>
                    <w:t>减震安装、</w:t>
                  </w:r>
                  <w:r>
                    <w:rPr>
                      <w:color w:val="auto"/>
                      <w:sz w:val="21"/>
                      <w:szCs w:val="21"/>
                    </w:rPr>
                    <w:t>衬弹性垫料</w:t>
                  </w:r>
                </w:p>
              </w:tc>
              <w:tc>
                <w:tcPr>
                  <w:tcW w:w="650" w:type="pct"/>
                  <w:tcBorders>
                    <w:tl2br w:val="nil"/>
                    <w:tr2bl w:val="nil"/>
                  </w:tcBorders>
                  <w:vAlign w:val="center"/>
                </w:tcPr>
                <w:p w14:paraId="752CFFDD">
                  <w:pPr>
                    <w:jc w:val="center"/>
                    <w:rPr>
                      <w:color w:val="auto"/>
                      <w:sz w:val="21"/>
                      <w:szCs w:val="21"/>
                      <w:highlight w:val="yellow"/>
                    </w:rPr>
                  </w:pPr>
                  <w:r>
                    <w:rPr>
                      <w:rFonts w:hint="eastAsia"/>
                      <w:color w:val="auto"/>
                      <w:sz w:val="21"/>
                      <w:szCs w:val="21"/>
                    </w:rPr>
                    <w:t>昼间、夜间</w:t>
                  </w:r>
                </w:p>
              </w:tc>
            </w:tr>
            <w:tr w14:paraId="2174D344">
              <w:tblPrEx>
                <w:tblBorders>
                  <w:top w:val="single" w:color="auto" w:sz="6" w:space="0"/>
                  <w:left w:val="single" w:color="auto" w:sz="6" w:space="0"/>
                  <w:bottom w:val="single" w:color="auto" w:sz="6" w:space="0"/>
                  <w:right w:val="single" w:color="auto" w:sz="6" w:space="0"/>
                  <w:insideH w:val="single" w:color="auto" w:sz="6" w:space="0"/>
                  <w:insideV w:val="single" w:color="auto" w:sz="4" w:space="0"/>
                </w:tblBorders>
                <w:tblCellMar>
                  <w:top w:w="0" w:type="dxa"/>
                  <w:left w:w="108" w:type="dxa"/>
                  <w:bottom w:w="0" w:type="dxa"/>
                  <w:right w:w="108" w:type="dxa"/>
                </w:tblCellMar>
              </w:tblPrEx>
              <w:trPr>
                <w:jc w:val="center"/>
              </w:trPr>
              <w:tc>
                <w:tcPr>
                  <w:tcW w:w="395" w:type="pct"/>
                  <w:tcBorders>
                    <w:tl2br w:val="nil"/>
                    <w:tr2bl w:val="nil"/>
                  </w:tcBorders>
                  <w:vAlign w:val="center"/>
                </w:tcPr>
                <w:p w14:paraId="5D80BA4F">
                  <w:pPr>
                    <w:jc w:val="center"/>
                    <w:rPr>
                      <w:color w:val="auto"/>
                      <w:sz w:val="21"/>
                      <w:szCs w:val="21"/>
                    </w:rPr>
                  </w:pPr>
                  <w:r>
                    <w:rPr>
                      <w:rFonts w:hint="eastAsia"/>
                      <w:color w:val="auto"/>
                      <w:sz w:val="21"/>
                      <w:szCs w:val="21"/>
                    </w:rPr>
                    <w:t>5</w:t>
                  </w:r>
                </w:p>
              </w:tc>
              <w:tc>
                <w:tcPr>
                  <w:tcW w:w="642" w:type="pct"/>
                  <w:tcBorders>
                    <w:tl2br w:val="nil"/>
                    <w:tr2bl w:val="nil"/>
                  </w:tcBorders>
                  <w:vAlign w:val="center"/>
                </w:tcPr>
                <w:p w14:paraId="1648F385">
                  <w:pPr>
                    <w:jc w:val="center"/>
                    <w:rPr>
                      <w:color w:val="auto"/>
                      <w:sz w:val="21"/>
                      <w:szCs w:val="21"/>
                    </w:rPr>
                  </w:pPr>
                  <w:r>
                    <w:rPr>
                      <w:color w:val="auto"/>
                      <w:sz w:val="21"/>
                      <w:szCs w:val="21"/>
                    </w:rPr>
                    <w:t>除泥器</w:t>
                  </w:r>
                  <w:r>
                    <w:rPr>
                      <w:rFonts w:hint="eastAsia"/>
                      <w:color w:val="auto"/>
                      <w:sz w:val="21"/>
                      <w:szCs w:val="21"/>
                    </w:rPr>
                    <w:t>计量橇</w:t>
                  </w:r>
                </w:p>
              </w:tc>
              <w:tc>
                <w:tcPr>
                  <w:tcW w:w="469" w:type="pct"/>
                  <w:tcBorders>
                    <w:tl2br w:val="nil"/>
                    <w:tr2bl w:val="nil"/>
                  </w:tcBorders>
                  <w:vAlign w:val="center"/>
                </w:tcPr>
                <w:p w14:paraId="7424DE3A">
                  <w:pPr>
                    <w:jc w:val="center"/>
                    <w:rPr>
                      <w:color w:val="auto"/>
                      <w:sz w:val="21"/>
                      <w:szCs w:val="21"/>
                    </w:rPr>
                  </w:pPr>
                  <w:r>
                    <w:rPr>
                      <w:color w:val="auto"/>
                      <w:sz w:val="21"/>
                      <w:szCs w:val="21"/>
                    </w:rPr>
                    <w:t>91.91</w:t>
                  </w:r>
                </w:p>
              </w:tc>
              <w:tc>
                <w:tcPr>
                  <w:tcW w:w="479" w:type="pct"/>
                  <w:tcBorders>
                    <w:tl2br w:val="nil"/>
                    <w:tr2bl w:val="nil"/>
                  </w:tcBorders>
                  <w:vAlign w:val="center"/>
                </w:tcPr>
                <w:p w14:paraId="68588186">
                  <w:pPr>
                    <w:jc w:val="center"/>
                    <w:rPr>
                      <w:color w:val="auto"/>
                      <w:sz w:val="21"/>
                      <w:szCs w:val="21"/>
                    </w:rPr>
                  </w:pPr>
                  <w:r>
                    <w:rPr>
                      <w:rFonts w:hint="eastAsia"/>
                      <w:color w:val="auto"/>
                      <w:sz w:val="21"/>
                      <w:szCs w:val="21"/>
                    </w:rPr>
                    <w:t>8</w:t>
                  </w:r>
                  <w:r>
                    <w:rPr>
                      <w:color w:val="auto"/>
                      <w:sz w:val="21"/>
                      <w:szCs w:val="21"/>
                    </w:rPr>
                    <w:t>9.41</w:t>
                  </w:r>
                </w:p>
              </w:tc>
              <w:tc>
                <w:tcPr>
                  <w:tcW w:w="464" w:type="pct"/>
                  <w:tcBorders>
                    <w:tl2br w:val="nil"/>
                    <w:tr2bl w:val="nil"/>
                  </w:tcBorders>
                  <w:vAlign w:val="center"/>
                </w:tcPr>
                <w:p w14:paraId="69493070">
                  <w:pPr>
                    <w:jc w:val="center"/>
                    <w:rPr>
                      <w:color w:val="auto"/>
                      <w:sz w:val="21"/>
                      <w:szCs w:val="21"/>
                    </w:rPr>
                  </w:pPr>
                  <w:r>
                    <w:rPr>
                      <w:rFonts w:hint="eastAsia"/>
                      <w:color w:val="auto"/>
                      <w:sz w:val="21"/>
                      <w:szCs w:val="21"/>
                    </w:rPr>
                    <w:t>0</w:t>
                  </w:r>
                </w:p>
              </w:tc>
              <w:tc>
                <w:tcPr>
                  <w:tcW w:w="1003" w:type="pct"/>
                  <w:tcBorders>
                    <w:tl2br w:val="nil"/>
                    <w:tr2bl w:val="nil"/>
                  </w:tcBorders>
                  <w:vAlign w:val="center"/>
                </w:tcPr>
                <w:p w14:paraId="41B9772F">
                  <w:pPr>
                    <w:jc w:val="center"/>
                    <w:rPr>
                      <w:color w:val="auto"/>
                      <w:sz w:val="21"/>
                      <w:szCs w:val="21"/>
                    </w:rPr>
                  </w:pPr>
                  <w:r>
                    <w:rPr>
                      <w:rFonts w:hint="eastAsia"/>
                      <w:color w:val="auto"/>
                      <w:sz w:val="21"/>
                      <w:szCs w:val="21"/>
                    </w:rPr>
                    <w:t>80</w:t>
                  </w:r>
                </w:p>
              </w:tc>
              <w:tc>
                <w:tcPr>
                  <w:tcW w:w="898" w:type="pct"/>
                  <w:tcBorders>
                    <w:tl2br w:val="nil"/>
                    <w:tr2bl w:val="nil"/>
                  </w:tcBorders>
                  <w:vAlign w:val="center"/>
                </w:tcPr>
                <w:p w14:paraId="6D2033F6">
                  <w:pPr>
                    <w:jc w:val="center"/>
                    <w:rPr>
                      <w:color w:val="auto"/>
                      <w:sz w:val="21"/>
                      <w:szCs w:val="21"/>
                    </w:rPr>
                  </w:pPr>
                  <w:r>
                    <w:rPr>
                      <w:rFonts w:hint="eastAsia"/>
                      <w:color w:val="auto"/>
                      <w:sz w:val="21"/>
                      <w:szCs w:val="21"/>
                    </w:rPr>
                    <w:t>减震安装、</w:t>
                  </w:r>
                  <w:r>
                    <w:rPr>
                      <w:color w:val="auto"/>
                      <w:sz w:val="21"/>
                      <w:szCs w:val="21"/>
                    </w:rPr>
                    <w:t>衬弹性垫料</w:t>
                  </w:r>
                </w:p>
              </w:tc>
              <w:tc>
                <w:tcPr>
                  <w:tcW w:w="650" w:type="pct"/>
                  <w:tcBorders>
                    <w:tl2br w:val="nil"/>
                    <w:tr2bl w:val="nil"/>
                  </w:tcBorders>
                  <w:vAlign w:val="center"/>
                </w:tcPr>
                <w:p w14:paraId="36829FD7">
                  <w:pPr>
                    <w:jc w:val="center"/>
                    <w:rPr>
                      <w:color w:val="auto"/>
                      <w:sz w:val="21"/>
                      <w:szCs w:val="21"/>
                      <w:highlight w:val="yellow"/>
                    </w:rPr>
                  </w:pPr>
                  <w:r>
                    <w:rPr>
                      <w:rFonts w:hint="eastAsia"/>
                      <w:color w:val="auto"/>
                      <w:sz w:val="21"/>
                      <w:szCs w:val="21"/>
                    </w:rPr>
                    <w:t>昼间、夜间</w:t>
                  </w:r>
                </w:p>
              </w:tc>
            </w:tr>
          </w:tbl>
          <w:p w14:paraId="348B3AA7">
            <w:pPr>
              <w:spacing w:line="360" w:lineRule="auto"/>
              <w:ind w:firstLine="480" w:firstLineChars="200"/>
              <w:rPr>
                <w:rFonts w:hint="eastAsia"/>
                <w:color w:val="auto"/>
                <w:lang w:val="zh-CN"/>
              </w:rPr>
            </w:pPr>
            <w:r>
              <w:rPr>
                <w:rFonts w:hint="eastAsia"/>
                <w:color w:val="auto"/>
                <w:lang w:val="zh-CN"/>
              </w:rPr>
              <w:t>（2）预测模式</w:t>
            </w:r>
          </w:p>
          <w:p w14:paraId="46F9ED80">
            <w:pPr>
              <w:spacing w:line="360" w:lineRule="auto"/>
              <w:ind w:firstLine="480" w:firstLineChars="200"/>
              <w:rPr>
                <w:rFonts w:hint="eastAsia"/>
                <w:color w:val="auto"/>
                <w:lang w:val="zh-CN"/>
              </w:rPr>
            </w:pPr>
            <w:r>
              <w:rPr>
                <w:rFonts w:hint="eastAsia"/>
                <w:color w:val="auto"/>
                <w:lang w:val="zh-CN"/>
              </w:rPr>
              <w:t>1）室外声源</w:t>
            </w:r>
          </w:p>
          <w:p w14:paraId="1A3AE584">
            <w:pPr>
              <w:spacing w:line="360" w:lineRule="auto"/>
              <w:ind w:firstLine="480" w:firstLineChars="200"/>
              <w:rPr>
                <w:color w:val="auto"/>
                <w:kern w:val="0"/>
              </w:rPr>
            </w:pPr>
            <w:r>
              <w:rPr>
                <w:color w:val="auto"/>
                <w:lang w:val="zh-CN"/>
              </w:rPr>
              <w:t>根据《环境影响评价技术导则 声环境》</w:t>
            </w:r>
            <w:r>
              <w:rPr>
                <w:rFonts w:hint="eastAsia"/>
                <w:color w:val="auto"/>
                <w:lang w:val="zh-CN"/>
              </w:rPr>
              <w:t>（</w:t>
            </w:r>
            <w:r>
              <w:rPr>
                <w:color w:val="auto"/>
                <w:lang w:val="zh-CN"/>
              </w:rPr>
              <w:t>HJ2.4-2021</w:t>
            </w:r>
            <w:r>
              <w:rPr>
                <w:rFonts w:hint="eastAsia"/>
                <w:color w:val="auto"/>
                <w:lang w:val="zh-CN"/>
              </w:rPr>
              <w:t>）</w:t>
            </w:r>
            <w:r>
              <w:rPr>
                <w:color w:val="auto"/>
                <w:lang w:val="zh-CN"/>
              </w:rPr>
              <w:t>附录</w:t>
            </w:r>
            <w:r>
              <w:rPr>
                <w:color w:val="auto"/>
              </w:rPr>
              <w:t>A，户外声传播衰减包括几何发散（A</w:t>
            </w:r>
            <w:r>
              <w:rPr>
                <w:color w:val="auto"/>
                <w:vertAlign w:val="subscript"/>
              </w:rPr>
              <w:t>div</w:t>
            </w:r>
            <w:r>
              <w:rPr>
                <w:color w:val="auto"/>
              </w:rPr>
              <w:t>）、大气吸收（A</w:t>
            </w:r>
            <w:r>
              <w:rPr>
                <w:color w:val="auto"/>
                <w:vertAlign w:val="subscript"/>
              </w:rPr>
              <w:t>atm</w:t>
            </w:r>
            <w:r>
              <w:rPr>
                <w:color w:val="auto"/>
              </w:rPr>
              <w:t>）、地面效应（A</w:t>
            </w:r>
            <w:r>
              <w:rPr>
                <w:color w:val="auto"/>
                <w:vertAlign w:val="subscript"/>
              </w:rPr>
              <w:t>gr</w:t>
            </w:r>
            <w:r>
              <w:rPr>
                <w:color w:val="auto"/>
              </w:rPr>
              <w:t>）、障碍物屏蔽（A</w:t>
            </w:r>
            <w:r>
              <w:rPr>
                <w:color w:val="auto"/>
                <w:vertAlign w:val="subscript"/>
              </w:rPr>
              <w:t>bar</w:t>
            </w:r>
            <w:r>
              <w:rPr>
                <w:color w:val="auto"/>
              </w:rPr>
              <w:t>）、其他多方面效应（A</w:t>
            </w:r>
            <w:r>
              <w:rPr>
                <w:color w:val="auto"/>
                <w:vertAlign w:val="subscript"/>
              </w:rPr>
              <w:t>misc</w:t>
            </w:r>
            <w:r>
              <w:rPr>
                <w:color w:val="auto"/>
              </w:rPr>
              <w:t>）引起的衰减。本项目不考虑大气吸收（A</w:t>
            </w:r>
            <w:r>
              <w:rPr>
                <w:color w:val="auto"/>
                <w:vertAlign w:val="subscript"/>
              </w:rPr>
              <w:t>atm</w:t>
            </w:r>
            <w:r>
              <w:rPr>
                <w:color w:val="auto"/>
              </w:rPr>
              <w:t>）、地面效应（A</w:t>
            </w:r>
            <w:r>
              <w:rPr>
                <w:color w:val="auto"/>
                <w:vertAlign w:val="subscript"/>
              </w:rPr>
              <w:t>gr</w:t>
            </w:r>
            <w:r>
              <w:rPr>
                <w:color w:val="auto"/>
              </w:rPr>
              <w:t>）、障碍物屏蔽（A</w:t>
            </w:r>
            <w:r>
              <w:rPr>
                <w:color w:val="auto"/>
                <w:vertAlign w:val="subscript"/>
              </w:rPr>
              <w:t>bar</w:t>
            </w:r>
            <w:r>
              <w:rPr>
                <w:color w:val="auto"/>
              </w:rPr>
              <w:t>）、其他多方面效应（A</w:t>
            </w:r>
            <w:r>
              <w:rPr>
                <w:color w:val="auto"/>
                <w:vertAlign w:val="subscript"/>
              </w:rPr>
              <w:t>misc</w:t>
            </w:r>
            <w:r>
              <w:rPr>
                <w:color w:val="auto"/>
              </w:rPr>
              <w:t>）引起的衰减，引起的衰减，在只考虑几何发散衰减时，可按下式计算</w:t>
            </w:r>
            <w:r>
              <w:rPr>
                <w:color w:val="auto"/>
                <w:kern w:val="0"/>
              </w:rPr>
              <w:t>。</w:t>
            </w:r>
          </w:p>
          <w:p w14:paraId="795A20B1">
            <w:pPr>
              <w:spacing w:line="360" w:lineRule="auto"/>
              <w:jc w:val="center"/>
              <w:rPr>
                <w:color w:val="auto"/>
              </w:rPr>
            </w:pPr>
            <w:r>
              <w:rPr>
                <w:color w:val="auto"/>
              </w:rPr>
              <w:t>L</w:t>
            </w:r>
            <w:r>
              <w:rPr>
                <w:color w:val="auto"/>
                <w:vertAlign w:val="subscript"/>
              </w:rPr>
              <w:t>A</w:t>
            </w:r>
            <w:r>
              <w:rPr>
                <w:color w:val="auto"/>
              </w:rPr>
              <w:t>(r)＝L</w:t>
            </w:r>
            <w:r>
              <w:rPr>
                <w:color w:val="auto"/>
                <w:vertAlign w:val="subscript"/>
              </w:rPr>
              <w:t>A</w:t>
            </w:r>
            <w:r>
              <w:rPr>
                <w:color w:val="auto"/>
              </w:rPr>
              <w:t>(r</w:t>
            </w:r>
            <w:r>
              <w:rPr>
                <w:color w:val="auto"/>
                <w:vertAlign w:val="subscript"/>
              </w:rPr>
              <w:t>0</w:t>
            </w:r>
            <w:r>
              <w:rPr>
                <w:color w:val="auto"/>
              </w:rPr>
              <w:t>)－A</w:t>
            </w:r>
            <w:r>
              <w:rPr>
                <w:color w:val="auto"/>
                <w:vertAlign w:val="subscript"/>
              </w:rPr>
              <w:t>div</w:t>
            </w:r>
          </w:p>
          <w:p w14:paraId="02C3A980">
            <w:pPr>
              <w:spacing w:line="360" w:lineRule="auto"/>
              <w:ind w:firstLine="480" w:firstLineChars="200"/>
              <w:rPr>
                <w:color w:val="auto"/>
              </w:rPr>
            </w:pPr>
            <w:r>
              <w:rPr>
                <w:color w:val="auto"/>
                <w:lang w:val="zh-CN"/>
              </w:rPr>
              <w:t>式中</w:t>
            </w:r>
            <w:r>
              <w:rPr>
                <w:color w:val="auto"/>
              </w:rPr>
              <w:t>：L</w:t>
            </w:r>
            <w:r>
              <w:rPr>
                <w:color w:val="auto"/>
                <w:vertAlign w:val="subscript"/>
              </w:rPr>
              <w:t>A</w:t>
            </w:r>
            <w:r>
              <w:rPr>
                <w:color w:val="auto"/>
              </w:rPr>
              <w:t>(r)——</w:t>
            </w:r>
            <w:r>
              <w:rPr>
                <w:color w:val="auto"/>
                <w:lang w:val="zh-CN"/>
              </w:rPr>
              <w:t>距声源</w:t>
            </w:r>
            <w:r>
              <w:rPr>
                <w:color w:val="auto"/>
              </w:rPr>
              <w:t>r</w:t>
            </w:r>
            <w:r>
              <w:rPr>
                <w:color w:val="auto"/>
                <w:lang w:val="zh-CN"/>
              </w:rPr>
              <w:t>处的</w:t>
            </w:r>
            <w:r>
              <w:rPr>
                <w:color w:val="auto"/>
              </w:rPr>
              <w:t>A</w:t>
            </w:r>
            <w:r>
              <w:rPr>
                <w:color w:val="auto"/>
                <w:lang w:val="zh-CN"/>
              </w:rPr>
              <w:t>声级</w:t>
            </w:r>
            <w:r>
              <w:rPr>
                <w:color w:val="auto"/>
              </w:rPr>
              <w:t>，dB(A)；</w:t>
            </w:r>
          </w:p>
          <w:p w14:paraId="4281E7A5">
            <w:pPr>
              <w:spacing w:line="360" w:lineRule="auto"/>
              <w:ind w:firstLine="480" w:firstLineChars="200"/>
              <w:rPr>
                <w:color w:val="auto"/>
              </w:rPr>
            </w:pPr>
            <w:r>
              <w:rPr>
                <w:color w:val="auto"/>
              </w:rPr>
              <w:t>L</w:t>
            </w:r>
            <w:r>
              <w:rPr>
                <w:color w:val="auto"/>
                <w:vertAlign w:val="subscript"/>
              </w:rPr>
              <w:t>A</w:t>
            </w:r>
            <w:r>
              <w:rPr>
                <w:color w:val="auto"/>
              </w:rPr>
              <w:t>(r</w:t>
            </w:r>
            <w:r>
              <w:rPr>
                <w:color w:val="auto"/>
                <w:vertAlign w:val="subscript"/>
              </w:rPr>
              <w:t>0</w:t>
            </w:r>
            <w:r>
              <w:rPr>
                <w:color w:val="auto"/>
              </w:rPr>
              <w:t>)——</w:t>
            </w:r>
            <w:r>
              <w:rPr>
                <w:color w:val="auto"/>
                <w:lang w:val="zh-CN"/>
              </w:rPr>
              <w:t>参考位置</w:t>
            </w:r>
            <w:r>
              <w:rPr>
                <w:color w:val="auto"/>
              </w:rPr>
              <w:t>r</w:t>
            </w:r>
            <w:r>
              <w:rPr>
                <w:color w:val="auto"/>
                <w:vertAlign w:val="subscript"/>
              </w:rPr>
              <w:t>0</w:t>
            </w:r>
            <w:r>
              <w:rPr>
                <w:color w:val="auto"/>
                <w:lang w:val="zh-CN"/>
              </w:rPr>
              <w:t>处的</w:t>
            </w:r>
            <w:r>
              <w:rPr>
                <w:color w:val="auto"/>
              </w:rPr>
              <w:t>A</w:t>
            </w:r>
            <w:r>
              <w:rPr>
                <w:color w:val="auto"/>
                <w:lang w:val="zh-CN"/>
              </w:rPr>
              <w:t>声级</w:t>
            </w:r>
            <w:r>
              <w:rPr>
                <w:color w:val="auto"/>
              </w:rPr>
              <w:t>，dB(A)；</w:t>
            </w:r>
          </w:p>
          <w:p w14:paraId="2DF08082">
            <w:pPr>
              <w:spacing w:line="360" w:lineRule="auto"/>
              <w:ind w:firstLine="480" w:firstLineChars="200"/>
              <w:rPr>
                <w:color w:val="auto"/>
                <w:lang w:val="zh-CN"/>
              </w:rPr>
            </w:pPr>
            <w:r>
              <w:rPr>
                <w:color w:val="auto"/>
                <w:lang w:val="zh-CN"/>
              </w:rPr>
              <w:t>A</w:t>
            </w:r>
            <w:r>
              <w:rPr>
                <w:color w:val="auto"/>
                <w:vertAlign w:val="subscript"/>
                <w:lang w:val="zh-CN"/>
              </w:rPr>
              <w:t>div</w:t>
            </w:r>
            <w:r>
              <w:rPr>
                <w:color w:val="auto"/>
                <w:lang w:val="zh-CN"/>
              </w:rPr>
              <w:t>——几何发散引起的衰减，dB。</w:t>
            </w:r>
          </w:p>
          <w:p w14:paraId="6ECF6421">
            <w:pPr>
              <w:spacing w:line="360" w:lineRule="auto"/>
              <w:ind w:firstLine="480" w:firstLineChars="200"/>
              <w:rPr>
                <w:color w:val="auto"/>
                <w:lang w:val="zh-CN"/>
              </w:rPr>
            </w:pPr>
            <w:r>
              <w:rPr>
                <w:color w:val="auto"/>
                <w:lang w:val="zh-CN"/>
              </w:rPr>
              <w:t>其中无指向性点声源几何发散衰减的基本公式是：</w:t>
            </w:r>
          </w:p>
          <w:p w14:paraId="73C4C645">
            <w:pPr>
              <w:spacing w:line="360" w:lineRule="auto"/>
              <w:jc w:val="center"/>
              <w:rPr>
                <w:color w:val="auto"/>
                <w:lang w:val="zh-CN"/>
              </w:rPr>
            </w:pPr>
            <w:r>
              <w:rPr>
                <w:color w:val="auto"/>
                <w:lang w:val="zh-CN"/>
              </w:rPr>
              <w:drawing>
                <wp:inline distT="0" distB="0" distL="114300" distR="114300">
                  <wp:extent cx="1666875" cy="255905"/>
                  <wp:effectExtent l="0" t="0" r="9525" b="1079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20"/>
                          <a:stretch>
                            <a:fillRect/>
                          </a:stretch>
                        </pic:blipFill>
                        <pic:spPr>
                          <a:xfrm>
                            <a:off x="0" y="0"/>
                            <a:ext cx="1666875" cy="255905"/>
                          </a:xfrm>
                          <a:prstGeom prst="rect">
                            <a:avLst/>
                          </a:prstGeom>
                          <a:noFill/>
                          <a:ln>
                            <a:noFill/>
                          </a:ln>
                        </pic:spPr>
                      </pic:pic>
                    </a:graphicData>
                  </a:graphic>
                </wp:inline>
              </w:drawing>
            </w:r>
          </w:p>
          <w:p w14:paraId="2ED95522">
            <w:pPr>
              <w:spacing w:line="360" w:lineRule="auto"/>
              <w:ind w:firstLine="480" w:firstLineChars="200"/>
              <w:rPr>
                <w:color w:val="auto"/>
                <w:lang w:val="zh-CN"/>
              </w:rPr>
            </w:pPr>
            <w:r>
              <w:rPr>
                <w:color w:val="auto"/>
                <w:lang w:val="zh-CN"/>
              </w:rPr>
              <w:t>式中：L</w:t>
            </w:r>
            <w:r>
              <w:rPr>
                <w:color w:val="auto"/>
                <w:vertAlign w:val="subscript"/>
                <w:lang w:val="zh-CN"/>
              </w:rPr>
              <w:t>p</w:t>
            </w:r>
            <w:r>
              <w:rPr>
                <w:color w:val="auto"/>
                <w:lang w:val="zh-CN"/>
              </w:rPr>
              <w:t>(r)——预测点处声压级，dB；</w:t>
            </w:r>
          </w:p>
          <w:p w14:paraId="163648DA">
            <w:pPr>
              <w:spacing w:line="360" w:lineRule="auto"/>
              <w:ind w:firstLine="480" w:firstLineChars="200"/>
              <w:rPr>
                <w:color w:val="auto"/>
                <w:lang w:val="zh-CN"/>
              </w:rPr>
            </w:pPr>
            <w:r>
              <w:rPr>
                <w:color w:val="auto"/>
                <w:lang w:val="zh-CN"/>
              </w:rPr>
              <w:t>L</w:t>
            </w:r>
            <w:r>
              <w:rPr>
                <w:color w:val="auto"/>
                <w:vertAlign w:val="subscript"/>
                <w:lang w:val="zh-CN"/>
              </w:rPr>
              <w:t>p</w:t>
            </w:r>
            <w:r>
              <w:rPr>
                <w:color w:val="auto"/>
                <w:lang w:val="zh-CN"/>
              </w:rPr>
              <w:t>(r</w:t>
            </w:r>
            <w:r>
              <w:rPr>
                <w:color w:val="auto"/>
                <w:vertAlign w:val="subscript"/>
                <w:lang w:val="zh-CN"/>
              </w:rPr>
              <w:t>0</w:t>
            </w:r>
            <w:r>
              <w:rPr>
                <w:color w:val="auto"/>
                <w:lang w:val="zh-CN"/>
              </w:rPr>
              <w:t>)——参考位置r</w:t>
            </w:r>
            <w:r>
              <w:rPr>
                <w:color w:val="auto"/>
                <w:vertAlign w:val="subscript"/>
                <w:lang w:val="zh-CN"/>
              </w:rPr>
              <w:t>0</w:t>
            </w:r>
            <w:r>
              <w:rPr>
                <w:color w:val="auto"/>
                <w:lang w:val="zh-CN"/>
              </w:rPr>
              <w:t>处的声压级，dB；</w:t>
            </w:r>
          </w:p>
          <w:p w14:paraId="2DBA62E4">
            <w:pPr>
              <w:spacing w:line="360" w:lineRule="auto"/>
              <w:ind w:firstLine="480" w:firstLineChars="200"/>
              <w:rPr>
                <w:color w:val="auto"/>
                <w:lang w:val="zh-CN"/>
              </w:rPr>
            </w:pPr>
            <w:r>
              <w:rPr>
                <w:color w:val="auto"/>
                <w:lang w:val="zh-CN"/>
              </w:rPr>
              <w:t>r——预测点距声源的距离；</w:t>
            </w:r>
          </w:p>
          <w:p w14:paraId="756A610D">
            <w:pPr>
              <w:spacing w:line="360" w:lineRule="auto"/>
              <w:ind w:firstLine="480" w:firstLineChars="200"/>
              <w:rPr>
                <w:rFonts w:cs="Times New Roman"/>
                <w:color w:val="auto"/>
                <w:sz w:val="24"/>
                <w:szCs w:val="24"/>
              </w:rPr>
            </w:pPr>
            <w:r>
              <w:rPr>
                <w:rFonts w:cs="Times New Roman"/>
                <w:color w:val="auto"/>
                <w:sz w:val="24"/>
                <w:lang w:val="zh-CN"/>
              </w:rPr>
              <w:t>r</w:t>
            </w:r>
            <w:r>
              <w:rPr>
                <w:rFonts w:cs="Times New Roman"/>
                <w:color w:val="auto"/>
                <w:sz w:val="24"/>
                <w:vertAlign w:val="subscript"/>
                <w:lang w:val="zh-CN"/>
              </w:rPr>
              <w:t>0</w:t>
            </w:r>
            <w:r>
              <w:rPr>
                <w:rFonts w:cs="Times New Roman"/>
                <w:color w:val="auto"/>
                <w:sz w:val="24"/>
                <w:lang w:val="zh-CN"/>
              </w:rPr>
              <w:t>——参考位置距声源的距离。</w:t>
            </w:r>
          </w:p>
          <w:p w14:paraId="5C82B061">
            <w:pPr>
              <w:spacing w:line="360" w:lineRule="auto"/>
              <w:ind w:firstLine="480" w:firstLineChars="200"/>
              <w:rPr>
                <w:color w:val="auto"/>
                <w:lang w:val="zh-CN"/>
              </w:rPr>
            </w:pPr>
            <w:r>
              <w:rPr>
                <w:color w:val="auto"/>
              </w:rPr>
              <w:t>2）</w:t>
            </w:r>
            <w:r>
              <w:rPr>
                <w:color w:val="auto"/>
                <w:lang w:val="zh-CN"/>
              </w:rPr>
              <w:t>室内声源</w:t>
            </w:r>
          </w:p>
          <w:p w14:paraId="5FEE345C">
            <w:pPr>
              <w:spacing w:line="360" w:lineRule="auto"/>
              <w:ind w:firstLine="480" w:firstLineChars="200"/>
              <w:rPr>
                <w:color w:val="auto"/>
                <w:lang w:val="zh-CN"/>
              </w:rPr>
            </w:pPr>
            <w:r>
              <w:rPr>
                <w:color w:val="auto"/>
                <w:lang w:val="zh-CN"/>
              </w:rPr>
              <w:t>根据项目噪声源的特点及分布情况，采用HJ2.4-</w:t>
            </w:r>
            <w:r>
              <w:rPr>
                <w:color w:val="auto"/>
              </w:rPr>
              <w:t>2021</w:t>
            </w:r>
            <w:r>
              <w:rPr>
                <w:color w:val="auto"/>
                <w:lang w:val="zh-CN"/>
              </w:rPr>
              <w:t>《环境影响评价技术导则 声环境》附录</w:t>
            </w:r>
            <w:r>
              <w:rPr>
                <w:color w:val="auto"/>
              </w:rPr>
              <w:t>B</w:t>
            </w:r>
            <w:r>
              <w:rPr>
                <w:color w:val="auto"/>
                <w:lang w:val="zh-CN"/>
              </w:rPr>
              <w:t>中室内声源等效室外声功率级计算方法对项目场界噪声进行预测。</w:t>
            </w:r>
          </w:p>
          <w:p w14:paraId="33083353">
            <w:pPr>
              <w:spacing w:line="360" w:lineRule="auto"/>
              <w:ind w:firstLine="480" w:firstLineChars="200"/>
              <w:rPr>
                <w:color w:val="auto"/>
                <w:lang w:val="zh-CN"/>
              </w:rPr>
            </w:pPr>
            <w:r>
              <w:rPr>
                <w:color w:val="auto"/>
                <w:lang w:val="zh-CN"/>
              </w:rPr>
              <w:t>声源</w:t>
            </w:r>
            <w:r>
              <w:rPr>
                <w:color w:val="auto"/>
              </w:rPr>
              <w:t>均</w:t>
            </w:r>
            <w:r>
              <w:rPr>
                <w:color w:val="auto"/>
                <w:lang w:val="zh-CN"/>
              </w:rPr>
              <w:t>位于室内，室内声源可采用等效室外声源声功率级法进行计算。设靠近开口处（或窗户）室内、室外某倍频带的声压级或A声级分别为L</w:t>
            </w:r>
            <w:r>
              <w:rPr>
                <w:color w:val="auto"/>
                <w:vertAlign w:val="subscript"/>
                <w:lang w:val="zh-CN"/>
              </w:rPr>
              <w:t>p1</w:t>
            </w:r>
            <w:r>
              <w:rPr>
                <w:color w:val="auto"/>
                <w:lang w:val="zh-CN"/>
              </w:rPr>
              <w:t>和L</w:t>
            </w:r>
            <w:r>
              <w:rPr>
                <w:color w:val="auto"/>
                <w:vertAlign w:val="subscript"/>
                <w:lang w:val="zh-CN"/>
              </w:rPr>
              <w:t>p2</w:t>
            </w:r>
            <w:r>
              <w:rPr>
                <w:color w:val="auto"/>
                <w:lang w:val="zh-CN"/>
              </w:rPr>
              <w:t>。若声源所在室内声场为近似扩散声场，则室外的倍频带声压级可按下式近似求出：</w:t>
            </w:r>
          </w:p>
          <w:p w14:paraId="3683BC86">
            <w:pPr>
              <w:spacing w:line="360" w:lineRule="auto"/>
              <w:jc w:val="center"/>
              <w:rPr>
                <w:color w:val="auto"/>
              </w:rPr>
            </w:pPr>
            <w:r>
              <w:rPr>
                <w:color w:val="auto"/>
                <w:lang w:val="zh-CN"/>
              </w:rPr>
              <w:t>L</w:t>
            </w:r>
            <w:r>
              <w:rPr>
                <w:color w:val="auto"/>
                <w:vertAlign w:val="subscript"/>
              </w:rPr>
              <w:t>p2</w:t>
            </w:r>
            <w:r>
              <w:rPr>
                <w:color w:val="auto"/>
                <w:lang w:val="zh-CN"/>
              </w:rPr>
              <w:t>＝L</w:t>
            </w:r>
            <w:r>
              <w:rPr>
                <w:color w:val="auto"/>
                <w:vertAlign w:val="subscript"/>
              </w:rPr>
              <w:t>p1</w:t>
            </w:r>
            <w:r>
              <w:rPr>
                <w:color w:val="auto"/>
                <w:lang w:val="zh-CN"/>
              </w:rPr>
              <w:t>－</w:t>
            </w:r>
            <w:r>
              <w:rPr>
                <w:color w:val="auto"/>
              </w:rPr>
              <w:t>(TL+6)</w:t>
            </w:r>
          </w:p>
          <w:p w14:paraId="3C992A2B">
            <w:pPr>
              <w:spacing w:line="360" w:lineRule="auto"/>
              <w:ind w:firstLine="480" w:firstLineChars="200"/>
              <w:rPr>
                <w:color w:val="auto"/>
                <w:lang w:val="zh-CN"/>
              </w:rPr>
            </w:pPr>
            <w:r>
              <w:rPr>
                <w:color w:val="auto"/>
                <w:lang w:val="zh-CN"/>
              </w:rPr>
              <w:t>式中：L</w:t>
            </w:r>
            <w:r>
              <w:rPr>
                <w:color w:val="auto"/>
                <w:vertAlign w:val="subscript"/>
                <w:lang w:val="zh-CN"/>
              </w:rPr>
              <w:t>p1</w:t>
            </w:r>
            <w:r>
              <w:rPr>
                <w:color w:val="auto"/>
                <w:lang w:val="zh-CN"/>
              </w:rPr>
              <w:t>——靠近开口处（或窗户）室内某倍频带的声压级或A声级dB；</w:t>
            </w:r>
          </w:p>
          <w:p w14:paraId="505D4DDC">
            <w:pPr>
              <w:spacing w:line="360" w:lineRule="auto"/>
              <w:ind w:firstLine="480" w:firstLineChars="200"/>
              <w:rPr>
                <w:color w:val="auto"/>
                <w:lang w:val="zh-CN"/>
              </w:rPr>
            </w:pPr>
            <w:r>
              <w:rPr>
                <w:color w:val="auto"/>
                <w:lang w:val="zh-CN"/>
              </w:rPr>
              <w:t>L</w:t>
            </w:r>
            <w:r>
              <w:rPr>
                <w:color w:val="auto"/>
                <w:vertAlign w:val="subscript"/>
                <w:lang w:val="zh-CN"/>
              </w:rPr>
              <w:t>p2</w:t>
            </w:r>
            <w:r>
              <w:rPr>
                <w:color w:val="auto"/>
                <w:lang w:val="zh-CN"/>
              </w:rPr>
              <w:t>——靠近开口处（或窗户）室外某倍频带的声压级或A声级dB；</w:t>
            </w:r>
          </w:p>
          <w:p w14:paraId="0CBE582C">
            <w:pPr>
              <w:spacing w:line="360" w:lineRule="auto"/>
              <w:ind w:firstLine="480" w:firstLineChars="200"/>
              <w:rPr>
                <w:color w:val="auto"/>
              </w:rPr>
            </w:pPr>
            <w:r>
              <w:rPr>
                <w:color w:val="auto"/>
                <w:lang w:val="zh-CN"/>
              </w:rPr>
              <w:t>TL——隔墙（或窗户）倍频带或A声级的隔声量，dB</w:t>
            </w:r>
            <w:r>
              <w:rPr>
                <w:color w:val="auto"/>
              </w:rPr>
              <w:t>。</w:t>
            </w:r>
          </w:p>
          <w:p w14:paraId="69936639">
            <w:pPr>
              <w:spacing w:line="360" w:lineRule="auto"/>
              <w:ind w:firstLine="480" w:firstLineChars="200"/>
              <w:rPr>
                <w:color w:val="auto"/>
              </w:rPr>
            </w:pPr>
            <w:r>
              <w:rPr>
                <w:color w:val="auto"/>
              </w:rPr>
              <w:t>（3）</w:t>
            </w:r>
            <w:r>
              <w:rPr>
                <w:rFonts w:hint="eastAsia"/>
                <w:color w:val="auto"/>
              </w:rPr>
              <w:t>噪声预测结果</w:t>
            </w:r>
          </w:p>
          <w:p w14:paraId="234DC36D">
            <w:pPr>
              <w:spacing w:line="360" w:lineRule="auto"/>
              <w:ind w:firstLine="480" w:firstLineChars="200"/>
              <w:rPr>
                <w:color w:val="auto"/>
              </w:rPr>
            </w:pPr>
            <w:r>
              <w:rPr>
                <w:rFonts w:hint="eastAsia"/>
                <w:color w:val="auto"/>
              </w:rPr>
              <w:t>改扩建后项目钻井工程无新增设备，钻井工程作业时主要设备分布于项目场地中部，通过减震安装、衬弹性垫料措施以及声源距离项目厂界间空气衰减作用，声级可下降10～15dB（A），声环境影响分析预测结果如下表所示。</w:t>
            </w:r>
          </w:p>
          <w:p w14:paraId="4A64C983">
            <w:pPr>
              <w:spacing w:line="360" w:lineRule="auto"/>
              <w:jc w:val="center"/>
              <w:rPr>
                <w:b/>
                <w:bCs/>
                <w:color w:val="auto"/>
              </w:rPr>
            </w:pPr>
            <w:r>
              <w:rPr>
                <w:b/>
                <w:bCs/>
                <w:color w:val="auto"/>
              </w:rPr>
              <w:t>表</w:t>
            </w:r>
            <w:r>
              <w:rPr>
                <w:rFonts w:hint="eastAsia"/>
                <w:b/>
                <w:bCs/>
                <w:color w:val="auto"/>
              </w:rPr>
              <w:t xml:space="preserve">4-9 </w:t>
            </w:r>
            <w:r>
              <w:rPr>
                <w:b/>
                <w:bCs/>
                <w:color w:val="auto"/>
              </w:rPr>
              <w:t xml:space="preserve">厂界噪声预测结果表  </w:t>
            </w:r>
            <w:r>
              <w:rPr>
                <w:rFonts w:hint="eastAsia"/>
                <w:b/>
                <w:bCs/>
                <w:color w:val="auto"/>
              </w:rPr>
              <w:t>单位：</w:t>
            </w:r>
            <w:r>
              <w:rPr>
                <w:b/>
                <w:bCs/>
                <w:color w:val="auto"/>
              </w:rPr>
              <w:t>dB（A）</w:t>
            </w:r>
          </w:p>
          <w:tbl>
            <w:tblPr>
              <w:tblStyle w:val="19"/>
              <w:tblpPr w:leftFromText="181" w:rightFromText="181" w:vertAnchor="text" w:tblpXSpec="center" w:tblpY="1"/>
              <w:tblOverlap w:val="never"/>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512"/>
              <w:gridCol w:w="1672"/>
              <w:gridCol w:w="1478"/>
              <w:gridCol w:w="1469"/>
              <w:gridCol w:w="1283"/>
            </w:tblGrid>
            <w:tr w14:paraId="37684C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7C7A73D8">
                  <w:pPr>
                    <w:jc w:val="center"/>
                    <w:rPr>
                      <w:b/>
                      <w:bCs/>
                      <w:color w:val="auto"/>
                      <w:sz w:val="21"/>
                      <w:szCs w:val="21"/>
                    </w:rPr>
                  </w:pPr>
                  <w:r>
                    <w:rPr>
                      <w:b/>
                      <w:bCs/>
                      <w:color w:val="auto"/>
                      <w:sz w:val="21"/>
                      <w:szCs w:val="21"/>
                    </w:rPr>
                    <w:t>序号</w:t>
                  </w:r>
                </w:p>
              </w:tc>
              <w:tc>
                <w:tcPr>
                  <w:tcW w:w="889" w:type="pct"/>
                  <w:tcBorders>
                    <w:tl2br w:val="nil"/>
                    <w:tr2bl w:val="nil"/>
                  </w:tcBorders>
                  <w:vAlign w:val="center"/>
                </w:tcPr>
                <w:p w14:paraId="753DEB44">
                  <w:pPr>
                    <w:jc w:val="center"/>
                    <w:rPr>
                      <w:b/>
                      <w:bCs/>
                      <w:color w:val="auto"/>
                      <w:sz w:val="21"/>
                      <w:szCs w:val="21"/>
                    </w:rPr>
                  </w:pPr>
                  <w:r>
                    <w:rPr>
                      <w:b/>
                      <w:bCs/>
                      <w:color w:val="auto"/>
                      <w:sz w:val="21"/>
                      <w:szCs w:val="21"/>
                    </w:rPr>
                    <w:t>预测点</w:t>
                  </w:r>
                </w:p>
              </w:tc>
              <w:tc>
                <w:tcPr>
                  <w:tcW w:w="983" w:type="pct"/>
                  <w:tcBorders>
                    <w:tl2br w:val="nil"/>
                    <w:tr2bl w:val="nil"/>
                  </w:tcBorders>
                  <w:vAlign w:val="center"/>
                </w:tcPr>
                <w:p w14:paraId="0B773893">
                  <w:pPr>
                    <w:jc w:val="center"/>
                    <w:rPr>
                      <w:b/>
                      <w:bCs/>
                      <w:color w:val="auto"/>
                      <w:sz w:val="21"/>
                      <w:szCs w:val="21"/>
                    </w:rPr>
                  </w:pPr>
                  <w:r>
                    <w:rPr>
                      <w:b/>
                      <w:bCs/>
                      <w:color w:val="auto"/>
                      <w:sz w:val="21"/>
                      <w:szCs w:val="21"/>
                    </w:rPr>
                    <w:t>预测时段</w:t>
                  </w:r>
                </w:p>
              </w:tc>
              <w:tc>
                <w:tcPr>
                  <w:tcW w:w="869" w:type="pct"/>
                  <w:tcBorders>
                    <w:tl2br w:val="nil"/>
                    <w:tr2bl w:val="nil"/>
                  </w:tcBorders>
                  <w:vAlign w:val="center"/>
                </w:tcPr>
                <w:p w14:paraId="14974B96">
                  <w:pPr>
                    <w:jc w:val="center"/>
                    <w:rPr>
                      <w:b/>
                      <w:bCs/>
                      <w:color w:val="auto"/>
                      <w:sz w:val="21"/>
                      <w:szCs w:val="21"/>
                    </w:rPr>
                  </w:pPr>
                  <w:r>
                    <w:rPr>
                      <w:b/>
                      <w:bCs/>
                      <w:color w:val="auto"/>
                      <w:sz w:val="21"/>
                      <w:szCs w:val="21"/>
                    </w:rPr>
                    <w:t>贡献值</w:t>
                  </w:r>
                </w:p>
              </w:tc>
              <w:tc>
                <w:tcPr>
                  <w:tcW w:w="864" w:type="pct"/>
                  <w:tcBorders>
                    <w:tl2br w:val="nil"/>
                    <w:tr2bl w:val="nil"/>
                  </w:tcBorders>
                  <w:vAlign w:val="center"/>
                </w:tcPr>
                <w:p w14:paraId="3ADDE0A0">
                  <w:pPr>
                    <w:jc w:val="center"/>
                    <w:rPr>
                      <w:b/>
                      <w:bCs/>
                      <w:color w:val="auto"/>
                      <w:sz w:val="21"/>
                      <w:szCs w:val="21"/>
                    </w:rPr>
                  </w:pPr>
                  <w:r>
                    <w:rPr>
                      <w:b/>
                      <w:bCs/>
                      <w:color w:val="auto"/>
                      <w:sz w:val="21"/>
                      <w:szCs w:val="21"/>
                    </w:rPr>
                    <w:t>超标值</w:t>
                  </w:r>
                </w:p>
              </w:tc>
              <w:tc>
                <w:tcPr>
                  <w:tcW w:w="754" w:type="pct"/>
                  <w:tcBorders>
                    <w:tl2br w:val="nil"/>
                    <w:tr2bl w:val="nil"/>
                  </w:tcBorders>
                  <w:vAlign w:val="center"/>
                </w:tcPr>
                <w:p w14:paraId="54D5174F">
                  <w:pPr>
                    <w:jc w:val="center"/>
                    <w:rPr>
                      <w:b/>
                      <w:bCs/>
                      <w:color w:val="auto"/>
                      <w:sz w:val="21"/>
                      <w:szCs w:val="21"/>
                    </w:rPr>
                  </w:pPr>
                  <w:r>
                    <w:rPr>
                      <w:b/>
                      <w:bCs/>
                      <w:color w:val="auto"/>
                      <w:sz w:val="21"/>
                      <w:szCs w:val="21"/>
                    </w:rPr>
                    <w:t>标准</w:t>
                  </w:r>
                </w:p>
              </w:tc>
            </w:tr>
            <w:tr w14:paraId="01D98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6A4F7CC5">
                  <w:pPr>
                    <w:jc w:val="center"/>
                    <w:rPr>
                      <w:color w:val="auto"/>
                      <w:sz w:val="21"/>
                      <w:szCs w:val="21"/>
                    </w:rPr>
                  </w:pPr>
                  <w:r>
                    <w:rPr>
                      <w:color w:val="auto"/>
                      <w:sz w:val="21"/>
                      <w:szCs w:val="21"/>
                    </w:rPr>
                    <w:t>1</w:t>
                  </w:r>
                </w:p>
              </w:tc>
              <w:tc>
                <w:tcPr>
                  <w:tcW w:w="889" w:type="pct"/>
                  <w:vMerge w:val="restart"/>
                  <w:tcBorders>
                    <w:tl2br w:val="nil"/>
                    <w:tr2bl w:val="nil"/>
                  </w:tcBorders>
                  <w:vAlign w:val="center"/>
                </w:tcPr>
                <w:p w14:paraId="08BED647">
                  <w:pPr>
                    <w:jc w:val="center"/>
                    <w:rPr>
                      <w:color w:val="auto"/>
                      <w:sz w:val="21"/>
                      <w:szCs w:val="21"/>
                    </w:rPr>
                  </w:pPr>
                  <w:r>
                    <w:rPr>
                      <w:color w:val="auto"/>
                      <w:sz w:val="21"/>
                      <w:szCs w:val="21"/>
                    </w:rPr>
                    <w:t>1#</w:t>
                  </w:r>
                  <w:r>
                    <w:rPr>
                      <w:rFonts w:hint="eastAsia"/>
                      <w:color w:val="auto"/>
                      <w:sz w:val="21"/>
                      <w:szCs w:val="21"/>
                    </w:rPr>
                    <w:t>厂界</w:t>
                  </w:r>
                  <w:r>
                    <w:rPr>
                      <w:color w:val="auto"/>
                      <w:sz w:val="21"/>
                      <w:szCs w:val="21"/>
                    </w:rPr>
                    <w:t>东面</w:t>
                  </w:r>
                </w:p>
              </w:tc>
              <w:tc>
                <w:tcPr>
                  <w:tcW w:w="983" w:type="pct"/>
                  <w:tcBorders>
                    <w:tl2br w:val="nil"/>
                    <w:tr2bl w:val="nil"/>
                  </w:tcBorders>
                  <w:vAlign w:val="center"/>
                </w:tcPr>
                <w:p w14:paraId="10B4C0CD">
                  <w:pPr>
                    <w:jc w:val="center"/>
                    <w:rPr>
                      <w:color w:val="auto"/>
                      <w:sz w:val="21"/>
                      <w:szCs w:val="21"/>
                    </w:rPr>
                  </w:pPr>
                  <w:r>
                    <w:rPr>
                      <w:color w:val="auto"/>
                      <w:sz w:val="21"/>
                      <w:szCs w:val="21"/>
                    </w:rPr>
                    <w:t>昼间</w:t>
                  </w:r>
                </w:p>
              </w:tc>
              <w:tc>
                <w:tcPr>
                  <w:tcW w:w="869" w:type="pct"/>
                  <w:tcBorders>
                    <w:tl2br w:val="nil"/>
                    <w:tr2bl w:val="nil"/>
                  </w:tcBorders>
                  <w:vAlign w:val="center"/>
                </w:tcPr>
                <w:p w14:paraId="6C57A535">
                  <w:pPr>
                    <w:jc w:val="center"/>
                    <w:rPr>
                      <w:color w:val="auto"/>
                      <w:sz w:val="21"/>
                      <w:szCs w:val="21"/>
                    </w:rPr>
                  </w:pPr>
                  <w:r>
                    <w:rPr>
                      <w:rFonts w:hint="eastAsia"/>
                      <w:color w:val="auto"/>
                      <w:sz w:val="21"/>
                      <w:szCs w:val="21"/>
                    </w:rPr>
                    <w:t>24.35</w:t>
                  </w:r>
                </w:p>
              </w:tc>
              <w:tc>
                <w:tcPr>
                  <w:tcW w:w="864" w:type="pct"/>
                  <w:tcBorders>
                    <w:tl2br w:val="nil"/>
                    <w:tr2bl w:val="nil"/>
                  </w:tcBorders>
                  <w:vAlign w:val="center"/>
                </w:tcPr>
                <w:p w14:paraId="75814A43">
                  <w:pPr>
                    <w:jc w:val="center"/>
                    <w:rPr>
                      <w:color w:val="auto"/>
                      <w:sz w:val="21"/>
                      <w:szCs w:val="21"/>
                    </w:rPr>
                  </w:pPr>
                  <w:r>
                    <w:rPr>
                      <w:color w:val="auto"/>
                      <w:sz w:val="21"/>
                      <w:szCs w:val="21"/>
                    </w:rPr>
                    <w:t>0</w:t>
                  </w:r>
                </w:p>
              </w:tc>
              <w:tc>
                <w:tcPr>
                  <w:tcW w:w="754" w:type="pct"/>
                  <w:tcBorders>
                    <w:tl2br w:val="nil"/>
                    <w:tr2bl w:val="nil"/>
                  </w:tcBorders>
                  <w:vAlign w:val="center"/>
                </w:tcPr>
                <w:p w14:paraId="7EB712D2">
                  <w:pPr>
                    <w:jc w:val="center"/>
                    <w:rPr>
                      <w:color w:val="auto"/>
                      <w:sz w:val="21"/>
                      <w:szCs w:val="21"/>
                    </w:rPr>
                  </w:pPr>
                  <w:r>
                    <w:rPr>
                      <w:rFonts w:hint="eastAsia"/>
                      <w:color w:val="auto"/>
                      <w:sz w:val="21"/>
                      <w:szCs w:val="21"/>
                    </w:rPr>
                    <w:t>55</w:t>
                  </w:r>
                </w:p>
              </w:tc>
            </w:tr>
            <w:tr w14:paraId="733C15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65CEE21C">
                  <w:pPr>
                    <w:jc w:val="center"/>
                    <w:rPr>
                      <w:color w:val="auto"/>
                      <w:sz w:val="21"/>
                      <w:szCs w:val="21"/>
                    </w:rPr>
                  </w:pPr>
                </w:p>
              </w:tc>
              <w:tc>
                <w:tcPr>
                  <w:tcW w:w="889" w:type="pct"/>
                  <w:vMerge w:val="continue"/>
                  <w:tcBorders>
                    <w:tl2br w:val="nil"/>
                    <w:tr2bl w:val="nil"/>
                  </w:tcBorders>
                  <w:vAlign w:val="center"/>
                </w:tcPr>
                <w:p w14:paraId="23CE46ED">
                  <w:pPr>
                    <w:jc w:val="center"/>
                    <w:rPr>
                      <w:color w:val="auto"/>
                      <w:sz w:val="21"/>
                      <w:szCs w:val="21"/>
                    </w:rPr>
                  </w:pPr>
                </w:p>
              </w:tc>
              <w:tc>
                <w:tcPr>
                  <w:tcW w:w="983" w:type="pct"/>
                  <w:tcBorders>
                    <w:tl2br w:val="nil"/>
                    <w:tr2bl w:val="nil"/>
                  </w:tcBorders>
                  <w:vAlign w:val="center"/>
                </w:tcPr>
                <w:p w14:paraId="45F451E8">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6EF17751">
                  <w:pPr>
                    <w:jc w:val="center"/>
                    <w:rPr>
                      <w:color w:val="auto"/>
                      <w:sz w:val="21"/>
                      <w:szCs w:val="21"/>
                    </w:rPr>
                  </w:pPr>
                  <w:r>
                    <w:rPr>
                      <w:rFonts w:hint="eastAsia"/>
                      <w:color w:val="auto"/>
                      <w:sz w:val="21"/>
                      <w:szCs w:val="21"/>
                    </w:rPr>
                    <w:t>24.35</w:t>
                  </w:r>
                </w:p>
              </w:tc>
              <w:tc>
                <w:tcPr>
                  <w:tcW w:w="864" w:type="pct"/>
                  <w:tcBorders>
                    <w:tl2br w:val="nil"/>
                    <w:tr2bl w:val="nil"/>
                  </w:tcBorders>
                  <w:vAlign w:val="center"/>
                </w:tcPr>
                <w:p w14:paraId="76CC8834">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00582F41">
                  <w:pPr>
                    <w:jc w:val="center"/>
                    <w:rPr>
                      <w:color w:val="auto"/>
                      <w:sz w:val="21"/>
                      <w:szCs w:val="21"/>
                    </w:rPr>
                  </w:pPr>
                  <w:r>
                    <w:rPr>
                      <w:rFonts w:hint="eastAsia"/>
                      <w:color w:val="auto"/>
                      <w:sz w:val="21"/>
                      <w:szCs w:val="21"/>
                    </w:rPr>
                    <w:t>45</w:t>
                  </w:r>
                </w:p>
              </w:tc>
            </w:tr>
            <w:tr w14:paraId="03FA70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391C79CD">
                  <w:pPr>
                    <w:jc w:val="center"/>
                    <w:rPr>
                      <w:color w:val="auto"/>
                      <w:sz w:val="21"/>
                      <w:szCs w:val="21"/>
                    </w:rPr>
                  </w:pPr>
                  <w:r>
                    <w:rPr>
                      <w:color w:val="auto"/>
                      <w:sz w:val="21"/>
                      <w:szCs w:val="21"/>
                    </w:rPr>
                    <w:t>2</w:t>
                  </w:r>
                </w:p>
              </w:tc>
              <w:tc>
                <w:tcPr>
                  <w:tcW w:w="889" w:type="pct"/>
                  <w:vMerge w:val="restart"/>
                  <w:tcBorders>
                    <w:tl2br w:val="nil"/>
                    <w:tr2bl w:val="nil"/>
                  </w:tcBorders>
                  <w:vAlign w:val="center"/>
                </w:tcPr>
                <w:p w14:paraId="44763B0D">
                  <w:pPr>
                    <w:jc w:val="center"/>
                    <w:rPr>
                      <w:color w:val="auto"/>
                      <w:sz w:val="21"/>
                      <w:szCs w:val="21"/>
                    </w:rPr>
                  </w:pPr>
                  <w:r>
                    <w:rPr>
                      <w:color w:val="auto"/>
                      <w:sz w:val="21"/>
                      <w:szCs w:val="21"/>
                    </w:rPr>
                    <w:t>2#</w:t>
                  </w:r>
                  <w:r>
                    <w:rPr>
                      <w:rFonts w:hint="eastAsia"/>
                      <w:color w:val="auto"/>
                      <w:sz w:val="21"/>
                      <w:szCs w:val="21"/>
                    </w:rPr>
                    <w:t>厂界</w:t>
                  </w:r>
                  <w:r>
                    <w:rPr>
                      <w:color w:val="auto"/>
                      <w:sz w:val="21"/>
                      <w:szCs w:val="21"/>
                    </w:rPr>
                    <w:t>南面</w:t>
                  </w:r>
                </w:p>
              </w:tc>
              <w:tc>
                <w:tcPr>
                  <w:tcW w:w="983" w:type="pct"/>
                  <w:tcBorders>
                    <w:tl2br w:val="nil"/>
                    <w:tr2bl w:val="nil"/>
                  </w:tcBorders>
                  <w:vAlign w:val="center"/>
                </w:tcPr>
                <w:p w14:paraId="58B9D1D8">
                  <w:pPr>
                    <w:jc w:val="center"/>
                    <w:rPr>
                      <w:color w:val="auto"/>
                      <w:sz w:val="21"/>
                      <w:szCs w:val="21"/>
                    </w:rPr>
                  </w:pPr>
                  <w:r>
                    <w:rPr>
                      <w:color w:val="auto"/>
                      <w:sz w:val="21"/>
                      <w:szCs w:val="21"/>
                    </w:rPr>
                    <w:t>昼间</w:t>
                  </w:r>
                </w:p>
              </w:tc>
              <w:tc>
                <w:tcPr>
                  <w:tcW w:w="869" w:type="pct"/>
                  <w:tcBorders>
                    <w:tl2br w:val="nil"/>
                    <w:tr2bl w:val="nil"/>
                  </w:tcBorders>
                  <w:vAlign w:val="center"/>
                </w:tcPr>
                <w:p w14:paraId="1383C65B">
                  <w:pPr>
                    <w:jc w:val="center"/>
                    <w:rPr>
                      <w:color w:val="auto"/>
                      <w:sz w:val="21"/>
                      <w:szCs w:val="21"/>
                    </w:rPr>
                  </w:pPr>
                  <w:r>
                    <w:rPr>
                      <w:rFonts w:hint="eastAsia"/>
                      <w:color w:val="auto"/>
                      <w:sz w:val="21"/>
                      <w:szCs w:val="21"/>
                    </w:rPr>
                    <w:t>27.56</w:t>
                  </w:r>
                </w:p>
              </w:tc>
              <w:tc>
                <w:tcPr>
                  <w:tcW w:w="864" w:type="pct"/>
                  <w:tcBorders>
                    <w:tl2br w:val="nil"/>
                    <w:tr2bl w:val="nil"/>
                  </w:tcBorders>
                  <w:vAlign w:val="center"/>
                </w:tcPr>
                <w:p w14:paraId="527F5F2C">
                  <w:pPr>
                    <w:jc w:val="center"/>
                    <w:rPr>
                      <w:color w:val="auto"/>
                      <w:sz w:val="21"/>
                      <w:szCs w:val="21"/>
                    </w:rPr>
                  </w:pPr>
                  <w:r>
                    <w:rPr>
                      <w:color w:val="auto"/>
                      <w:sz w:val="21"/>
                      <w:szCs w:val="21"/>
                    </w:rPr>
                    <w:t>0</w:t>
                  </w:r>
                </w:p>
              </w:tc>
              <w:tc>
                <w:tcPr>
                  <w:tcW w:w="754" w:type="pct"/>
                  <w:tcBorders>
                    <w:tl2br w:val="nil"/>
                    <w:tr2bl w:val="nil"/>
                  </w:tcBorders>
                  <w:vAlign w:val="center"/>
                </w:tcPr>
                <w:p w14:paraId="5931AF08">
                  <w:pPr>
                    <w:jc w:val="center"/>
                    <w:rPr>
                      <w:color w:val="auto"/>
                      <w:sz w:val="21"/>
                      <w:szCs w:val="21"/>
                    </w:rPr>
                  </w:pPr>
                  <w:r>
                    <w:rPr>
                      <w:rFonts w:hint="eastAsia"/>
                      <w:color w:val="auto"/>
                      <w:sz w:val="21"/>
                      <w:szCs w:val="21"/>
                    </w:rPr>
                    <w:t>55</w:t>
                  </w:r>
                </w:p>
              </w:tc>
            </w:tr>
            <w:tr w14:paraId="4F426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4B6C036A">
                  <w:pPr>
                    <w:jc w:val="center"/>
                    <w:rPr>
                      <w:color w:val="auto"/>
                      <w:sz w:val="21"/>
                      <w:szCs w:val="21"/>
                    </w:rPr>
                  </w:pPr>
                </w:p>
              </w:tc>
              <w:tc>
                <w:tcPr>
                  <w:tcW w:w="889" w:type="pct"/>
                  <w:vMerge w:val="continue"/>
                  <w:tcBorders>
                    <w:tl2br w:val="nil"/>
                    <w:tr2bl w:val="nil"/>
                  </w:tcBorders>
                  <w:vAlign w:val="center"/>
                </w:tcPr>
                <w:p w14:paraId="6B165801">
                  <w:pPr>
                    <w:jc w:val="center"/>
                    <w:rPr>
                      <w:color w:val="auto"/>
                      <w:sz w:val="21"/>
                      <w:szCs w:val="21"/>
                    </w:rPr>
                  </w:pPr>
                </w:p>
              </w:tc>
              <w:tc>
                <w:tcPr>
                  <w:tcW w:w="983" w:type="pct"/>
                  <w:tcBorders>
                    <w:tl2br w:val="nil"/>
                    <w:tr2bl w:val="nil"/>
                  </w:tcBorders>
                  <w:vAlign w:val="center"/>
                </w:tcPr>
                <w:p w14:paraId="6D18FA05">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7E912954">
                  <w:pPr>
                    <w:jc w:val="center"/>
                    <w:rPr>
                      <w:color w:val="auto"/>
                      <w:sz w:val="21"/>
                      <w:szCs w:val="21"/>
                    </w:rPr>
                  </w:pPr>
                  <w:r>
                    <w:rPr>
                      <w:rFonts w:hint="eastAsia"/>
                      <w:color w:val="auto"/>
                      <w:sz w:val="21"/>
                      <w:szCs w:val="21"/>
                    </w:rPr>
                    <w:t>27.56</w:t>
                  </w:r>
                </w:p>
              </w:tc>
              <w:tc>
                <w:tcPr>
                  <w:tcW w:w="864" w:type="pct"/>
                  <w:tcBorders>
                    <w:tl2br w:val="nil"/>
                    <w:tr2bl w:val="nil"/>
                  </w:tcBorders>
                  <w:vAlign w:val="center"/>
                </w:tcPr>
                <w:p w14:paraId="7D0AD4B2">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292F56AA">
                  <w:pPr>
                    <w:jc w:val="center"/>
                    <w:rPr>
                      <w:color w:val="auto"/>
                      <w:sz w:val="21"/>
                      <w:szCs w:val="21"/>
                    </w:rPr>
                  </w:pPr>
                  <w:r>
                    <w:rPr>
                      <w:rFonts w:hint="eastAsia"/>
                      <w:color w:val="auto"/>
                      <w:sz w:val="21"/>
                      <w:szCs w:val="21"/>
                    </w:rPr>
                    <w:t>45</w:t>
                  </w:r>
                </w:p>
              </w:tc>
            </w:tr>
            <w:tr w14:paraId="0CAEDA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387E7108">
                  <w:pPr>
                    <w:jc w:val="center"/>
                    <w:rPr>
                      <w:color w:val="auto"/>
                      <w:sz w:val="21"/>
                      <w:szCs w:val="21"/>
                    </w:rPr>
                  </w:pPr>
                  <w:r>
                    <w:rPr>
                      <w:color w:val="auto"/>
                      <w:sz w:val="21"/>
                      <w:szCs w:val="21"/>
                    </w:rPr>
                    <w:t>3</w:t>
                  </w:r>
                </w:p>
              </w:tc>
              <w:tc>
                <w:tcPr>
                  <w:tcW w:w="889" w:type="pct"/>
                  <w:vMerge w:val="restart"/>
                  <w:tcBorders>
                    <w:tl2br w:val="nil"/>
                    <w:tr2bl w:val="nil"/>
                  </w:tcBorders>
                  <w:vAlign w:val="center"/>
                </w:tcPr>
                <w:p w14:paraId="7CF0F815">
                  <w:pPr>
                    <w:jc w:val="center"/>
                    <w:rPr>
                      <w:color w:val="auto"/>
                      <w:sz w:val="21"/>
                      <w:szCs w:val="21"/>
                    </w:rPr>
                  </w:pPr>
                  <w:r>
                    <w:rPr>
                      <w:color w:val="auto"/>
                      <w:sz w:val="21"/>
                      <w:szCs w:val="21"/>
                    </w:rPr>
                    <w:t>3#</w:t>
                  </w:r>
                  <w:r>
                    <w:rPr>
                      <w:rFonts w:hint="eastAsia"/>
                      <w:color w:val="auto"/>
                      <w:sz w:val="21"/>
                      <w:szCs w:val="21"/>
                    </w:rPr>
                    <w:t>厂界</w:t>
                  </w:r>
                  <w:r>
                    <w:rPr>
                      <w:color w:val="auto"/>
                      <w:sz w:val="21"/>
                      <w:szCs w:val="21"/>
                    </w:rPr>
                    <w:t>西面</w:t>
                  </w:r>
                </w:p>
              </w:tc>
              <w:tc>
                <w:tcPr>
                  <w:tcW w:w="983" w:type="pct"/>
                  <w:tcBorders>
                    <w:tl2br w:val="nil"/>
                    <w:tr2bl w:val="nil"/>
                  </w:tcBorders>
                  <w:vAlign w:val="center"/>
                </w:tcPr>
                <w:p w14:paraId="500DF6DA">
                  <w:pPr>
                    <w:jc w:val="center"/>
                    <w:rPr>
                      <w:color w:val="auto"/>
                      <w:sz w:val="21"/>
                      <w:szCs w:val="21"/>
                    </w:rPr>
                  </w:pPr>
                  <w:r>
                    <w:rPr>
                      <w:color w:val="auto"/>
                      <w:sz w:val="21"/>
                      <w:szCs w:val="21"/>
                    </w:rPr>
                    <w:t>昼间</w:t>
                  </w:r>
                </w:p>
              </w:tc>
              <w:tc>
                <w:tcPr>
                  <w:tcW w:w="869" w:type="pct"/>
                  <w:tcBorders>
                    <w:tl2br w:val="nil"/>
                    <w:tr2bl w:val="nil"/>
                  </w:tcBorders>
                  <w:vAlign w:val="center"/>
                </w:tcPr>
                <w:p w14:paraId="419E0E6F">
                  <w:pPr>
                    <w:jc w:val="center"/>
                    <w:rPr>
                      <w:color w:val="auto"/>
                      <w:sz w:val="21"/>
                      <w:szCs w:val="21"/>
                    </w:rPr>
                  </w:pPr>
                  <w:r>
                    <w:rPr>
                      <w:rFonts w:hint="eastAsia"/>
                      <w:color w:val="auto"/>
                      <w:sz w:val="21"/>
                      <w:szCs w:val="21"/>
                    </w:rPr>
                    <w:t>35.34</w:t>
                  </w:r>
                </w:p>
              </w:tc>
              <w:tc>
                <w:tcPr>
                  <w:tcW w:w="864" w:type="pct"/>
                  <w:tcBorders>
                    <w:tl2br w:val="nil"/>
                    <w:tr2bl w:val="nil"/>
                  </w:tcBorders>
                  <w:vAlign w:val="center"/>
                </w:tcPr>
                <w:p w14:paraId="0239896F">
                  <w:pPr>
                    <w:jc w:val="center"/>
                    <w:rPr>
                      <w:color w:val="auto"/>
                      <w:sz w:val="21"/>
                      <w:szCs w:val="21"/>
                    </w:rPr>
                  </w:pPr>
                  <w:r>
                    <w:rPr>
                      <w:color w:val="auto"/>
                      <w:sz w:val="21"/>
                      <w:szCs w:val="21"/>
                    </w:rPr>
                    <w:t>0</w:t>
                  </w:r>
                </w:p>
              </w:tc>
              <w:tc>
                <w:tcPr>
                  <w:tcW w:w="754" w:type="pct"/>
                  <w:tcBorders>
                    <w:tl2br w:val="nil"/>
                    <w:tr2bl w:val="nil"/>
                  </w:tcBorders>
                  <w:vAlign w:val="center"/>
                </w:tcPr>
                <w:p w14:paraId="4FBFB405">
                  <w:pPr>
                    <w:jc w:val="center"/>
                    <w:rPr>
                      <w:color w:val="auto"/>
                      <w:sz w:val="21"/>
                      <w:szCs w:val="21"/>
                    </w:rPr>
                  </w:pPr>
                  <w:r>
                    <w:rPr>
                      <w:rFonts w:hint="eastAsia"/>
                      <w:color w:val="auto"/>
                      <w:sz w:val="21"/>
                      <w:szCs w:val="21"/>
                    </w:rPr>
                    <w:t>55</w:t>
                  </w:r>
                </w:p>
              </w:tc>
            </w:tr>
            <w:tr w14:paraId="771BFA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3C3D149F">
                  <w:pPr>
                    <w:jc w:val="center"/>
                    <w:rPr>
                      <w:color w:val="auto"/>
                      <w:sz w:val="21"/>
                      <w:szCs w:val="21"/>
                    </w:rPr>
                  </w:pPr>
                </w:p>
              </w:tc>
              <w:tc>
                <w:tcPr>
                  <w:tcW w:w="889" w:type="pct"/>
                  <w:vMerge w:val="continue"/>
                  <w:tcBorders>
                    <w:tl2br w:val="nil"/>
                    <w:tr2bl w:val="nil"/>
                  </w:tcBorders>
                  <w:vAlign w:val="center"/>
                </w:tcPr>
                <w:p w14:paraId="6B68E2A1">
                  <w:pPr>
                    <w:jc w:val="center"/>
                    <w:rPr>
                      <w:color w:val="auto"/>
                      <w:sz w:val="21"/>
                      <w:szCs w:val="21"/>
                    </w:rPr>
                  </w:pPr>
                </w:p>
              </w:tc>
              <w:tc>
                <w:tcPr>
                  <w:tcW w:w="983" w:type="pct"/>
                  <w:tcBorders>
                    <w:tl2br w:val="nil"/>
                    <w:tr2bl w:val="nil"/>
                  </w:tcBorders>
                  <w:vAlign w:val="center"/>
                </w:tcPr>
                <w:p w14:paraId="55D3CF25">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023F692F">
                  <w:pPr>
                    <w:jc w:val="center"/>
                    <w:rPr>
                      <w:color w:val="auto"/>
                      <w:sz w:val="21"/>
                      <w:szCs w:val="21"/>
                    </w:rPr>
                  </w:pPr>
                  <w:r>
                    <w:rPr>
                      <w:rFonts w:hint="eastAsia"/>
                      <w:color w:val="auto"/>
                      <w:sz w:val="21"/>
                      <w:szCs w:val="21"/>
                    </w:rPr>
                    <w:t>35.34</w:t>
                  </w:r>
                </w:p>
              </w:tc>
              <w:tc>
                <w:tcPr>
                  <w:tcW w:w="864" w:type="pct"/>
                  <w:tcBorders>
                    <w:tl2br w:val="nil"/>
                    <w:tr2bl w:val="nil"/>
                  </w:tcBorders>
                  <w:vAlign w:val="center"/>
                </w:tcPr>
                <w:p w14:paraId="39CF8623">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6D072177">
                  <w:pPr>
                    <w:jc w:val="center"/>
                    <w:rPr>
                      <w:color w:val="auto"/>
                      <w:sz w:val="21"/>
                      <w:szCs w:val="21"/>
                    </w:rPr>
                  </w:pPr>
                  <w:r>
                    <w:rPr>
                      <w:rFonts w:hint="eastAsia"/>
                      <w:color w:val="auto"/>
                      <w:sz w:val="21"/>
                      <w:szCs w:val="21"/>
                    </w:rPr>
                    <w:t>45</w:t>
                  </w:r>
                </w:p>
              </w:tc>
            </w:tr>
            <w:tr w14:paraId="43B6BB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7C6A0078">
                  <w:pPr>
                    <w:jc w:val="center"/>
                    <w:rPr>
                      <w:color w:val="auto"/>
                      <w:sz w:val="21"/>
                      <w:szCs w:val="21"/>
                    </w:rPr>
                  </w:pPr>
                  <w:r>
                    <w:rPr>
                      <w:color w:val="auto"/>
                      <w:sz w:val="21"/>
                      <w:szCs w:val="21"/>
                    </w:rPr>
                    <w:t>4</w:t>
                  </w:r>
                </w:p>
              </w:tc>
              <w:tc>
                <w:tcPr>
                  <w:tcW w:w="889" w:type="pct"/>
                  <w:vMerge w:val="restart"/>
                  <w:tcBorders>
                    <w:tl2br w:val="nil"/>
                    <w:tr2bl w:val="nil"/>
                  </w:tcBorders>
                  <w:vAlign w:val="center"/>
                </w:tcPr>
                <w:p w14:paraId="22809376">
                  <w:pPr>
                    <w:jc w:val="center"/>
                    <w:rPr>
                      <w:color w:val="auto"/>
                      <w:sz w:val="21"/>
                      <w:szCs w:val="21"/>
                    </w:rPr>
                  </w:pPr>
                  <w:r>
                    <w:rPr>
                      <w:color w:val="auto"/>
                      <w:sz w:val="21"/>
                      <w:szCs w:val="21"/>
                    </w:rPr>
                    <w:t>4#</w:t>
                  </w:r>
                  <w:r>
                    <w:rPr>
                      <w:rFonts w:hint="eastAsia"/>
                      <w:color w:val="auto"/>
                      <w:sz w:val="21"/>
                      <w:szCs w:val="21"/>
                    </w:rPr>
                    <w:t>厂界</w:t>
                  </w:r>
                  <w:r>
                    <w:rPr>
                      <w:color w:val="auto"/>
                      <w:sz w:val="21"/>
                      <w:szCs w:val="21"/>
                    </w:rPr>
                    <w:t>北面</w:t>
                  </w:r>
                </w:p>
              </w:tc>
              <w:tc>
                <w:tcPr>
                  <w:tcW w:w="983" w:type="pct"/>
                  <w:tcBorders>
                    <w:tl2br w:val="nil"/>
                    <w:tr2bl w:val="nil"/>
                  </w:tcBorders>
                  <w:vAlign w:val="center"/>
                </w:tcPr>
                <w:p w14:paraId="0ABDD106">
                  <w:pPr>
                    <w:jc w:val="center"/>
                    <w:rPr>
                      <w:color w:val="auto"/>
                      <w:sz w:val="21"/>
                      <w:szCs w:val="21"/>
                    </w:rPr>
                  </w:pPr>
                  <w:r>
                    <w:rPr>
                      <w:color w:val="auto"/>
                      <w:sz w:val="21"/>
                      <w:szCs w:val="21"/>
                    </w:rPr>
                    <w:t>昼间</w:t>
                  </w:r>
                </w:p>
              </w:tc>
              <w:tc>
                <w:tcPr>
                  <w:tcW w:w="869" w:type="pct"/>
                  <w:tcBorders>
                    <w:tl2br w:val="nil"/>
                    <w:tr2bl w:val="nil"/>
                  </w:tcBorders>
                  <w:vAlign w:val="center"/>
                </w:tcPr>
                <w:p w14:paraId="66DFBE4B">
                  <w:pPr>
                    <w:jc w:val="center"/>
                    <w:rPr>
                      <w:color w:val="auto"/>
                      <w:sz w:val="21"/>
                      <w:szCs w:val="21"/>
                    </w:rPr>
                  </w:pPr>
                  <w:r>
                    <w:rPr>
                      <w:rFonts w:hint="eastAsia"/>
                      <w:color w:val="auto"/>
                      <w:sz w:val="21"/>
                      <w:szCs w:val="21"/>
                    </w:rPr>
                    <w:t>25.02</w:t>
                  </w:r>
                </w:p>
              </w:tc>
              <w:tc>
                <w:tcPr>
                  <w:tcW w:w="864" w:type="pct"/>
                  <w:tcBorders>
                    <w:tl2br w:val="nil"/>
                    <w:tr2bl w:val="nil"/>
                  </w:tcBorders>
                  <w:vAlign w:val="center"/>
                </w:tcPr>
                <w:p w14:paraId="204358AB">
                  <w:pPr>
                    <w:jc w:val="center"/>
                    <w:rPr>
                      <w:color w:val="auto"/>
                      <w:sz w:val="21"/>
                      <w:szCs w:val="21"/>
                    </w:rPr>
                  </w:pPr>
                  <w:r>
                    <w:rPr>
                      <w:color w:val="auto"/>
                      <w:sz w:val="21"/>
                      <w:szCs w:val="21"/>
                    </w:rPr>
                    <w:t>0</w:t>
                  </w:r>
                </w:p>
              </w:tc>
              <w:tc>
                <w:tcPr>
                  <w:tcW w:w="754" w:type="pct"/>
                  <w:tcBorders>
                    <w:tl2br w:val="nil"/>
                    <w:tr2bl w:val="nil"/>
                  </w:tcBorders>
                  <w:vAlign w:val="center"/>
                </w:tcPr>
                <w:p w14:paraId="6E04F11F">
                  <w:pPr>
                    <w:jc w:val="center"/>
                    <w:rPr>
                      <w:color w:val="auto"/>
                      <w:sz w:val="21"/>
                      <w:szCs w:val="21"/>
                    </w:rPr>
                  </w:pPr>
                  <w:r>
                    <w:rPr>
                      <w:rFonts w:hint="eastAsia"/>
                      <w:color w:val="auto"/>
                      <w:sz w:val="21"/>
                      <w:szCs w:val="21"/>
                    </w:rPr>
                    <w:t>55</w:t>
                  </w:r>
                </w:p>
              </w:tc>
            </w:tr>
            <w:tr w14:paraId="5CE5A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0F20FC0F">
                  <w:pPr>
                    <w:jc w:val="center"/>
                    <w:rPr>
                      <w:color w:val="auto"/>
                      <w:sz w:val="21"/>
                      <w:szCs w:val="21"/>
                    </w:rPr>
                  </w:pPr>
                </w:p>
              </w:tc>
              <w:tc>
                <w:tcPr>
                  <w:tcW w:w="889" w:type="pct"/>
                  <w:vMerge w:val="continue"/>
                  <w:tcBorders>
                    <w:tl2br w:val="nil"/>
                    <w:tr2bl w:val="nil"/>
                  </w:tcBorders>
                  <w:vAlign w:val="center"/>
                </w:tcPr>
                <w:p w14:paraId="1C7FDE2F">
                  <w:pPr>
                    <w:jc w:val="center"/>
                    <w:rPr>
                      <w:color w:val="auto"/>
                      <w:sz w:val="21"/>
                      <w:szCs w:val="21"/>
                    </w:rPr>
                  </w:pPr>
                </w:p>
              </w:tc>
              <w:tc>
                <w:tcPr>
                  <w:tcW w:w="983" w:type="pct"/>
                  <w:tcBorders>
                    <w:tl2br w:val="nil"/>
                    <w:tr2bl w:val="nil"/>
                  </w:tcBorders>
                  <w:vAlign w:val="center"/>
                </w:tcPr>
                <w:p w14:paraId="0086A4F1">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17E1238B">
                  <w:pPr>
                    <w:jc w:val="center"/>
                    <w:rPr>
                      <w:color w:val="auto"/>
                      <w:sz w:val="21"/>
                      <w:szCs w:val="21"/>
                    </w:rPr>
                  </w:pPr>
                  <w:r>
                    <w:rPr>
                      <w:rFonts w:hint="eastAsia"/>
                      <w:color w:val="auto"/>
                      <w:sz w:val="21"/>
                      <w:szCs w:val="21"/>
                    </w:rPr>
                    <w:t>25.02</w:t>
                  </w:r>
                </w:p>
              </w:tc>
              <w:tc>
                <w:tcPr>
                  <w:tcW w:w="864" w:type="pct"/>
                  <w:tcBorders>
                    <w:tl2br w:val="nil"/>
                    <w:tr2bl w:val="nil"/>
                  </w:tcBorders>
                  <w:vAlign w:val="center"/>
                </w:tcPr>
                <w:p w14:paraId="361D3971">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52D14230">
                  <w:pPr>
                    <w:jc w:val="center"/>
                    <w:rPr>
                      <w:color w:val="auto"/>
                      <w:sz w:val="21"/>
                      <w:szCs w:val="21"/>
                    </w:rPr>
                  </w:pPr>
                  <w:r>
                    <w:rPr>
                      <w:rFonts w:hint="eastAsia"/>
                      <w:color w:val="auto"/>
                      <w:sz w:val="21"/>
                      <w:szCs w:val="21"/>
                    </w:rPr>
                    <w:t>45</w:t>
                  </w:r>
                </w:p>
              </w:tc>
            </w:tr>
          </w:tbl>
          <w:p w14:paraId="5753DC80">
            <w:pPr>
              <w:spacing w:line="360" w:lineRule="auto"/>
              <w:ind w:firstLine="480" w:firstLineChars="200"/>
              <w:rPr>
                <w:color w:val="auto"/>
              </w:rPr>
            </w:pPr>
            <w:r>
              <w:rPr>
                <w:rFonts w:hint="eastAsia"/>
                <w:color w:val="auto"/>
              </w:rPr>
              <w:t>由噪声预测结果可知，钻井工程作业时，东、南、西、北面厂界昼间、夜间噪声贡献值均满足《工业企业厂界环境噪声排放标准》（GB12348-2008）1类标准限值要求。因此，经采取相应噪声防治措施，项目建设对周边声环境影响不大。</w:t>
            </w:r>
          </w:p>
          <w:p w14:paraId="2D4FA2FC">
            <w:pPr>
              <w:spacing w:line="360" w:lineRule="auto"/>
              <w:ind w:firstLine="480" w:firstLineChars="200"/>
              <w:rPr>
                <w:color w:val="auto"/>
              </w:rPr>
            </w:pPr>
            <w:r>
              <w:rPr>
                <w:rFonts w:hint="eastAsia"/>
                <w:color w:val="auto"/>
              </w:rPr>
              <w:t>压裂作业只在昼间施工，储储层改造作业时主要设备分布于项目场地中部，通过减震安装、衬弹性垫料措施，声源距离项目厂界间空气衰减也能起到减弱噪声作用，声级可下降10～15dB（A），则噪声环境影响评价预测结果详见下表。</w:t>
            </w:r>
          </w:p>
          <w:p w14:paraId="5E1FCD2F">
            <w:pPr>
              <w:spacing w:line="360" w:lineRule="auto"/>
              <w:jc w:val="center"/>
              <w:rPr>
                <w:b/>
                <w:bCs/>
                <w:color w:val="auto"/>
              </w:rPr>
            </w:pPr>
            <w:r>
              <w:rPr>
                <w:b/>
                <w:bCs/>
                <w:color w:val="auto"/>
              </w:rPr>
              <w:t>表4-</w:t>
            </w:r>
            <w:r>
              <w:rPr>
                <w:rFonts w:hint="eastAsia"/>
                <w:b/>
                <w:bCs/>
                <w:color w:val="auto"/>
              </w:rPr>
              <w:t xml:space="preserve">10 </w:t>
            </w:r>
            <w:r>
              <w:rPr>
                <w:b/>
                <w:bCs/>
                <w:color w:val="auto"/>
              </w:rPr>
              <w:t xml:space="preserve">厂界噪声预测结果表  </w:t>
            </w:r>
            <w:r>
              <w:rPr>
                <w:rFonts w:hint="eastAsia"/>
                <w:b/>
                <w:bCs/>
                <w:color w:val="auto"/>
              </w:rPr>
              <w:t>单位：</w:t>
            </w:r>
            <w:r>
              <w:rPr>
                <w:b/>
                <w:bCs/>
                <w:color w:val="auto"/>
              </w:rPr>
              <w:t>dB（A）</w:t>
            </w:r>
          </w:p>
          <w:tbl>
            <w:tblPr>
              <w:tblStyle w:val="19"/>
              <w:tblpPr w:leftFromText="181" w:rightFromText="181" w:vertAnchor="text" w:tblpXSpec="center" w:tblpY="1"/>
              <w:tblOverlap w:val="never"/>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512"/>
              <w:gridCol w:w="1672"/>
              <w:gridCol w:w="1478"/>
              <w:gridCol w:w="1469"/>
              <w:gridCol w:w="1283"/>
            </w:tblGrid>
            <w:tr w14:paraId="5859A88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3EF67664">
                  <w:pPr>
                    <w:jc w:val="center"/>
                    <w:rPr>
                      <w:b/>
                      <w:bCs/>
                      <w:color w:val="auto"/>
                      <w:sz w:val="21"/>
                      <w:szCs w:val="21"/>
                    </w:rPr>
                  </w:pPr>
                  <w:r>
                    <w:rPr>
                      <w:b/>
                      <w:bCs/>
                      <w:color w:val="auto"/>
                      <w:sz w:val="21"/>
                      <w:szCs w:val="21"/>
                    </w:rPr>
                    <w:t>序号</w:t>
                  </w:r>
                </w:p>
              </w:tc>
              <w:tc>
                <w:tcPr>
                  <w:tcW w:w="889" w:type="pct"/>
                  <w:tcBorders>
                    <w:tl2br w:val="nil"/>
                    <w:tr2bl w:val="nil"/>
                  </w:tcBorders>
                  <w:vAlign w:val="center"/>
                </w:tcPr>
                <w:p w14:paraId="6CA11596">
                  <w:pPr>
                    <w:jc w:val="center"/>
                    <w:rPr>
                      <w:b/>
                      <w:bCs/>
                      <w:color w:val="auto"/>
                      <w:sz w:val="21"/>
                      <w:szCs w:val="21"/>
                    </w:rPr>
                  </w:pPr>
                  <w:r>
                    <w:rPr>
                      <w:b/>
                      <w:bCs/>
                      <w:color w:val="auto"/>
                      <w:sz w:val="21"/>
                      <w:szCs w:val="21"/>
                    </w:rPr>
                    <w:t>预测点</w:t>
                  </w:r>
                </w:p>
              </w:tc>
              <w:tc>
                <w:tcPr>
                  <w:tcW w:w="983" w:type="pct"/>
                  <w:tcBorders>
                    <w:tl2br w:val="nil"/>
                    <w:tr2bl w:val="nil"/>
                  </w:tcBorders>
                  <w:vAlign w:val="center"/>
                </w:tcPr>
                <w:p w14:paraId="6109A2FF">
                  <w:pPr>
                    <w:jc w:val="center"/>
                    <w:rPr>
                      <w:b/>
                      <w:bCs/>
                      <w:color w:val="auto"/>
                      <w:sz w:val="21"/>
                      <w:szCs w:val="21"/>
                    </w:rPr>
                  </w:pPr>
                  <w:r>
                    <w:rPr>
                      <w:b/>
                      <w:bCs/>
                      <w:color w:val="auto"/>
                      <w:sz w:val="21"/>
                      <w:szCs w:val="21"/>
                    </w:rPr>
                    <w:t>预测时段</w:t>
                  </w:r>
                </w:p>
              </w:tc>
              <w:tc>
                <w:tcPr>
                  <w:tcW w:w="869" w:type="pct"/>
                  <w:tcBorders>
                    <w:tl2br w:val="nil"/>
                    <w:tr2bl w:val="nil"/>
                  </w:tcBorders>
                  <w:vAlign w:val="center"/>
                </w:tcPr>
                <w:p w14:paraId="03D758AB">
                  <w:pPr>
                    <w:jc w:val="center"/>
                    <w:rPr>
                      <w:b/>
                      <w:bCs/>
                      <w:color w:val="auto"/>
                      <w:sz w:val="21"/>
                      <w:szCs w:val="21"/>
                    </w:rPr>
                  </w:pPr>
                  <w:r>
                    <w:rPr>
                      <w:b/>
                      <w:bCs/>
                      <w:color w:val="auto"/>
                      <w:sz w:val="21"/>
                      <w:szCs w:val="21"/>
                    </w:rPr>
                    <w:t>贡献值</w:t>
                  </w:r>
                </w:p>
              </w:tc>
              <w:tc>
                <w:tcPr>
                  <w:tcW w:w="864" w:type="pct"/>
                  <w:tcBorders>
                    <w:tl2br w:val="nil"/>
                    <w:tr2bl w:val="nil"/>
                  </w:tcBorders>
                  <w:vAlign w:val="center"/>
                </w:tcPr>
                <w:p w14:paraId="0E1542FC">
                  <w:pPr>
                    <w:jc w:val="center"/>
                    <w:rPr>
                      <w:b/>
                      <w:bCs/>
                      <w:color w:val="auto"/>
                      <w:sz w:val="21"/>
                      <w:szCs w:val="21"/>
                    </w:rPr>
                  </w:pPr>
                  <w:r>
                    <w:rPr>
                      <w:b/>
                      <w:bCs/>
                      <w:color w:val="auto"/>
                      <w:sz w:val="21"/>
                      <w:szCs w:val="21"/>
                    </w:rPr>
                    <w:t>超标值</w:t>
                  </w:r>
                </w:p>
              </w:tc>
              <w:tc>
                <w:tcPr>
                  <w:tcW w:w="754" w:type="pct"/>
                  <w:tcBorders>
                    <w:tl2br w:val="nil"/>
                    <w:tr2bl w:val="nil"/>
                  </w:tcBorders>
                  <w:vAlign w:val="center"/>
                </w:tcPr>
                <w:p w14:paraId="39E9B718">
                  <w:pPr>
                    <w:jc w:val="center"/>
                    <w:rPr>
                      <w:b/>
                      <w:bCs/>
                      <w:color w:val="auto"/>
                      <w:sz w:val="21"/>
                      <w:szCs w:val="21"/>
                    </w:rPr>
                  </w:pPr>
                  <w:r>
                    <w:rPr>
                      <w:b/>
                      <w:bCs/>
                      <w:color w:val="auto"/>
                      <w:sz w:val="21"/>
                      <w:szCs w:val="21"/>
                    </w:rPr>
                    <w:t>标准</w:t>
                  </w:r>
                </w:p>
              </w:tc>
            </w:tr>
            <w:tr w14:paraId="6D07A7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54213E6F">
                  <w:pPr>
                    <w:jc w:val="center"/>
                    <w:rPr>
                      <w:color w:val="auto"/>
                      <w:sz w:val="21"/>
                      <w:szCs w:val="21"/>
                    </w:rPr>
                  </w:pPr>
                  <w:r>
                    <w:rPr>
                      <w:color w:val="auto"/>
                      <w:sz w:val="21"/>
                      <w:szCs w:val="21"/>
                    </w:rPr>
                    <w:t>1</w:t>
                  </w:r>
                </w:p>
              </w:tc>
              <w:tc>
                <w:tcPr>
                  <w:tcW w:w="889" w:type="pct"/>
                  <w:tcBorders>
                    <w:tl2br w:val="nil"/>
                    <w:tr2bl w:val="nil"/>
                  </w:tcBorders>
                  <w:vAlign w:val="center"/>
                </w:tcPr>
                <w:p w14:paraId="24850F9A">
                  <w:pPr>
                    <w:jc w:val="center"/>
                    <w:rPr>
                      <w:color w:val="auto"/>
                      <w:sz w:val="21"/>
                      <w:szCs w:val="21"/>
                    </w:rPr>
                  </w:pPr>
                  <w:r>
                    <w:rPr>
                      <w:rFonts w:hint="eastAsia"/>
                      <w:color w:val="auto"/>
                      <w:sz w:val="21"/>
                      <w:szCs w:val="21"/>
                    </w:rPr>
                    <w:t>厂界</w:t>
                  </w:r>
                  <w:r>
                    <w:rPr>
                      <w:color w:val="auto"/>
                      <w:sz w:val="21"/>
                      <w:szCs w:val="21"/>
                    </w:rPr>
                    <w:t>东面</w:t>
                  </w:r>
                </w:p>
              </w:tc>
              <w:tc>
                <w:tcPr>
                  <w:tcW w:w="983" w:type="pct"/>
                  <w:tcBorders>
                    <w:tl2br w:val="nil"/>
                    <w:tr2bl w:val="nil"/>
                  </w:tcBorders>
                  <w:vAlign w:val="center"/>
                </w:tcPr>
                <w:p w14:paraId="1997A7E5">
                  <w:pPr>
                    <w:jc w:val="center"/>
                    <w:rPr>
                      <w:color w:val="auto"/>
                      <w:sz w:val="21"/>
                      <w:szCs w:val="21"/>
                    </w:rPr>
                  </w:pPr>
                  <w:r>
                    <w:rPr>
                      <w:color w:val="auto"/>
                      <w:sz w:val="21"/>
                      <w:szCs w:val="21"/>
                    </w:rPr>
                    <w:t>昼间</w:t>
                  </w:r>
                </w:p>
              </w:tc>
              <w:tc>
                <w:tcPr>
                  <w:tcW w:w="869" w:type="pct"/>
                  <w:tcBorders>
                    <w:tl2br w:val="nil"/>
                    <w:tr2bl w:val="nil"/>
                  </w:tcBorders>
                  <w:vAlign w:val="center"/>
                </w:tcPr>
                <w:p w14:paraId="32F2BB71">
                  <w:pPr>
                    <w:jc w:val="center"/>
                    <w:rPr>
                      <w:color w:val="auto"/>
                      <w:sz w:val="21"/>
                      <w:szCs w:val="21"/>
                    </w:rPr>
                  </w:pPr>
                  <w:r>
                    <w:rPr>
                      <w:rFonts w:hint="eastAsia"/>
                      <w:color w:val="auto"/>
                      <w:sz w:val="21"/>
                      <w:szCs w:val="21"/>
                    </w:rPr>
                    <w:t>50.15</w:t>
                  </w:r>
                </w:p>
              </w:tc>
              <w:tc>
                <w:tcPr>
                  <w:tcW w:w="864" w:type="pct"/>
                  <w:tcBorders>
                    <w:tl2br w:val="nil"/>
                    <w:tr2bl w:val="nil"/>
                  </w:tcBorders>
                  <w:vAlign w:val="center"/>
                </w:tcPr>
                <w:p w14:paraId="5B8419D9">
                  <w:pPr>
                    <w:jc w:val="center"/>
                    <w:rPr>
                      <w:color w:val="auto"/>
                      <w:sz w:val="21"/>
                      <w:szCs w:val="21"/>
                    </w:rPr>
                  </w:pPr>
                  <w:r>
                    <w:rPr>
                      <w:color w:val="auto"/>
                      <w:sz w:val="21"/>
                      <w:szCs w:val="21"/>
                    </w:rPr>
                    <w:t>0</w:t>
                  </w:r>
                </w:p>
              </w:tc>
              <w:tc>
                <w:tcPr>
                  <w:tcW w:w="754" w:type="pct"/>
                  <w:tcBorders>
                    <w:tl2br w:val="nil"/>
                    <w:tr2bl w:val="nil"/>
                  </w:tcBorders>
                  <w:vAlign w:val="center"/>
                </w:tcPr>
                <w:p w14:paraId="2EBE6E1F">
                  <w:pPr>
                    <w:jc w:val="center"/>
                    <w:rPr>
                      <w:color w:val="auto"/>
                      <w:sz w:val="21"/>
                      <w:szCs w:val="21"/>
                    </w:rPr>
                  </w:pPr>
                  <w:r>
                    <w:rPr>
                      <w:rFonts w:hint="eastAsia"/>
                      <w:color w:val="auto"/>
                      <w:sz w:val="21"/>
                      <w:szCs w:val="21"/>
                    </w:rPr>
                    <w:t>55</w:t>
                  </w:r>
                </w:p>
              </w:tc>
            </w:tr>
            <w:tr w14:paraId="663D07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596022AC">
                  <w:pPr>
                    <w:jc w:val="center"/>
                    <w:rPr>
                      <w:color w:val="auto"/>
                      <w:sz w:val="21"/>
                      <w:szCs w:val="21"/>
                    </w:rPr>
                  </w:pPr>
                  <w:r>
                    <w:rPr>
                      <w:color w:val="auto"/>
                      <w:sz w:val="21"/>
                      <w:szCs w:val="21"/>
                    </w:rPr>
                    <w:t>2</w:t>
                  </w:r>
                </w:p>
              </w:tc>
              <w:tc>
                <w:tcPr>
                  <w:tcW w:w="889" w:type="pct"/>
                  <w:tcBorders>
                    <w:tl2br w:val="nil"/>
                    <w:tr2bl w:val="nil"/>
                  </w:tcBorders>
                  <w:vAlign w:val="center"/>
                </w:tcPr>
                <w:p w14:paraId="5ECE6078">
                  <w:pPr>
                    <w:jc w:val="center"/>
                    <w:rPr>
                      <w:color w:val="auto"/>
                      <w:sz w:val="21"/>
                      <w:szCs w:val="21"/>
                    </w:rPr>
                  </w:pPr>
                  <w:r>
                    <w:rPr>
                      <w:rFonts w:hint="eastAsia"/>
                      <w:color w:val="auto"/>
                      <w:sz w:val="21"/>
                      <w:szCs w:val="21"/>
                    </w:rPr>
                    <w:t>厂界</w:t>
                  </w:r>
                  <w:r>
                    <w:rPr>
                      <w:color w:val="auto"/>
                      <w:sz w:val="21"/>
                      <w:szCs w:val="21"/>
                    </w:rPr>
                    <w:t>南面</w:t>
                  </w:r>
                </w:p>
              </w:tc>
              <w:tc>
                <w:tcPr>
                  <w:tcW w:w="983" w:type="pct"/>
                  <w:tcBorders>
                    <w:tl2br w:val="nil"/>
                    <w:tr2bl w:val="nil"/>
                  </w:tcBorders>
                  <w:vAlign w:val="center"/>
                </w:tcPr>
                <w:p w14:paraId="04D61EF3">
                  <w:pPr>
                    <w:jc w:val="center"/>
                    <w:rPr>
                      <w:color w:val="auto"/>
                      <w:sz w:val="21"/>
                      <w:szCs w:val="21"/>
                    </w:rPr>
                  </w:pPr>
                  <w:r>
                    <w:rPr>
                      <w:color w:val="auto"/>
                      <w:sz w:val="21"/>
                      <w:szCs w:val="21"/>
                    </w:rPr>
                    <w:t>昼间</w:t>
                  </w:r>
                </w:p>
              </w:tc>
              <w:tc>
                <w:tcPr>
                  <w:tcW w:w="869" w:type="pct"/>
                  <w:tcBorders>
                    <w:tl2br w:val="nil"/>
                    <w:tr2bl w:val="nil"/>
                  </w:tcBorders>
                  <w:vAlign w:val="center"/>
                </w:tcPr>
                <w:p w14:paraId="3FD2582E">
                  <w:pPr>
                    <w:jc w:val="center"/>
                    <w:rPr>
                      <w:color w:val="auto"/>
                      <w:sz w:val="21"/>
                      <w:szCs w:val="21"/>
                    </w:rPr>
                  </w:pPr>
                  <w:r>
                    <w:rPr>
                      <w:rFonts w:hint="eastAsia"/>
                      <w:color w:val="auto"/>
                      <w:sz w:val="21"/>
                      <w:szCs w:val="21"/>
                    </w:rPr>
                    <w:t>50.38</w:t>
                  </w:r>
                </w:p>
              </w:tc>
              <w:tc>
                <w:tcPr>
                  <w:tcW w:w="864" w:type="pct"/>
                  <w:tcBorders>
                    <w:tl2br w:val="nil"/>
                    <w:tr2bl w:val="nil"/>
                  </w:tcBorders>
                  <w:vAlign w:val="center"/>
                </w:tcPr>
                <w:p w14:paraId="6332F43E">
                  <w:pPr>
                    <w:jc w:val="center"/>
                    <w:rPr>
                      <w:color w:val="auto"/>
                      <w:sz w:val="21"/>
                      <w:szCs w:val="21"/>
                    </w:rPr>
                  </w:pPr>
                  <w:r>
                    <w:rPr>
                      <w:color w:val="auto"/>
                      <w:sz w:val="21"/>
                      <w:szCs w:val="21"/>
                    </w:rPr>
                    <w:t>0</w:t>
                  </w:r>
                </w:p>
              </w:tc>
              <w:tc>
                <w:tcPr>
                  <w:tcW w:w="754" w:type="pct"/>
                  <w:tcBorders>
                    <w:tl2br w:val="nil"/>
                    <w:tr2bl w:val="nil"/>
                  </w:tcBorders>
                  <w:vAlign w:val="center"/>
                </w:tcPr>
                <w:p w14:paraId="35B1AA82">
                  <w:pPr>
                    <w:jc w:val="center"/>
                    <w:rPr>
                      <w:color w:val="auto"/>
                      <w:sz w:val="21"/>
                      <w:szCs w:val="21"/>
                    </w:rPr>
                  </w:pPr>
                  <w:r>
                    <w:rPr>
                      <w:rFonts w:hint="eastAsia"/>
                      <w:color w:val="auto"/>
                      <w:sz w:val="21"/>
                      <w:szCs w:val="21"/>
                    </w:rPr>
                    <w:t>55</w:t>
                  </w:r>
                </w:p>
              </w:tc>
            </w:tr>
            <w:tr w14:paraId="586E70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6AB2C533">
                  <w:pPr>
                    <w:jc w:val="center"/>
                    <w:rPr>
                      <w:color w:val="auto"/>
                      <w:sz w:val="21"/>
                      <w:szCs w:val="21"/>
                    </w:rPr>
                  </w:pPr>
                  <w:r>
                    <w:rPr>
                      <w:color w:val="auto"/>
                      <w:sz w:val="21"/>
                      <w:szCs w:val="21"/>
                    </w:rPr>
                    <w:t>3</w:t>
                  </w:r>
                </w:p>
              </w:tc>
              <w:tc>
                <w:tcPr>
                  <w:tcW w:w="889" w:type="pct"/>
                  <w:tcBorders>
                    <w:tl2br w:val="nil"/>
                    <w:tr2bl w:val="nil"/>
                  </w:tcBorders>
                  <w:vAlign w:val="center"/>
                </w:tcPr>
                <w:p w14:paraId="2F72883E">
                  <w:pPr>
                    <w:jc w:val="center"/>
                    <w:rPr>
                      <w:color w:val="auto"/>
                      <w:sz w:val="21"/>
                      <w:szCs w:val="21"/>
                    </w:rPr>
                  </w:pPr>
                  <w:r>
                    <w:rPr>
                      <w:rFonts w:hint="eastAsia"/>
                      <w:color w:val="auto"/>
                      <w:sz w:val="21"/>
                      <w:szCs w:val="21"/>
                    </w:rPr>
                    <w:t>厂界</w:t>
                  </w:r>
                  <w:r>
                    <w:rPr>
                      <w:color w:val="auto"/>
                      <w:sz w:val="21"/>
                      <w:szCs w:val="21"/>
                    </w:rPr>
                    <w:t>西面</w:t>
                  </w:r>
                </w:p>
              </w:tc>
              <w:tc>
                <w:tcPr>
                  <w:tcW w:w="983" w:type="pct"/>
                  <w:tcBorders>
                    <w:tl2br w:val="nil"/>
                    <w:tr2bl w:val="nil"/>
                  </w:tcBorders>
                  <w:vAlign w:val="center"/>
                </w:tcPr>
                <w:p w14:paraId="59555340">
                  <w:pPr>
                    <w:jc w:val="center"/>
                    <w:rPr>
                      <w:color w:val="auto"/>
                      <w:sz w:val="21"/>
                      <w:szCs w:val="21"/>
                    </w:rPr>
                  </w:pPr>
                  <w:r>
                    <w:rPr>
                      <w:color w:val="auto"/>
                      <w:sz w:val="21"/>
                      <w:szCs w:val="21"/>
                    </w:rPr>
                    <w:t>昼间</w:t>
                  </w:r>
                </w:p>
              </w:tc>
              <w:tc>
                <w:tcPr>
                  <w:tcW w:w="869" w:type="pct"/>
                  <w:tcBorders>
                    <w:tl2br w:val="nil"/>
                    <w:tr2bl w:val="nil"/>
                  </w:tcBorders>
                  <w:vAlign w:val="center"/>
                </w:tcPr>
                <w:p w14:paraId="770313B2">
                  <w:pPr>
                    <w:jc w:val="center"/>
                    <w:rPr>
                      <w:color w:val="auto"/>
                      <w:sz w:val="21"/>
                      <w:szCs w:val="21"/>
                    </w:rPr>
                  </w:pPr>
                  <w:r>
                    <w:rPr>
                      <w:rFonts w:hint="eastAsia"/>
                      <w:color w:val="auto"/>
                      <w:sz w:val="21"/>
                      <w:szCs w:val="21"/>
                    </w:rPr>
                    <w:t>48.40</w:t>
                  </w:r>
                </w:p>
              </w:tc>
              <w:tc>
                <w:tcPr>
                  <w:tcW w:w="864" w:type="pct"/>
                  <w:tcBorders>
                    <w:tl2br w:val="nil"/>
                    <w:tr2bl w:val="nil"/>
                  </w:tcBorders>
                  <w:vAlign w:val="center"/>
                </w:tcPr>
                <w:p w14:paraId="740DF752">
                  <w:pPr>
                    <w:jc w:val="center"/>
                    <w:rPr>
                      <w:color w:val="auto"/>
                      <w:sz w:val="21"/>
                      <w:szCs w:val="21"/>
                    </w:rPr>
                  </w:pPr>
                  <w:r>
                    <w:rPr>
                      <w:color w:val="auto"/>
                      <w:sz w:val="21"/>
                      <w:szCs w:val="21"/>
                    </w:rPr>
                    <w:t>0</w:t>
                  </w:r>
                </w:p>
              </w:tc>
              <w:tc>
                <w:tcPr>
                  <w:tcW w:w="754" w:type="pct"/>
                  <w:tcBorders>
                    <w:tl2br w:val="nil"/>
                    <w:tr2bl w:val="nil"/>
                  </w:tcBorders>
                  <w:vAlign w:val="center"/>
                </w:tcPr>
                <w:p w14:paraId="2BFA453C">
                  <w:pPr>
                    <w:jc w:val="center"/>
                    <w:rPr>
                      <w:color w:val="auto"/>
                      <w:sz w:val="21"/>
                      <w:szCs w:val="21"/>
                    </w:rPr>
                  </w:pPr>
                  <w:r>
                    <w:rPr>
                      <w:rFonts w:hint="eastAsia"/>
                      <w:color w:val="auto"/>
                      <w:sz w:val="21"/>
                      <w:szCs w:val="21"/>
                    </w:rPr>
                    <w:t>55</w:t>
                  </w:r>
                </w:p>
              </w:tc>
            </w:tr>
            <w:tr w14:paraId="2EBAA3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0B81A223">
                  <w:pPr>
                    <w:jc w:val="center"/>
                    <w:rPr>
                      <w:color w:val="auto"/>
                      <w:sz w:val="21"/>
                      <w:szCs w:val="21"/>
                    </w:rPr>
                  </w:pPr>
                  <w:r>
                    <w:rPr>
                      <w:color w:val="auto"/>
                      <w:sz w:val="21"/>
                      <w:szCs w:val="21"/>
                    </w:rPr>
                    <w:t>4</w:t>
                  </w:r>
                </w:p>
              </w:tc>
              <w:tc>
                <w:tcPr>
                  <w:tcW w:w="889" w:type="pct"/>
                  <w:tcBorders>
                    <w:tl2br w:val="nil"/>
                    <w:tr2bl w:val="nil"/>
                  </w:tcBorders>
                  <w:vAlign w:val="center"/>
                </w:tcPr>
                <w:p w14:paraId="4FD94F74">
                  <w:pPr>
                    <w:jc w:val="center"/>
                    <w:rPr>
                      <w:color w:val="auto"/>
                      <w:sz w:val="21"/>
                      <w:szCs w:val="21"/>
                    </w:rPr>
                  </w:pPr>
                  <w:r>
                    <w:rPr>
                      <w:rFonts w:hint="eastAsia"/>
                      <w:color w:val="auto"/>
                      <w:sz w:val="21"/>
                      <w:szCs w:val="21"/>
                    </w:rPr>
                    <w:t>厂界</w:t>
                  </w:r>
                  <w:r>
                    <w:rPr>
                      <w:color w:val="auto"/>
                      <w:sz w:val="21"/>
                      <w:szCs w:val="21"/>
                    </w:rPr>
                    <w:t>北面</w:t>
                  </w:r>
                </w:p>
              </w:tc>
              <w:tc>
                <w:tcPr>
                  <w:tcW w:w="983" w:type="pct"/>
                  <w:tcBorders>
                    <w:tl2br w:val="nil"/>
                    <w:tr2bl w:val="nil"/>
                  </w:tcBorders>
                  <w:vAlign w:val="center"/>
                </w:tcPr>
                <w:p w14:paraId="778C3748">
                  <w:pPr>
                    <w:jc w:val="center"/>
                    <w:rPr>
                      <w:color w:val="auto"/>
                      <w:sz w:val="21"/>
                      <w:szCs w:val="21"/>
                    </w:rPr>
                  </w:pPr>
                  <w:r>
                    <w:rPr>
                      <w:color w:val="auto"/>
                      <w:sz w:val="21"/>
                      <w:szCs w:val="21"/>
                    </w:rPr>
                    <w:t>昼间</w:t>
                  </w:r>
                </w:p>
              </w:tc>
              <w:tc>
                <w:tcPr>
                  <w:tcW w:w="869" w:type="pct"/>
                  <w:tcBorders>
                    <w:tl2br w:val="nil"/>
                    <w:tr2bl w:val="nil"/>
                  </w:tcBorders>
                  <w:vAlign w:val="center"/>
                </w:tcPr>
                <w:p w14:paraId="02CC926D">
                  <w:pPr>
                    <w:jc w:val="center"/>
                    <w:rPr>
                      <w:color w:val="auto"/>
                      <w:sz w:val="21"/>
                      <w:szCs w:val="21"/>
                    </w:rPr>
                  </w:pPr>
                  <w:r>
                    <w:rPr>
                      <w:rFonts w:hint="eastAsia"/>
                      <w:color w:val="auto"/>
                      <w:sz w:val="21"/>
                      <w:szCs w:val="21"/>
                    </w:rPr>
                    <w:t>47.87</w:t>
                  </w:r>
                </w:p>
              </w:tc>
              <w:tc>
                <w:tcPr>
                  <w:tcW w:w="864" w:type="pct"/>
                  <w:tcBorders>
                    <w:tl2br w:val="nil"/>
                    <w:tr2bl w:val="nil"/>
                  </w:tcBorders>
                  <w:vAlign w:val="center"/>
                </w:tcPr>
                <w:p w14:paraId="06F0B52D">
                  <w:pPr>
                    <w:jc w:val="center"/>
                    <w:rPr>
                      <w:color w:val="auto"/>
                      <w:sz w:val="21"/>
                      <w:szCs w:val="21"/>
                    </w:rPr>
                  </w:pPr>
                  <w:r>
                    <w:rPr>
                      <w:color w:val="auto"/>
                      <w:sz w:val="21"/>
                      <w:szCs w:val="21"/>
                    </w:rPr>
                    <w:t>0</w:t>
                  </w:r>
                </w:p>
              </w:tc>
              <w:tc>
                <w:tcPr>
                  <w:tcW w:w="754" w:type="pct"/>
                  <w:tcBorders>
                    <w:tl2br w:val="nil"/>
                    <w:tr2bl w:val="nil"/>
                  </w:tcBorders>
                  <w:vAlign w:val="center"/>
                </w:tcPr>
                <w:p w14:paraId="55E4FC03">
                  <w:pPr>
                    <w:jc w:val="center"/>
                    <w:rPr>
                      <w:color w:val="auto"/>
                      <w:sz w:val="21"/>
                      <w:szCs w:val="21"/>
                    </w:rPr>
                  </w:pPr>
                  <w:r>
                    <w:rPr>
                      <w:rFonts w:hint="eastAsia"/>
                      <w:color w:val="auto"/>
                      <w:sz w:val="21"/>
                      <w:szCs w:val="21"/>
                    </w:rPr>
                    <w:t>55</w:t>
                  </w:r>
                </w:p>
              </w:tc>
            </w:tr>
          </w:tbl>
          <w:p w14:paraId="4E327C1B">
            <w:pPr>
              <w:spacing w:line="360" w:lineRule="auto"/>
              <w:ind w:firstLine="480" w:firstLineChars="200"/>
              <w:rPr>
                <w:color w:val="auto"/>
              </w:rPr>
            </w:pPr>
            <w:r>
              <w:rPr>
                <w:rFonts w:hint="eastAsia"/>
                <w:color w:val="auto"/>
              </w:rPr>
              <w:t>由噪声预测结果可知，储层改造施工过程中，东、南、西、北面厂界昼间噪声贡献值均满足《工业企业厂界环境噪声排放标准》（GB12348-2008）1类标准限值要求。因此，经采取相应噪声防治措施，项目建设对周边声环境影响不大。</w:t>
            </w:r>
          </w:p>
          <w:p w14:paraId="7206133B">
            <w:pPr>
              <w:spacing w:line="360" w:lineRule="auto"/>
              <w:ind w:firstLine="480" w:firstLineChars="200"/>
              <w:rPr>
                <w:color w:val="auto"/>
              </w:rPr>
            </w:pPr>
            <w:r>
              <w:rPr>
                <w:rFonts w:hint="eastAsia"/>
                <w:color w:val="auto"/>
              </w:rPr>
              <w:t>噪声环境影响评价预测结果详见下表。</w:t>
            </w:r>
          </w:p>
          <w:p w14:paraId="17A5FC0B">
            <w:pPr>
              <w:spacing w:line="360" w:lineRule="auto"/>
              <w:jc w:val="center"/>
              <w:rPr>
                <w:b/>
                <w:bCs/>
                <w:color w:val="auto"/>
              </w:rPr>
            </w:pPr>
            <w:r>
              <w:rPr>
                <w:b/>
                <w:bCs/>
                <w:color w:val="auto"/>
              </w:rPr>
              <w:t>表</w:t>
            </w:r>
            <w:r>
              <w:rPr>
                <w:rFonts w:hint="eastAsia"/>
                <w:b/>
                <w:bCs/>
                <w:color w:val="auto"/>
              </w:rPr>
              <w:t>4-</w:t>
            </w:r>
            <w:r>
              <w:rPr>
                <w:b/>
                <w:bCs/>
                <w:color w:val="auto"/>
              </w:rPr>
              <w:t>1</w:t>
            </w:r>
            <w:r>
              <w:rPr>
                <w:rFonts w:hint="eastAsia"/>
                <w:b/>
                <w:bCs/>
                <w:color w:val="auto"/>
              </w:rPr>
              <w:t xml:space="preserve">1 </w:t>
            </w:r>
            <w:r>
              <w:rPr>
                <w:b/>
                <w:bCs/>
                <w:color w:val="auto"/>
              </w:rPr>
              <w:t xml:space="preserve">厂界噪声预测结果表  </w:t>
            </w:r>
            <w:r>
              <w:rPr>
                <w:rFonts w:hint="eastAsia"/>
                <w:b/>
                <w:bCs/>
                <w:color w:val="auto"/>
              </w:rPr>
              <w:t>单位：</w:t>
            </w:r>
            <w:r>
              <w:rPr>
                <w:b/>
                <w:bCs/>
                <w:color w:val="auto"/>
              </w:rPr>
              <w:t>dB（A）</w:t>
            </w:r>
          </w:p>
          <w:tbl>
            <w:tblPr>
              <w:tblStyle w:val="19"/>
              <w:tblpPr w:leftFromText="181" w:rightFromText="181" w:vertAnchor="text" w:tblpXSpec="center" w:tblpY="1"/>
              <w:tblOverlap w:val="never"/>
              <w:tblW w:w="4998"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512"/>
              <w:gridCol w:w="1672"/>
              <w:gridCol w:w="1478"/>
              <w:gridCol w:w="1469"/>
              <w:gridCol w:w="1283"/>
            </w:tblGrid>
            <w:tr w14:paraId="7B909F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tcBorders>
                    <w:tl2br w:val="nil"/>
                    <w:tr2bl w:val="nil"/>
                  </w:tcBorders>
                  <w:vAlign w:val="center"/>
                </w:tcPr>
                <w:p w14:paraId="4D415967">
                  <w:pPr>
                    <w:jc w:val="center"/>
                    <w:rPr>
                      <w:b/>
                      <w:bCs/>
                      <w:color w:val="auto"/>
                      <w:sz w:val="21"/>
                      <w:szCs w:val="21"/>
                    </w:rPr>
                  </w:pPr>
                  <w:r>
                    <w:rPr>
                      <w:b/>
                      <w:bCs/>
                      <w:color w:val="auto"/>
                      <w:sz w:val="21"/>
                      <w:szCs w:val="21"/>
                    </w:rPr>
                    <w:t>序号</w:t>
                  </w:r>
                </w:p>
              </w:tc>
              <w:tc>
                <w:tcPr>
                  <w:tcW w:w="889" w:type="pct"/>
                  <w:tcBorders>
                    <w:tl2br w:val="nil"/>
                    <w:tr2bl w:val="nil"/>
                  </w:tcBorders>
                  <w:vAlign w:val="center"/>
                </w:tcPr>
                <w:p w14:paraId="5961CEA6">
                  <w:pPr>
                    <w:jc w:val="center"/>
                    <w:rPr>
                      <w:b/>
                      <w:bCs/>
                      <w:color w:val="auto"/>
                      <w:sz w:val="21"/>
                      <w:szCs w:val="21"/>
                    </w:rPr>
                  </w:pPr>
                  <w:r>
                    <w:rPr>
                      <w:b/>
                      <w:bCs/>
                      <w:color w:val="auto"/>
                      <w:sz w:val="21"/>
                      <w:szCs w:val="21"/>
                    </w:rPr>
                    <w:t>预测点</w:t>
                  </w:r>
                </w:p>
              </w:tc>
              <w:tc>
                <w:tcPr>
                  <w:tcW w:w="983" w:type="pct"/>
                  <w:tcBorders>
                    <w:tl2br w:val="nil"/>
                    <w:tr2bl w:val="nil"/>
                  </w:tcBorders>
                  <w:vAlign w:val="center"/>
                </w:tcPr>
                <w:p w14:paraId="41BD36DC">
                  <w:pPr>
                    <w:jc w:val="center"/>
                    <w:rPr>
                      <w:b/>
                      <w:bCs/>
                      <w:color w:val="auto"/>
                      <w:sz w:val="21"/>
                      <w:szCs w:val="21"/>
                    </w:rPr>
                  </w:pPr>
                  <w:r>
                    <w:rPr>
                      <w:b/>
                      <w:bCs/>
                      <w:color w:val="auto"/>
                      <w:sz w:val="21"/>
                      <w:szCs w:val="21"/>
                    </w:rPr>
                    <w:t>预测时段</w:t>
                  </w:r>
                </w:p>
              </w:tc>
              <w:tc>
                <w:tcPr>
                  <w:tcW w:w="869" w:type="pct"/>
                  <w:tcBorders>
                    <w:tl2br w:val="nil"/>
                    <w:tr2bl w:val="nil"/>
                  </w:tcBorders>
                  <w:vAlign w:val="center"/>
                </w:tcPr>
                <w:p w14:paraId="5A4E4D82">
                  <w:pPr>
                    <w:jc w:val="center"/>
                    <w:rPr>
                      <w:b/>
                      <w:bCs/>
                      <w:color w:val="auto"/>
                      <w:sz w:val="21"/>
                      <w:szCs w:val="21"/>
                    </w:rPr>
                  </w:pPr>
                  <w:r>
                    <w:rPr>
                      <w:b/>
                      <w:bCs/>
                      <w:color w:val="auto"/>
                      <w:sz w:val="21"/>
                      <w:szCs w:val="21"/>
                    </w:rPr>
                    <w:t>贡献值</w:t>
                  </w:r>
                </w:p>
              </w:tc>
              <w:tc>
                <w:tcPr>
                  <w:tcW w:w="864" w:type="pct"/>
                  <w:tcBorders>
                    <w:tl2br w:val="nil"/>
                    <w:tr2bl w:val="nil"/>
                  </w:tcBorders>
                  <w:vAlign w:val="center"/>
                </w:tcPr>
                <w:p w14:paraId="1F76FAEE">
                  <w:pPr>
                    <w:jc w:val="center"/>
                    <w:rPr>
                      <w:b/>
                      <w:bCs/>
                      <w:color w:val="auto"/>
                      <w:sz w:val="21"/>
                      <w:szCs w:val="21"/>
                    </w:rPr>
                  </w:pPr>
                  <w:r>
                    <w:rPr>
                      <w:b/>
                      <w:bCs/>
                      <w:color w:val="auto"/>
                      <w:sz w:val="21"/>
                      <w:szCs w:val="21"/>
                    </w:rPr>
                    <w:t>超标值</w:t>
                  </w:r>
                </w:p>
              </w:tc>
              <w:tc>
                <w:tcPr>
                  <w:tcW w:w="754" w:type="pct"/>
                  <w:tcBorders>
                    <w:tl2br w:val="nil"/>
                    <w:tr2bl w:val="nil"/>
                  </w:tcBorders>
                  <w:vAlign w:val="center"/>
                </w:tcPr>
                <w:p w14:paraId="78D6763C">
                  <w:pPr>
                    <w:jc w:val="center"/>
                    <w:rPr>
                      <w:b/>
                      <w:bCs/>
                      <w:color w:val="auto"/>
                      <w:sz w:val="21"/>
                      <w:szCs w:val="21"/>
                    </w:rPr>
                  </w:pPr>
                  <w:r>
                    <w:rPr>
                      <w:b/>
                      <w:bCs/>
                      <w:color w:val="auto"/>
                      <w:sz w:val="21"/>
                      <w:szCs w:val="21"/>
                    </w:rPr>
                    <w:t>标准</w:t>
                  </w:r>
                </w:p>
              </w:tc>
            </w:tr>
            <w:tr w14:paraId="61C7B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515CF792">
                  <w:pPr>
                    <w:jc w:val="center"/>
                    <w:rPr>
                      <w:color w:val="auto"/>
                      <w:sz w:val="21"/>
                      <w:szCs w:val="21"/>
                    </w:rPr>
                  </w:pPr>
                  <w:r>
                    <w:rPr>
                      <w:color w:val="auto"/>
                      <w:sz w:val="21"/>
                      <w:szCs w:val="21"/>
                    </w:rPr>
                    <w:t>1</w:t>
                  </w:r>
                </w:p>
              </w:tc>
              <w:tc>
                <w:tcPr>
                  <w:tcW w:w="889" w:type="pct"/>
                  <w:vMerge w:val="restart"/>
                  <w:tcBorders>
                    <w:tl2br w:val="nil"/>
                    <w:tr2bl w:val="nil"/>
                  </w:tcBorders>
                  <w:vAlign w:val="center"/>
                </w:tcPr>
                <w:p w14:paraId="6EC4BBD3">
                  <w:pPr>
                    <w:jc w:val="center"/>
                    <w:rPr>
                      <w:color w:val="auto"/>
                      <w:sz w:val="21"/>
                      <w:szCs w:val="21"/>
                    </w:rPr>
                  </w:pPr>
                  <w:r>
                    <w:rPr>
                      <w:rFonts w:hint="eastAsia"/>
                      <w:color w:val="auto"/>
                      <w:sz w:val="21"/>
                      <w:szCs w:val="21"/>
                    </w:rPr>
                    <w:t>厂界</w:t>
                  </w:r>
                  <w:r>
                    <w:rPr>
                      <w:color w:val="auto"/>
                      <w:sz w:val="21"/>
                      <w:szCs w:val="21"/>
                    </w:rPr>
                    <w:t>东面</w:t>
                  </w:r>
                </w:p>
              </w:tc>
              <w:tc>
                <w:tcPr>
                  <w:tcW w:w="983" w:type="pct"/>
                  <w:tcBorders>
                    <w:tl2br w:val="nil"/>
                    <w:tr2bl w:val="nil"/>
                  </w:tcBorders>
                  <w:vAlign w:val="center"/>
                </w:tcPr>
                <w:p w14:paraId="6F907F44">
                  <w:pPr>
                    <w:jc w:val="center"/>
                    <w:rPr>
                      <w:color w:val="auto"/>
                      <w:sz w:val="21"/>
                      <w:szCs w:val="21"/>
                    </w:rPr>
                  </w:pPr>
                  <w:r>
                    <w:rPr>
                      <w:color w:val="auto"/>
                      <w:sz w:val="21"/>
                      <w:szCs w:val="21"/>
                    </w:rPr>
                    <w:t>昼间</w:t>
                  </w:r>
                </w:p>
              </w:tc>
              <w:tc>
                <w:tcPr>
                  <w:tcW w:w="869" w:type="pct"/>
                  <w:tcBorders>
                    <w:tl2br w:val="nil"/>
                    <w:tr2bl w:val="nil"/>
                  </w:tcBorders>
                  <w:vAlign w:val="center"/>
                </w:tcPr>
                <w:p w14:paraId="25956C15">
                  <w:pPr>
                    <w:jc w:val="center"/>
                    <w:rPr>
                      <w:color w:val="auto"/>
                      <w:sz w:val="21"/>
                      <w:szCs w:val="21"/>
                    </w:rPr>
                  </w:pPr>
                  <w:r>
                    <w:rPr>
                      <w:rFonts w:hint="eastAsia"/>
                      <w:color w:val="auto"/>
                      <w:sz w:val="21"/>
                      <w:szCs w:val="21"/>
                    </w:rPr>
                    <w:t>22.10</w:t>
                  </w:r>
                </w:p>
              </w:tc>
              <w:tc>
                <w:tcPr>
                  <w:tcW w:w="864" w:type="pct"/>
                  <w:tcBorders>
                    <w:tl2br w:val="nil"/>
                    <w:tr2bl w:val="nil"/>
                  </w:tcBorders>
                  <w:vAlign w:val="center"/>
                </w:tcPr>
                <w:p w14:paraId="2D2AAB4F">
                  <w:pPr>
                    <w:jc w:val="center"/>
                    <w:rPr>
                      <w:color w:val="auto"/>
                      <w:sz w:val="21"/>
                      <w:szCs w:val="21"/>
                    </w:rPr>
                  </w:pPr>
                  <w:r>
                    <w:rPr>
                      <w:color w:val="auto"/>
                      <w:sz w:val="21"/>
                      <w:szCs w:val="21"/>
                    </w:rPr>
                    <w:t>0</w:t>
                  </w:r>
                </w:p>
              </w:tc>
              <w:tc>
                <w:tcPr>
                  <w:tcW w:w="754" w:type="pct"/>
                  <w:tcBorders>
                    <w:tl2br w:val="nil"/>
                    <w:tr2bl w:val="nil"/>
                  </w:tcBorders>
                  <w:vAlign w:val="center"/>
                </w:tcPr>
                <w:p w14:paraId="332E8B9A">
                  <w:pPr>
                    <w:jc w:val="center"/>
                    <w:rPr>
                      <w:color w:val="auto"/>
                      <w:sz w:val="21"/>
                      <w:szCs w:val="21"/>
                    </w:rPr>
                  </w:pPr>
                  <w:r>
                    <w:rPr>
                      <w:rFonts w:hint="eastAsia"/>
                      <w:color w:val="auto"/>
                      <w:sz w:val="21"/>
                      <w:szCs w:val="21"/>
                    </w:rPr>
                    <w:t>55</w:t>
                  </w:r>
                </w:p>
              </w:tc>
            </w:tr>
            <w:tr w14:paraId="221855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205A9404">
                  <w:pPr>
                    <w:jc w:val="center"/>
                    <w:rPr>
                      <w:color w:val="auto"/>
                      <w:sz w:val="21"/>
                      <w:szCs w:val="21"/>
                    </w:rPr>
                  </w:pPr>
                </w:p>
              </w:tc>
              <w:tc>
                <w:tcPr>
                  <w:tcW w:w="889" w:type="pct"/>
                  <w:vMerge w:val="continue"/>
                  <w:tcBorders>
                    <w:tl2br w:val="nil"/>
                    <w:tr2bl w:val="nil"/>
                  </w:tcBorders>
                  <w:vAlign w:val="center"/>
                </w:tcPr>
                <w:p w14:paraId="678E62F9">
                  <w:pPr>
                    <w:jc w:val="center"/>
                    <w:rPr>
                      <w:color w:val="auto"/>
                      <w:sz w:val="21"/>
                      <w:szCs w:val="21"/>
                    </w:rPr>
                  </w:pPr>
                </w:p>
              </w:tc>
              <w:tc>
                <w:tcPr>
                  <w:tcW w:w="983" w:type="pct"/>
                  <w:tcBorders>
                    <w:tl2br w:val="nil"/>
                    <w:tr2bl w:val="nil"/>
                  </w:tcBorders>
                  <w:vAlign w:val="center"/>
                </w:tcPr>
                <w:p w14:paraId="5B713B98">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27623622">
                  <w:pPr>
                    <w:jc w:val="center"/>
                    <w:rPr>
                      <w:color w:val="auto"/>
                      <w:sz w:val="21"/>
                      <w:szCs w:val="21"/>
                    </w:rPr>
                  </w:pPr>
                  <w:r>
                    <w:rPr>
                      <w:rFonts w:hint="eastAsia"/>
                      <w:color w:val="auto"/>
                      <w:sz w:val="21"/>
                      <w:szCs w:val="21"/>
                    </w:rPr>
                    <w:t>22.10</w:t>
                  </w:r>
                </w:p>
              </w:tc>
              <w:tc>
                <w:tcPr>
                  <w:tcW w:w="864" w:type="pct"/>
                  <w:tcBorders>
                    <w:tl2br w:val="nil"/>
                    <w:tr2bl w:val="nil"/>
                  </w:tcBorders>
                  <w:vAlign w:val="center"/>
                </w:tcPr>
                <w:p w14:paraId="682386B4">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6A655269">
                  <w:pPr>
                    <w:jc w:val="center"/>
                    <w:rPr>
                      <w:color w:val="auto"/>
                      <w:sz w:val="21"/>
                      <w:szCs w:val="21"/>
                    </w:rPr>
                  </w:pPr>
                  <w:r>
                    <w:rPr>
                      <w:rFonts w:hint="eastAsia"/>
                      <w:color w:val="auto"/>
                      <w:sz w:val="21"/>
                      <w:szCs w:val="21"/>
                    </w:rPr>
                    <w:t>45</w:t>
                  </w:r>
                </w:p>
              </w:tc>
            </w:tr>
            <w:tr w14:paraId="73681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0D8E30A5">
                  <w:pPr>
                    <w:jc w:val="center"/>
                    <w:rPr>
                      <w:color w:val="auto"/>
                      <w:sz w:val="21"/>
                      <w:szCs w:val="21"/>
                    </w:rPr>
                  </w:pPr>
                  <w:r>
                    <w:rPr>
                      <w:color w:val="auto"/>
                      <w:sz w:val="21"/>
                      <w:szCs w:val="21"/>
                    </w:rPr>
                    <w:t>2</w:t>
                  </w:r>
                </w:p>
              </w:tc>
              <w:tc>
                <w:tcPr>
                  <w:tcW w:w="889" w:type="pct"/>
                  <w:vMerge w:val="restart"/>
                  <w:tcBorders>
                    <w:tl2br w:val="nil"/>
                    <w:tr2bl w:val="nil"/>
                  </w:tcBorders>
                  <w:vAlign w:val="center"/>
                </w:tcPr>
                <w:p w14:paraId="17E0B9DA">
                  <w:pPr>
                    <w:jc w:val="center"/>
                    <w:rPr>
                      <w:color w:val="auto"/>
                      <w:sz w:val="21"/>
                      <w:szCs w:val="21"/>
                    </w:rPr>
                  </w:pPr>
                  <w:r>
                    <w:rPr>
                      <w:rFonts w:hint="eastAsia"/>
                      <w:color w:val="auto"/>
                      <w:sz w:val="21"/>
                      <w:szCs w:val="21"/>
                    </w:rPr>
                    <w:t>厂界</w:t>
                  </w:r>
                  <w:r>
                    <w:rPr>
                      <w:color w:val="auto"/>
                      <w:sz w:val="21"/>
                      <w:szCs w:val="21"/>
                    </w:rPr>
                    <w:t>南面</w:t>
                  </w:r>
                </w:p>
              </w:tc>
              <w:tc>
                <w:tcPr>
                  <w:tcW w:w="983" w:type="pct"/>
                  <w:tcBorders>
                    <w:tl2br w:val="nil"/>
                    <w:tr2bl w:val="nil"/>
                  </w:tcBorders>
                  <w:vAlign w:val="center"/>
                </w:tcPr>
                <w:p w14:paraId="1CB319F0">
                  <w:pPr>
                    <w:jc w:val="center"/>
                    <w:rPr>
                      <w:color w:val="auto"/>
                      <w:sz w:val="21"/>
                      <w:szCs w:val="21"/>
                    </w:rPr>
                  </w:pPr>
                  <w:r>
                    <w:rPr>
                      <w:color w:val="auto"/>
                      <w:sz w:val="21"/>
                      <w:szCs w:val="21"/>
                    </w:rPr>
                    <w:t>昼间</w:t>
                  </w:r>
                </w:p>
              </w:tc>
              <w:tc>
                <w:tcPr>
                  <w:tcW w:w="869" w:type="pct"/>
                  <w:tcBorders>
                    <w:tl2br w:val="nil"/>
                    <w:tr2bl w:val="nil"/>
                  </w:tcBorders>
                  <w:vAlign w:val="center"/>
                </w:tcPr>
                <w:p w14:paraId="6A0C2753">
                  <w:pPr>
                    <w:jc w:val="center"/>
                    <w:rPr>
                      <w:color w:val="auto"/>
                      <w:sz w:val="21"/>
                      <w:szCs w:val="21"/>
                    </w:rPr>
                  </w:pPr>
                  <w:r>
                    <w:rPr>
                      <w:rFonts w:hint="eastAsia"/>
                      <w:color w:val="auto"/>
                      <w:sz w:val="21"/>
                      <w:szCs w:val="21"/>
                    </w:rPr>
                    <w:t>22.06</w:t>
                  </w:r>
                </w:p>
              </w:tc>
              <w:tc>
                <w:tcPr>
                  <w:tcW w:w="864" w:type="pct"/>
                  <w:tcBorders>
                    <w:tl2br w:val="nil"/>
                    <w:tr2bl w:val="nil"/>
                  </w:tcBorders>
                  <w:vAlign w:val="center"/>
                </w:tcPr>
                <w:p w14:paraId="7CF006A8">
                  <w:pPr>
                    <w:jc w:val="center"/>
                    <w:rPr>
                      <w:color w:val="auto"/>
                      <w:sz w:val="21"/>
                      <w:szCs w:val="21"/>
                    </w:rPr>
                  </w:pPr>
                  <w:r>
                    <w:rPr>
                      <w:color w:val="auto"/>
                      <w:sz w:val="21"/>
                      <w:szCs w:val="21"/>
                    </w:rPr>
                    <w:t>0</w:t>
                  </w:r>
                </w:p>
              </w:tc>
              <w:tc>
                <w:tcPr>
                  <w:tcW w:w="754" w:type="pct"/>
                  <w:tcBorders>
                    <w:tl2br w:val="nil"/>
                    <w:tr2bl w:val="nil"/>
                  </w:tcBorders>
                  <w:vAlign w:val="center"/>
                </w:tcPr>
                <w:p w14:paraId="1C8CBDEF">
                  <w:pPr>
                    <w:jc w:val="center"/>
                    <w:rPr>
                      <w:color w:val="auto"/>
                      <w:sz w:val="21"/>
                      <w:szCs w:val="21"/>
                    </w:rPr>
                  </w:pPr>
                  <w:r>
                    <w:rPr>
                      <w:rFonts w:hint="eastAsia"/>
                      <w:color w:val="auto"/>
                      <w:sz w:val="21"/>
                      <w:szCs w:val="21"/>
                    </w:rPr>
                    <w:t>55</w:t>
                  </w:r>
                </w:p>
              </w:tc>
            </w:tr>
            <w:tr w14:paraId="64DA42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782D3BD2">
                  <w:pPr>
                    <w:jc w:val="center"/>
                    <w:rPr>
                      <w:color w:val="auto"/>
                      <w:sz w:val="21"/>
                      <w:szCs w:val="21"/>
                    </w:rPr>
                  </w:pPr>
                </w:p>
              </w:tc>
              <w:tc>
                <w:tcPr>
                  <w:tcW w:w="889" w:type="pct"/>
                  <w:vMerge w:val="continue"/>
                  <w:tcBorders>
                    <w:tl2br w:val="nil"/>
                    <w:tr2bl w:val="nil"/>
                  </w:tcBorders>
                  <w:vAlign w:val="center"/>
                </w:tcPr>
                <w:p w14:paraId="27EA95AD">
                  <w:pPr>
                    <w:jc w:val="center"/>
                    <w:rPr>
                      <w:color w:val="auto"/>
                      <w:sz w:val="21"/>
                      <w:szCs w:val="21"/>
                    </w:rPr>
                  </w:pPr>
                </w:p>
              </w:tc>
              <w:tc>
                <w:tcPr>
                  <w:tcW w:w="983" w:type="pct"/>
                  <w:tcBorders>
                    <w:tl2br w:val="nil"/>
                    <w:tr2bl w:val="nil"/>
                  </w:tcBorders>
                  <w:vAlign w:val="center"/>
                </w:tcPr>
                <w:p w14:paraId="0EA04E3E">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01577E17">
                  <w:pPr>
                    <w:jc w:val="center"/>
                    <w:rPr>
                      <w:color w:val="auto"/>
                      <w:sz w:val="21"/>
                      <w:szCs w:val="21"/>
                    </w:rPr>
                  </w:pPr>
                  <w:r>
                    <w:rPr>
                      <w:rFonts w:hint="eastAsia"/>
                      <w:color w:val="auto"/>
                      <w:sz w:val="21"/>
                      <w:szCs w:val="21"/>
                    </w:rPr>
                    <w:t>22.06</w:t>
                  </w:r>
                </w:p>
              </w:tc>
              <w:tc>
                <w:tcPr>
                  <w:tcW w:w="864" w:type="pct"/>
                  <w:tcBorders>
                    <w:tl2br w:val="nil"/>
                    <w:tr2bl w:val="nil"/>
                  </w:tcBorders>
                  <w:vAlign w:val="center"/>
                </w:tcPr>
                <w:p w14:paraId="2FD01C80">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6199933F">
                  <w:pPr>
                    <w:jc w:val="center"/>
                    <w:rPr>
                      <w:color w:val="auto"/>
                      <w:sz w:val="21"/>
                      <w:szCs w:val="21"/>
                    </w:rPr>
                  </w:pPr>
                  <w:r>
                    <w:rPr>
                      <w:rFonts w:hint="eastAsia"/>
                      <w:color w:val="auto"/>
                      <w:sz w:val="21"/>
                      <w:szCs w:val="21"/>
                    </w:rPr>
                    <w:t>45</w:t>
                  </w:r>
                </w:p>
              </w:tc>
            </w:tr>
            <w:tr w14:paraId="178E44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3B0DBE61">
                  <w:pPr>
                    <w:jc w:val="center"/>
                    <w:rPr>
                      <w:color w:val="auto"/>
                      <w:sz w:val="21"/>
                      <w:szCs w:val="21"/>
                    </w:rPr>
                  </w:pPr>
                  <w:r>
                    <w:rPr>
                      <w:color w:val="auto"/>
                      <w:sz w:val="21"/>
                      <w:szCs w:val="21"/>
                    </w:rPr>
                    <w:t>3</w:t>
                  </w:r>
                </w:p>
              </w:tc>
              <w:tc>
                <w:tcPr>
                  <w:tcW w:w="889" w:type="pct"/>
                  <w:vMerge w:val="restart"/>
                  <w:tcBorders>
                    <w:tl2br w:val="nil"/>
                    <w:tr2bl w:val="nil"/>
                  </w:tcBorders>
                  <w:vAlign w:val="center"/>
                </w:tcPr>
                <w:p w14:paraId="2D141CDB">
                  <w:pPr>
                    <w:jc w:val="center"/>
                    <w:rPr>
                      <w:color w:val="auto"/>
                      <w:sz w:val="21"/>
                      <w:szCs w:val="21"/>
                    </w:rPr>
                  </w:pPr>
                  <w:r>
                    <w:rPr>
                      <w:rFonts w:hint="eastAsia"/>
                      <w:color w:val="auto"/>
                      <w:sz w:val="21"/>
                      <w:szCs w:val="21"/>
                    </w:rPr>
                    <w:t>厂界</w:t>
                  </w:r>
                  <w:r>
                    <w:rPr>
                      <w:color w:val="auto"/>
                      <w:sz w:val="21"/>
                      <w:szCs w:val="21"/>
                    </w:rPr>
                    <w:t>西面</w:t>
                  </w:r>
                </w:p>
              </w:tc>
              <w:tc>
                <w:tcPr>
                  <w:tcW w:w="983" w:type="pct"/>
                  <w:tcBorders>
                    <w:tl2br w:val="nil"/>
                    <w:tr2bl w:val="nil"/>
                  </w:tcBorders>
                  <w:vAlign w:val="center"/>
                </w:tcPr>
                <w:p w14:paraId="6486AA9B">
                  <w:pPr>
                    <w:jc w:val="center"/>
                    <w:rPr>
                      <w:color w:val="auto"/>
                      <w:sz w:val="21"/>
                      <w:szCs w:val="21"/>
                    </w:rPr>
                  </w:pPr>
                  <w:r>
                    <w:rPr>
                      <w:color w:val="auto"/>
                      <w:sz w:val="21"/>
                      <w:szCs w:val="21"/>
                    </w:rPr>
                    <w:t>昼间</w:t>
                  </w:r>
                </w:p>
              </w:tc>
              <w:tc>
                <w:tcPr>
                  <w:tcW w:w="869" w:type="pct"/>
                  <w:tcBorders>
                    <w:tl2br w:val="nil"/>
                    <w:tr2bl w:val="nil"/>
                  </w:tcBorders>
                  <w:vAlign w:val="center"/>
                </w:tcPr>
                <w:p w14:paraId="69A42725">
                  <w:pPr>
                    <w:jc w:val="center"/>
                    <w:rPr>
                      <w:color w:val="auto"/>
                      <w:sz w:val="21"/>
                      <w:szCs w:val="21"/>
                    </w:rPr>
                  </w:pPr>
                  <w:r>
                    <w:rPr>
                      <w:rFonts w:hint="eastAsia"/>
                      <w:color w:val="auto"/>
                      <w:sz w:val="21"/>
                      <w:szCs w:val="21"/>
                    </w:rPr>
                    <w:t>23.05</w:t>
                  </w:r>
                </w:p>
              </w:tc>
              <w:tc>
                <w:tcPr>
                  <w:tcW w:w="864" w:type="pct"/>
                  <w:tcBorders>
                    <w:tl2br w:val="nil"/>
                    <w:tr2bl w:val="nil"/>
                  </w:tcBorders>
                  <w:vAlign w:val="center"/>
                </w:tcPr>
                <w:p w14:paraId="432C206A">
                  <w:pPr>
                    <w:jc w:val="center"/>
                    <w:rPr>
                      <w:color w:val="auto"/>
                      <w:sz w:val="21"/>
                      <w:szCs w:val="21"/>
                    </w:rPr>
                  </w:pPr>
                  <w:r>
                    <w:rPr>
                      <w:color w:val="auto"/>
                      <w:sz w:val="21"/>
                      <w:szCs w:val="21"/>
                    </w:rPr>
                    <w:t>0</w:t>
                  </w:r>
                </w:p>
              </w:tc>
              <w:tc>
                <w:tcPr>
                  <w:tcW w:w="754" w:type="pct"/>
                  <w:tcBorders>
                    <w:tl2br w:val="nil"/>
                    <w:tr2bl w:val="nil"/>
                  </w:tcBorders>
                  <w:vAlign w:val="center"/>
                </w:tcPr>
                <w:p w14:paraId="6BD54E0E">
                  <w:pPr>
                    <w:jc w:val="center"/>
                    <w:rPr>
                      <w:color w:val="auto"/>
                      <w:sz w:val="21"/>
                      <w:szCs w:val="21"/>
                    </w:rPr>
                  </w:pPr>
                  <w:r>
                    <w:rPr>
                      <w:rFonts w:hint="eastAsia"/>
                      <w:color w:val="auto"/>
                      <w:sz w:val="21"/>
                      <w:szCs w:val="21"/>
                    </w:rPr>
                    <w:t>55</w:t>
                  </w:r>
                </w:p>
              </w:tc>
            </w:tr>
            <w:tr w14:paraId="2EDC1C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continue"/>
                  <w:tcBorders>
                    <w:tl2br w:val="nil"/>
                    <w:tr2bl w:val="nil"/>
                  </w:tcBorders>
                  <w:vAlign w:val="center"/>
                </w:tcPr>
                <w:p w14:paraId="472A625E">
                  <w:pPr>
                    <w:jc w:val="center"/>
                    <w:rPr>
                      <w:color w:val="auto"/>
                      <w:sz w:val="21"/>
                      <w:szCs w:val="21"/>
                    </w:rPr>
                  </w:pPr>
                </w:p>
              </w:tc>
              <w:tc>
                <w:tcPr>
                  <w:tcW w:w="889" w:type="pct"/>
                  <w:vMerge w:val="continue"/>
                  <w:tcBorders>
                    <w:tl2br w:val="nil"/>
                    <w:tr2bl w:val="nil"/>
                  </w:tcBorders>
                  <w:vAlign w:val="center"/>
                </w:tcPr>
                <w:p w14:paraId="41514BD7">
                  <w:pPr>
                    <w:jc w:val="center"/>
                    <w:rPr>
                      <w:color w:val="auto"/>
                      <w:sz w:val="21"/>
                      <w:szCs w:val="21"/>
                    </w:rPr>
                  </w:pPr>
                </w:p>
              </w:tc>
              <w:tc>
                <w:tcPr>
                  <w:tcW w:w="983" w:type="pct"/>
                  <w:tcBorders>
                    <w:tl2br w:val="nil"/>
                    <w:tr2bl w:val="nil"/>
                  </w:tcBorders>
                  <w:vAlign w:val="center"/>
                </w:tcPr>
                <w:p w14:paraId="68B43157">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16010A39">
                  <w:pPr>
                    <w:jc w:val="center"/>
                    <w:rPr>
                      <w:color w:val="auto"/>
                      <w:sz w:val="21"/>
                      <w:szCs w:val="21"/>
                    </w:rPr>
                  </w:pPr>
                  <w:r>
                    <w:rPr>
                      <w:rFonts w:hint="eastAsia"/>
                      <w:color w:val="auto"/>
                      <w:sz w:val="21"/>
                      <w:szCs w:val="21"/>
                    </w:rPr>
                    <w:t>23.05</w:t>
                  </w:r>
                </w:p>
              </w:tc>
              <w:tc>
                <w:tcPr>
                  <w:tcW w:w="864" w:type="pct"/>
                  <w:tcBorders>
                    <w:tl2br w:val="nil"/>
                    <w:tr2bl w:val="nil"/>
                  </w:tcBorders>
                  <w:vAlign w:val="center"/>
                </w:tcPr>
                <w:p w14:paraId="3E15B4E2">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1E06A736">
                  <w:pPr>
                    <w:jc w:val="center"/>
                    <w:rPr>
                      <w:color w:val="auto"/>
                      <w:sz w:val="21"/>
                      <w:szCs w:val="21"/>
                    </w:rPr>
                  </w:pPr>
                  <w:r>
                    <w:rPr>
                      <w:rFonts w:hint="eastAsia"/>
                      <w:color w:val="auto"/>
                      <w:sz w:val="21"/>
                      <w:szCs w:val="21"/>
                    </w:rPr>
                    <w:t>45</w:t>
                  </w:r>
                </w:p>
              </w:tc>
            </w:tr>
            <w:tr w14:paraId="49EF99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637" w:type="pct"/>
                  <w:vMerge w:val="restart"/>
                  <w:tcBorders>
                    <w:tl2br w:val="nil"/>
                    <w:tr2bl w:val="nil"/>
                  </w:tcBorders>
                  <w:vAlign w:val="center"/>
                </w:tcPr>
                <w:p w14:paraId="0DCF9CEA">
                  <w:pPr>
                    <w:jc w:val="center"/>
                    <w:rPr>
                      <w:color w:val="auto"/>
                      <w:sz w:val="21"/>
                      <w:szCs w:val="21"/>
                    </w:rPr>
                  </w:pPr>
                  <w:r>
                    <w:rPr>
                      <w:color w:val="auto"/>
                      <w:sz w:val="21"/>
                      <w:szCs w:val="21"/>
                    </w:rPr>
                    <w:t>4</w:t>
                  </w:r>
                </w:p>
              </w:tc>
              <w:tc>
                <w:tcPr>
                  <w:tcW w:w="889" w:type="pct"/>
                  <w:vMerge w:val="restart"/>
                  <w:tcBorders>
                    <w:tl2br w:val="nil"/>
                    <w:tr2bl w:val="nil"/>
                  </w:tcBorders>
                  <w:vAlign w:val="center"/>
                </w:tcPr>
                <w:p w14:paraId="6D5F1749">
                  <w:pPr>
                    <w:jc w:val="center"/>
                    <w:rPr>
                      <w:color w:val="auto"/>
                      <w:sz w:val="21"/>
                      <w:szCs w:val="21"/>
                    </w:rPr>
                  </w:pPr>
                  <w:r>
                    <w:rPr>
                      <w:rFonts w:hint="eastAsia"/>
                      <w:color w:val="auto"/>
                      <w:sz w:val="21"/>
                      <w:szCs w:val="21"/>
                    </w:rPr>
                    <w:t>厂界</w:t>
                  </w:r>
                  <w:r>
                    <w:rPr>
                      <w:color w:val="auto"/>
                      <w:sz w:val="21"/>
                      <w:szCs w:val="21"/>
                    </w:rPr>
                    <w:t>北面</w:t>
                  </w:r>
                </w:p>
              </w:tc>
              <w:tc>
                <w:tcPr>
                  <w:tcW w:w="983" w:type="pct"/>
                  <w:tcBorders>
                    <w:tl2br w:val="nil"/>
                    <w:tr2bl w:val="nil"/>
                  </w:tcBorders>
                  <w:vAlign w:val="center"/>
                </w:tcPr>
                <w:p w14:paraId="592E2B7C">
                  <w:pPr>
                    <w:jc w:val="center"/>
                    <w:rPr>
                      <w:color w:val="auto"/>
                      <w:sz w:val="21"/>
                      <w:szCs w:val="21"/>
                    </w:rPr>
                  </w:pPr>
                  <w:r>
                    <w:rPr>
                      <w:color w:val="auto"/>
                      <w:sz w:val="21"/>
                      <w:szCs w:val="21"/>
                    </w:rPr>
                    <w:t>昼间</w:t>
                  </w:r>
                </w:p>
              </w:tc>
              <w:tc>
                <w:tcPr>
                  <w:tcW w:w="869" w:type="pct"/>
                  <w:tcBorders>
                    <w:tl2br w:val="nil"/>
                    <w:tr2bl w:val="nil"/>
                  </w:tcBorders>
                  <w:vAlign w:val="center"/>
                </w:tcPr>
                <w:p w14:paraId="00E2AB18">
                  <w:pPr>
                    <w:jc w:val="center"/>
                    <w:rPr>
                      <w:color w:val="auto"/>
                      <w:sz w:val="21"/>
                      <w:szCs w:val="21"/>
                    </w:rPr>
                  </w:pPr>
                  <w:r>
                    <w:rPr>
                      <w:rFonts w:hint="eastAsia"/>
                      <w:color w:val="auto"/>
                      <w:sz w:val="21"/>
                      <w:szCs w:val="21"/>
                    </w:rPr>
                    <w:t>21.33</w:t>
                  </w:r>
                </w:p>
              </w:tc>
              <w:tc>
                <w:tcPr>
                  <w:tcW w:w="864" w:type="pct"/>
                  <w:tcBorders>
                    <w:tl2br w:val="nil"/>
                    <w:tr2bl w:val="nil"/>
                  </w:tcBorders>
                  <w:vAlign w:val="center"/>
                </w:tcPr>
                <w:p w14:paraId="75CD7B6E">
                  <w:pPr>
                    <w:jc w:val="center"/>
                    <w:rPr>
                      <w:color w:val="auto"/>
                      <w:sz w:val="21"/>
                      <w:szCs w:val="21"/>
                    </w:rPr>
                  </w:pPr>
                  <w:r>
                    <w:rPr>
                      <w:color w:val="auto"/>
                      <w:sz w:val="21"/>
                      <w:szCs w:val="21"/>
                    </w:rPr>
                    <w:t>0</w:t>
                  </w:r>
                </w:p>
              </w:tc>
              <w:tc>
                <w:tcPr>
                  <w:tcW w:w="754" w:type="pct"/>
                  <w:tcBorders>
                    <w:tl2br w:val="nil"/>
                    <w:tr2bl w:val="nil"/>
                  </w:tcBorders>
                  <w:vAlign w:val="center"/>
                </w:tcPr>
                <w:p w14:paraId="5C5B1E79">
                  <w:pPr>
                    <w:jc w:val="center"/>
                    <w:rPr>
                      <w:color w:val="auto"/>
                      <w:sz w:val="21"/>
                      <w:szCs w:val="21"/>
                    </w:rPr>
                  </w:pPr>
                  <w:r>
                    <w:rPr>
                      <w:rFonts w:hint="eastAsia"/>
                      <w:color w:val="auto"/>
                      <w:sz w:val="21"/>
                      <w:szCs w:val="21"/>
                    </w:rPr>
                    <w:t>55</w:t>
                  </w:r>
                </w:p>
              </w:tc>
            </w:tr>
            <w:tr w14:paraId="363F11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470" w:hRule="atLeast"/>
                <w:jc w:val="center"/>
              </w:trPr>
              <w:tc>
                <w:tcPr>
                  <w:tcW w:w="637" w:type="pct"/>
                  <w:vMerge w:val="continue"/>
                  <w:tcBorders>
                    <w:tl2br w:val="nil"/>
                    <w:tr2bl w:val="nil"/>
                  </w:tcBorders>
                  <w:vAlign w:val="center"/>
                </w:tcPr>
                <w:p w14:paraId="2874B93F">
                  <w:pPr>
                    <w:jc w:val="center"/>
                    <w:rPr>
                      <w:color w:val="auto"/>
                      <w:sz w:val="21"/>
                      <w:szCs w:val="21"/>
                    </w:rPr>
                  </w:pPr>
                </w:p>
              </w:tc>
              <w:tc>
                <w:tcPr>
                  <w:tcW w:w="889" w:type="pct"/>
                  <w:vMerge w:val="continue"/>
                  <w:tcBorders>
                    <w:tl2br w:val="nil"/>
                    <w:tr2bl w:val="nil"/>
                  </w:tcBorders>
                  <w:vAlign w:val="center"/>
                </w:tcPr>
                <w:p w14:paraId="0345569E">
                  <w:pPr>
                    <w:jc w:val="center"/>
                    <w:rPr>
                      <w:color w:val="auto"/>
                      <w:sz w:val="21"/>
                      <w:szCs w:val="21"/>
                    </w:rPr>
                  </w:pPr>
                </w:p>
              </w:tc>
              <w:tc>
                <w:tcPr>
                  <w:tcW w:w="983" w:type="pct"/>
                  <w:tcBorders>
                    <w:tl2br w:val="nil"/>
                    <w:tr2bl w:val="nil"/>
                  </w:tcBorders>
                  <w:vAlign w:val="center"/>
                </w:tcPr>
                <w:p w14:paraId="6CCA2371">
                  <w:pPr>
                    <w:jc w:val="center"/>
                    <w:rPr>
                      <w:color w:val="auto"/>
                      <w:sz w:val="21"/>
                      <w:szCs w:val="21"/>
                    </w:rPr>
                  </w:pPr>
                  <w:r>
                    <w:rPr>
                      <w:rFonts w:hint="eastAsia"/>
                      <w:color w:val="auto"/>
                      <w:sz w:val="21"/>
                      <w:szCs w:val="21"/>
                    </w:rPr>
                    <w:t>夜间</w:t>
                  </w:r>
                </w:p>
              </w:tc>
              <w:tc>
                <w:tcPr>
                  <w:tcW w:w="869" w:type="pct"/>
                  <w:tcBorders>
                    <w:tl2br w:val="nil"/>
                    <w:tr2bl w:val="nil"/>
                  </w:tcBorders>
                  <w:vAlign w:val="center"/>
                </w:tcPr>
                <w:p w14:paraId="14B4E0D3">
                  <w:pPr>
                    <w:jc w:val="center"/>
                    <w:rPr>
                      <w:color w:val="auto"/>
                      <w:sz w:val="21"/>
                      <w:szCs w:val="21"/>
                    </w:rPr>
                  </w:pPr>
                  <w:r>
                    <w:rPr>
                      <w:rFonts w:hint="eastAsia"/>
                      <w:color w:val="auto"/>
                      <w:sz w:val="21"/>
                      <w:szCs w:val="21"/>
                    </w:rPr>
                    <w:t>21.33</w:t>
                  </w:r>
                </w:p>
              </w:tc>
              <w:tc>
                <w:tcPr>
                  <w:tcW w:w="864" w:type="pct"/>
                  <w:tcBorders>
                    <w:tl2br w:val="nil"/>
                    <w:tr2bl w:val="nil"/>
                  </w:tcBorders>
                  <w:vAlign w:val="center"/>
                </w:tcPr>
                <w:p w14:paraId="3335806C">
                  <w:pPr>
                    <w:jc w:val="center"/>
                    <w:rPr>
                      <w:color w:val="auto"/>
                      <w:sz w:val="21"/>
                      <w:szCs w:val="21"/>
                    </w:rPr>
                  </w:pPr>
                  <w:r>
                    <w:rPr>
                      <w:rFonts w:hint="eastAsia"/>
                      <w:color w:val="auto"/>
                      <w:sz w:val="21"/>
                      <w:szCs w:val="21"/>
                    </w:rPr>
                    <w:t>0</w:t>
                  </w:r>
                </w:p>
              </w:tc>
              <w:tc>
                <w:tcPr>
                  <w:tcW w:w="754" w:type="pct"/>
                  <w:tcBorders>
                    <w:tl2br w:val="nil"/>
                    <w:tr2bl w:val="nil"/>
                  </w:tcBorders>
                  <w:vAlign w:val="center"/>
                </w:tcPr>
                <w:p w14:paraId="5BFA5B1E">
                  <w:pPr>
                    <w:jc w:val="center"/>
                    <w:rPr>
                      <w:color w:val="auto"/>
                      <w:sz w:val="21"/>
                      <w:szCs w:val="21"/>
                    </w:rPr>
                  </w:pPr>
                  <w:r>
                    <w:rPr>
                      <w:rFonts w:hint="eastAsia"/>
                      <w:color w:val="auto"/>
                      <w:sz w:val="21"/>
                      <w:szCs w:val="21"/>
                    </w:rPr>
                    <w:t>45</w:t>
                  </w:r>
                </w:p>
              </w:tc>
            </w:tr>
          </w:tbl>
          <w:p w14:paraId="74AB2D95">
            <w:pPr>
              <w:spacing w:line="360" w:lineRule="auto"/>
              <w:ind w:firstLine="480" w:firstLineChars="200"/>
              <w:rPr>
                <w:color w:val="auto"/>
              </w:rPr>
            </w:pPr>
            <w:r>
              <w:rPr>
                <w:rFonts w:hint="eastAsia"/>
                <w:color w:val="auto"/>
              </w:rPr>
              <w:t>由噪声预测结果可知，在试采周期中，东、南、西、北面厂界昼间、夜间噪声贡献值均满足《工业企业厂界环境噪声排放标准》（GB12348-2008）1类标准限值要求。因此，经采取相应噪声防治措施，项目建设对周边声环境影响不大。</w:t>
            </w:r>
          </w:p>
          <w:p w14:paraId="14B9BD90">
            <w:pPr>
              <w:spacing w:line="360" w:lineRule="auto"/>
              <w:rPr>
                <w:b/>
                <w:bCs/>
                <w:color w:val="auto"/>
              </w:rPr>
            </w:pPr>
            <w:r>
              <w:rPr>
                <w:rFonts w:hint="eastAsia"/>
                <w:b/>
                <w:bCs/>
                <w:color w:val="auto"/>
              </w:rPr>
              <w:t>3.4</w:t>
            </w:r>
            <w:r>
              <w:rPr>
                <w:b/>
                <w:bCs/>
                <w:color w:val="auto"/>
              </w:rPr>
              <w:t>固体废物</w:t>
            </w:r>
          </w:p>
          <w:p w14:paraId="34A9EE04">
            <w:pPr>
              <w:spacing w:line="360" w:lineRule="auto"/>
              <w:ind w:firstLine="480" w:firstLineChars="200"/>
              <w:rPr>
                <w:color w:val="auto"/>
              </w:rPr>
            </w:pPr>
            <w:r>
              <w:rPr>
                <w:rFonts w:hint="eastAsia"/>
                <w:color w:val="auto"/>
              </w:rPr>
              <w:t>本项目钻井作业产生的固体废物主要有水基钻井岩屑（包括清水岩屑和水基岩屑）、油基岩屑、泥浆（包括水基泥浆和油基泥浆）、含矿物油废物、废油、泥渣、生活垃圾等。</w:t>
            </w:r>
          </w:p>
          <w:p w14:paraId="761CEBD6">
            <w:pPr>
              <w:spacing w:line="360" w:lineRule="auto"/>
              <w:ind w:firstLine="480" w:firstLineChars="200"/>
              <w:rPr>
                <w:color w:val="auto"/>
              </w:rPr>
            </w:pPr>
            <w:r>
              <w:rPr>
                <w:rFonts w:hint="eastAsia"/>
                <w:color w:val="auto"/>
              </w:rPr>
              <w:t>（1）钻井岩屑</w:t>
            </w:r>
          </w:p>
          <w:p w14:paraId="4E906F85">
            <w:pPr>
              <w:spacing w:line="360" w:lineRule="auto"/>
              <w:ind w:firstLine="480" w:firstLineChars="200"/>
              <w:rPr>
                <w:color w:val="auto"/>
              </w:rPr>
            </w:pPr>
            <w:r>
              <w:rPr>
                <w:rFonts w:hint="eastAsia"/>
                <w:color w:val="auto"/>
              </w:rPr>
              <w:t>钻井岩屑是在钻井过程中钻头切削地层岩石而产生的碎屑，其经泥浆循环泵带出井口，经地面的振动筛分离后堆置于岩屑堆放场。岩石被破碎成岩屑，经泥浆循环泵带出井口，经地面振动筛除砂、离心机等固控设备分离出来。钻井岩屑产生量与井深有关。根据钻井经验及类比同类项目，钻井岩屑产生量可采用如下公式计算:</w:t>
            </w:r>
          </w:p>
          <w:p w14:paraId="1613280C">
            <w:pPr>
              <w:spacing w:line="360" w:lineRule="auto"/>
              <w:jc w:val="center"/>
              <w:rPr>
                <w:color w:val="auto"/>
              </w:rPr>
            </w:pPr>
            <w:r>
              <w:rPr>
                <w:rFonts w:hint="eastAsia"/>
                <w:color w:val="auto"/>
              </w:rPr>
              <w:t>W</w:t>
            </w:r>
            <w:r>
              <w:rPr>
                <w:rFonts w:hint="eastAsia"/>
                <w:color w:val="auto"/>
                <w:vertAlign w:val="subscript"/>
              </w:rPr>
              <w:t>岩屑</w:t>
            </w:r>
            <w:r>
              <w:rPr>
                <w:rFonts w:hint="eastAsia"/>
                <w:color w:val="auto"/>
              </w:rPr>
              <w:t>=0.0806×H</w:t>
            </w:r>
          </w:p>
          <w:p w14:paraId="77F408F5">
            <w:pPr>
              <w:spacing w:line="360" w:lineRule="auto"/>
              <w:ind w:firstLine="480" w:firstLineChars="200"/>
              <w:rPr>
                <w:color w:val="auto"/>
              </w:rPr>
            </w:pPr>
            <w:r>
              <w:rPr>
                <w:rFonts w:hint="eastAsia"/>
                <w:color w:val="auto"/>
              </w:rPr>
              <w:t>式中：W</w:t>
            </w:r>
            <w:r>
              <w:rPr>
                <w:rFonts w:hint="eastAsia"/>
                <w:color w:val="auto"/>
                <w:vertAlign w:val="subscript"/>
              </w:rPr>
              <w:t>岩屑</w:t>
            </w:r>
            <w:r>
              <w:rPr>
                <w:rFonts w:hint="eastAsia"/>
                <w:color w:val="auto"/>
              </w:rPr>
              <w:t>——钻井岩屑量，t</w:t>
            </w:r>
          </w:p>
          <w:p w14:paraId="68088C79">
            <w:pPr>
              <w:spacing w:line="360" w:lineRule="auto"/>
              <w:ind w:firstLine="480" w:firstLineChars="200"/>
              <w:rPr>
                <w:color w:val="auto"/>
              </w:rPr>
            </w:pPr>
            <w:r>
              <w:rPr>
                <w:rFonts w:hint="eastAsia"/>
                <w:color w:val="auto"/>
              </w:rPr>
              <w:t>H—钻井进尺，m</w:t>
            </w:r>
          </w:p>
          <w:p w14:paraId="2B01E655">
            <w:pPr>
              <w:spacing w:line="360" w:lineRule="auto"/>
              <w:ind w:firstLine="480" w:firstLineChars="200"/>
              <w:rPr>
                <w:color w:val="auto"/>
              </w:rPr>
            </w:pPr>
            <w:r>
              <w:rPr>
                <w:rFonts w:hint="eastAsia"/>
                <w:color w:val="auto"/>
              </w:rPr>
              <w:t>改扩建前桂融页4-1HF井已完成导管、一开、二开开次，现需完成桂融页4-1HF井三开开次以及桂融页4-2HF井~桂融页4-6HF井的导管、一开、二开、三开开次。导管、一开和二开开次产生钻井岩屑为水基岩屑，水基岩屑为一般工业固体废物，采用“泥浆不落地”固控设备分离后暂存在清洁操作平台岩屑暂存区，完钻后由钻井施工单位外委制砖厂家等进行资源化利用。三开开次产生油基岩屑，根据《国家危险废物名录》（2025年版本），油基钻屑属于危险废物，类别为HW08，危废代码为072-0001-08。</w:t>
            </w:r>
            <w:r>
              <w:rPr>
                <w:rFonts w:hint="eastAsia"/>
                <w:color w:val="auto"/>
                <w:kern w:val="28"/>
                <w:szCs w:val="21"/>
              </w:rPr>
              <w:t>项目开工前与有资质的处理单位签订协议，</w:t>
            </w:r>
            <w:r>
              <w:rPr>
                <w:rFonts w:hint="eastAsia"/>
                <w:color w:val="auto"/>
                <w:szCs w:val="21"/>
              </w:rPr>
              <w:t>油基钻屑由储存桶或储存袋收集后暂存于#</w:t>
            </w:r>
            <w:r>
              <w:rPr>
                <w:color w:val="auto"/>
                <w:szCs w:val="21"/>
              </w:rPr>
              <w:t>2</w:t>
            </w:r>
            <w:r>
              <w:rPr>
                <w:rFonts w:hint="eastAsia"/>
                <w:color w:val="auto"/>
                <w:szCs w:val="21"/>
              </w:rPr>
              <w:t>为危废暂存间，后交危废资质单位拉运处置。</w:t>
            </w:r>
            <w:r>
              <w:rPr>
                <w:rFonts w:hint="eastAsia"/>
                <w:color w:val="auto"/>
              </w:rPr>
              <w:t>钻井岩屑具体产生量见下表。</w:t>
            </w:r>
          </w:p>
          <w:p w14:paraId="02EE25B2">
            <w:pPr>
              <w:spacing w:line="360" w:lineRule="auto"/>
              <w:jc w:val="center"/>
              <w:rPr>
                <w:b/>
                <w:bCs/>
                <w:color w:val="auto"/>
              </w:rPr>
            </w:pPr>
            <w:r>
              <w:rPr>
                <w:rFonts w:hint="eastAsia"/>
                <w:b/>
                <w:bCs/>
                <w:color w:val="auto"/>
              </w:rPr>
              <w:t>表4-12 钻井钻屑计算结果一览表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996"/>
              <w:gridCol w:w="1126"/>
              <w:gridCol w:w="1165"/>
              <w:gridCol w:w="1224"/>
              <w:gridCol w:w="1301"/>
              <w:gridCol w:w="1301"/>
            </w:tblGrid>
            <w:tr w14:paraId="5320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blHeader/>
                <w:jc w:val="center"/>
              </w:trPr>
              <w:tc>
                <w:tcPr>
                  <w:tcW w:w="819" w:type="pct"/>
                  <w:tcBorders>
                    <w:top w:val="single" w:color="auto" w:sz="4" w:space="0"/>
                    <w:left w:val="single" w:color="auto" w:sz="4" w:space="0"/>
                    <w:bottom w:val="single" w:color="auto" w:sz="4" w:space="0"/>
                    <w:right w:val="single" w:color="auto" w:sz="4" w:space="0"/>
                    <w:tl2br w:val="nil"/>
                    <w:tr2bl w:val="nil"/>
                  </w:tcBorders>
                  <w:vAlign w:val="center"/>
                </w:tcPr>
                <w:p w14:paraId="0528D6D7">
                  <w:pPr>
                    <w:jc w:val="center"/>
                    <w:rPr>
                      <w:b/>
                      <w:bCs/>
                      <w:color w:val="auto"/>
                      <w:sz w:val="21"/>
                      <w:szCs w:val="21"/>
                    </w:rPr>
                  </w:pPr>
                  <w:r>
                    <w:rPr>
                      <w:b/>
                      <w:bCs/>
                      <w:color w:val="auto"/>
                      <w:sz w:val="21"/>
                      <w:szCs w:val="21"/>
                    </w:rPr>
                    <w:t>开次</w:t>
                  </w:r>
                </w:p>
              </w:tc>
              <w:tc>
                <w:tcPr>
                  <w:tcW w:w="585" w:type="pct"/>
                  <w:tcBorders>
                    <w:top w:val="single" w:color="auto" w:sz="4" w:space="0"/>
                    <w:left w:val="single" w:color="auto" w:sz="4" w:space="0"/>
                    <w:bottom w:val="single" w:color="auto" w:sz="4" w:space="0"/>
                    <w:right w:val="single" w:color="auto" w:sz="4" w:space="0"/>
                    <w:tl2br w:val="nil"/>
                    <w:tr2bl w:val="nil"/>
                  </w:tcBorders>
                  <w:vAlign w:val="center"/>
                </w:tcPr>
                <w:p w14:paraId="0AC699ED">
                  <w:pPr>
                    <w:jc w:val="center"/>
                    <w:rPr>
                      <w:b/>
                      <w:bCs/>
                      <w:color w:val="auto"/>
                      <w:sz w:val="21"/>
                      <w:szCs w:val="21"/>
                    </w:rPr>
                  </w:pPr>
                  <w:r>
                    <w:rPr>
                      <w:b/>
                      <w:bCs/>
                      <w:color w:val="auto"/>
                      <w:sz w:val="21"/>
                      <w:szCs w:val="21"/>
                    </w:rPr>
                    <w:t>钻头尺寸（mm）</w:t>
                  </w:r>
                </w:p>
              </w:tc>
              <w:tc>
                <w:tcPr>
                  <w:tcW w:w="661" w:type="pct"/>
                  <w:tcBorders>
                    <w:top w:val="single" w:color="auto" w:sz="4" w:space="0"/>
                    <w:left w:val="single" w:color="auto" w:sz="4" w:space="0"/>
                    <w:bottom w:val="single" w:color="auto" w:sz="4" w:space="0"/>
                    <w:right w:val="single" w:color="auto" w:sz="4" w:space="0"/>
                    <w:tl2br w:val="nil"/>
                    <w:tr2bl w:val="nil"/>
                  </w:tcBorders>
                  <w:vAlign w:val="center"/>
                </w:tcPr>
                <w:p w14:paraId="000BDCD4">
                  <w:pPr>
                    <w:jc w:val="center"/>
                    <w:rPr>
                      <w:b/>
                      <w:bCs/>
                      <w:color w:val="auto"/>
                      <w:sz w:val="21"/>
                      <w:szCs w:val="21"/>
                    </w:rPr>
                  </w:pPr>
                  <w:r>
                    <w:rPr>
                      <w:b/>
                      <w:bCs/>
                      <w:color w:val="auto"/>
                      <w:sz w:val="21"/>
                      <w:szCs w:val="21"/>
                    </w:rPr>
                    <w:t>井段（m）</w:t>
                  </w:r>
                </w:p>
              </w:tc>
              <w:tc>
                <w:tcPr>
                  <w:tcW w:w="684" w:type="pct"/>
                  <w:tcBorders>
                    <w:top w:val="single" w:color="auto" w:sz="4" w:space="0"/>
                    <w:left w:val="single" w:color="auto" w:sz="4" w:space="0"/>
                    <w:bottom w:val="single" w:color="auto" w:sz="4" w:space="0"/>
                    <w:right w:val="single" w:color="auto" w:sz="4" w:space="0"/>
                    <w:tl2br w:val="nil"/>
                    <w:tr2bl w:val="nil"/>
                  </w:tcBorders>
                  <w:vAlign w:val="center"/>
                </w:tcPr>
                <w:p w14:paraId="62235D06">
                  <w:pPr>
                    <w:jc w:val="center"/>
                    <w:rPr>
                      <w:b/>
                      <w:bCs/>
                      <w:color w:val="auto"/>
                      <w:sz w:val="21"/>
                      <w:szCs w:val="21"/>
                    </w:rPr>
                  </w:pPr>
                  <w:r>
                    <w:rPr>
                      <w:b/>
                      <w:bCs/>
                      <w:color w:val="auto"/>
                      <w:sz w:val="21"/>
                      <w:szCs w:val="21"/>
                    </w:rPr>
                    <w:t>合计井段长度（m）</w:t>
                  </w:r>
                </w:p>
              </w:tc>
              <w:tc>
                <w:tcPr>
                  <w:tcW w:w="719" w:type="pct"/>
                  <w:tcBorders>
                    <w:top w:val="single" w:color="auto" w:sz="4" w:space="0"/>
                    <w:left w:val="single" w:color="auto" w:sz="4" w:space="0"/>
                    <w:bottom w:val="single" w:color="auto" w:sz="4" w:space="0"/>
                    <w:right w:val="single" w:color="auto" w:sz="4" w:space="0"/>
                    <w:tl2br w:val="nil"/>
                    <w:tr2bl w:val="nil"/>
                  </w:tcBorders>
                  <w:vAlign w:val="center"/>
                </w:tcPr>
                <w:p w14:paraId="01B4A856">
                  <w:pPr>
                    <w:rPr>
                      <w:b/>
                      <w:bCs/>
                      <w:color w:val="auto"/>
                      <w:sz w:val="21"/>
                      <w:szCs w:val="21"/>
                    </w:rPr>
                  </w:pPr>
                  <w:r>
                    <w:rPr>
                      <w:rFonts w:hint="eastAsia"/>
                      <w:b/>
                      <w:bCs/>
                      <w:color w:val="auto"/>
                      <w:sz w:val="21"/>
                      <w:szCs w:val="21"/>
                    </w:rPr>
                    <w:t>钻井岩屑</w:t>
                  </w:r>
                  <w:r>
                    <w:rPr>
                      <w:b/>
                      <w:bCs/>
                      <w:color w:val="auto"/>
                      <w:sz w:val="21"/>
                      <w:szCs w:val="21"/>
                    </w:rPr>
                    <w:t>屑质量（t）</w:t>
                  </w:r>
                </w:p>
              </w:tc>
              <w:tc>
                <w:tcPr>
                  <w:tcW w:w="764" w:type="pct"/>
                  <w:tcBorders>
                    <w:top w:val="single" w:color="auto" w:sz="4" w:space="0"/>
                    <w:left w:val="single" w:color="auto" w:sz="4" w:space="0"/>
                    <w:bottom w:val="single" w:color="auto" w:sz="4" w:space="0"/>
                    <w:right w:val="single" w:color="auto" w:sz="4" w:space="0"/>
                    <w:tl2br w:val="nil"/>
                    <w:tr2bl w:val="nil"/>
                  </w:tcBorders>
                  <w:vAlign w:val="center"/>
                </w:tcPr>
                <w:p w14:paraId="0AAA9222">
                  <w:pPr>
                    <w:jc w:val="center"/>
                    <w:rPr>
                      <w:b/>
                      <w:bCs/>
                      <w:color w:val="auto"/>
                      <w:sz w:val="21"/>
                      <w:szCs w:val="21"/>
                    </w:rPr>
                  </w:pPr>
                  <w:r>
                    <w:rPr>
                      <w:rFonts w:hint="eastAsia"/>
                      <w:b/>
                      <w:bCs/>
                      <w:color w:val="auto"/>
                      <w:sz w:val="21"/>
                      <w:szCs w:val="21"/>
                    </w:rPr>
                    <w:t>钻井岩屑总质量（t）</w:t>
                  </w:r>
                </w:p>
              </w:tc>
              <w:tc>
                <w:tcPr>
                  <w:tcW w:w="764" w:type="pct"/>
                  <w:tcBorders>
                    <w:top w:val="single" w:color="auto" w:sz="4" w:space="0"/>
                    <w:left w:val="single" w:color="auto" w:sz="4" w:space="0"/>
                    <w:bottom w:val="single" w:color="auto" w:sz="4" w:space="0"/>
                    <w:right w:val="single" w:color="auto" w:sz="4" w:space="0"/>
                    <w:tl2br w:val="nil"/>
                    <w:tr2bl w:val="nil"/>
                  </w:tcBorders>
                  <w:vAlign w:val="center"/>
                </w:tcPr>
                <w:p w14:paraId="357ED302">
                  <w:pPr>
                    <w:jc w:val="center"/>
                    <w:rPr>
                      <w:b/>
                      <w:bCs/>
                      <w:color w:val="auto"/>
                      <w:sz w:val="21"/>
                      <w:szCs w:val="21"/>
                    </w:rPr>
                  </w:pPr>
                  <w:r>
                    <w:rPr>
                      <w:rFonts w:hint="eastAsia"/>
                      <w:b/>
                      <w:bCs/>
                      <w:color w:val="auto"/>
                      <w:sz w:val="21"/>
                      <w:szCs w:val="21"/>
                    </w:rPr>
                    <w:t>钻井岩屑类别</w:t>
                  </w:r>
                </w:p>
              </w:tc>
            </w:tr>
            <w:tr w14:paraId="291A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819" w:type="pct"/>
                  <w:tcBorders>
                    <w:top w:val="single" w:color="auto" w:sz="4" w:space="0"/>
                    <w:left w:val="single" w:color="auto" w:sz="4" w:space="0"/>
                    <w:bottom w:val="single" w:color="auto" w:sz="4" w:space="0"/>
                    <w:right w:val="single" w:color="auto" w:sz="4" w:space="0"/>
                    <w:tl2br w:val="nil"/>
                    <w:tr2bl w:val="nil"/>
                  </w:tcBorders>
                  <w:vAlign w:val="center"/>
                </w:tcPr>
                <w:p w14:paraId="520B9CB4">
                  <w:pPr>
                    <w:jc w:val="center"/>
                    <w:rPr>
                      <w:color w:val="auto"/>
                      <w:sz w:val="21"/>
                      <w:szCs w:val="21"/>
                    </w:rPr>
                  </w:pPr>
                  <w:r>
                    <w:rPr>
                      <w:color w:val="auto"/>
                      <w:sz w:val="21"/>
                      <w:szCs w:val="21"/>
                    </w:rPr>
                    <w:t>导管</w:t>
                  </w:r>
                </w:p>
              </w:tc>
              <w:tc>
                <w:tcPr>
                  <w:tcW w:w="58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2878F6B">
                  <w:pPr>
                    <w:jc w:val="center"/>
                    <w:rPr>
                      <w:color w:val="auto"/>
                      <w:sz w:val="21"/>
                      <w:szCs w:val="21"/>
                    </w:rPr>
                  </w:pPr>
                  <w:r>
                    <w:rPr>
                      <w:color w:val="auto"/>
                      <w:sz w:val="21"/>
                      <w:szCs w:val="21"/>
                    </w:rPr>
                    <w:t>406.4</w:t>
                  </w:r>
                </w:p>
              </w:tc>
              <w:tc>
                <w:tcPr>
                  <w:tcW w:w="66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95B02C">
                  <w:pPr>
                    <w:jc w:val="center"/>
                    <w:rPr>
                      <w:color w:val="auto"/>
                      <w:sz w:val="21"/>
                      <w:szCs w:val="21"/>
                    </w:rPr>
                  </w:pPr>
                  <w:r>
                    <w:rPr>
                      <w:color w:val="auto"/>
                      <w:sz w:val="21"/>
                      <w:szCs w:val="21"/>
                    </w:rPr>
                    <w:t>0-50</w:t>
                  </w:r>
                </w:p>
              </w:tc>
              <w:tc>
                <w:tcPr>
                  <w:tcW w:w="684" w:type="pct"/>
                  <w:tcBorders>
                    <w:top w:val="single" w:color="auto" w:sz="4" w:space="0"/>
                    <w:left w:val="single" w:color="auto" w:sz="4" w:space="0"/>
                    <w:bottom w:val="single" w:color="auto" w:sz="4" w:space="0"/>
                    <w:right w:val="single" w:color="auto" w:sz="4" w:space="0"/>
                    <w:tl2br w:val="nil"/>
                    <w:tr2bl w:val="nil"/>
                  </w:tcBorders>
                  <w:vAlign w:val="center"/>
                </w:tcPr>
                <w:p w14:paraId="1A945995">
                  <w:pPr>
                    <w:jc w:val="center"/>
                    <w:rPr>
                      <w:color w:val="auto"/>
                      <w:sz w:val="21"/>
                      <w:szCs w:val="21"/>
                    </w:rPr>
                  </w:pPr>
                  <w:r>
                    <w:rPr>
                      <w:rFonts w:hint="eastAsia"/>
                      <w:color w:val="auto"/>
                      <w:sz w:val="21"/>
                      <w:szCs w:val="21"/>
                    </w:rPr>
                    <w:t>250</w:t>
                  </w:r>
                </w:p>
              </w:tc>
              <w:tc>
                <w:tcPr>
                  <w:tcW w:w="719" w:type="pct"/>
                  <w:tcBorders>
                    <w:top w:val="single" w:color="auto" w:sz="4" w:space="0"/>
                    <w:left w:val="single" w:color="auto" w:sz="4" w:space="0"/>
                    <w:right w:val="single" w:color="auto" w:sz="4" w:space="0"/>
                    <w:tl2br w:val="nil"/>
                    <w:tr2bl w:val="nil"/>
                  </w:tcBorders>
                  <w:shd w:val="clear" w:color="auto" w:fill="auto"/>
                  <w:vAlign w:val="center"/>
                </w:tcPr>
                <w:p w14:paraId="483D7B8D">
                  <w:pPr>
                    <w:jc w:val="center"/>
                    <w:rPr>
                      <w:color w:val="auto"/>
                      <w:sz w:val="21"/>
                      <w:szCs w:val="21"/>
                    </w:rPr>
                  </w:pPr>
                  <w:r>
                    <w:rPr>
                      <w:rFonts w:hint="eastAsia"/>
                      <w:color w:val="auto"/>
                      <w:sz w:val="21"/>
                      <w:szCs w:val="21"/>
                    </w:rPr>
                    <w:t>20.15</w:t>
                  </w:r>
                </w:p>
              </w:tc>
              <w:tc>
                <w:tcPr>
                  <w:tcW w:w="764" w:type="pct"/>
                  <w:vMerge w:val="restart"/>
                  <w:tcBorders>
                    <w:top w:val="single" w:color="auto" w:sz="4" w:space="0"/>
                    <w:left w:val="single" w:color="auto" w:sz="4" w:space="0"/>
                    <w:right w:val="single" w:color="auto" w:sz="4" w:space="0"/>
                    <w:tl2br w:val="nil"/>
                    <w:tr2bl w:val="nil"/>
                  </w:tcBorders>
                  <w:shd w:val="clear" w:color="auto" w:fill="auto"/>
                  <w:vAlign w:val="center"/>
                </w:tcPr>
                <w:p w14:paraId="79B9A291">
                  <w:pPr>
                    <w:jc w:val="center"/>
                    <w:rPr>
                      <w:color w:val="auto"/>
                      <w:sz w:val="21"/>
                      <w:szCs w:val="21"/>
                    </w:rPr>
                  </w:pPr>
                  <w:r>
                    <w:rPr>
                      <w:rFonts w:hint="eastAsia"/>
                      <w:color w:val="auto"/>
                      <w:sz w:val="21"/>
                      <w:szCs w:val="21"/>
                    </w:rPr>
                    <w:t>657.29</w:t>
                  </w:r>
                </w:p>
              </w:tc>
              <w:tc>
                <w:tcPr>
                  <w:tcW w:w="764" w:type="pct"/>
                  <w:vMerge w:val="restart"/>
                  <w:tcBorders>
                    <w:top w:val="single" w:color="auto" w:sz="4" w:space="0"/>
                    <w:left w:val="single" w:color="auto" w:sz="4" w:space="0"/>
                    <w:right w:val="single" w:color="auto" w:sz="4" w:space="0"/>
                    <w:tl2br w:val="nil"/>
                    <w:tr2bl w:val="nil"/>
                  </w:tcBorders>
                  <w:shd w:val="clear" w:color="auto" w:fill="auto"/>
                  <w:vAlign w:val="center"/>
                </w:tcPr>
                <w:p w14:paraId="277A97A5">
                  <w:pPr>
                    <w:jc w:val="center"/>
                    <w:rPr>
                      <w:color w:val="auto"/>
                      <w:sz w:val="21"/>
                      <w:szCs w:val="21"/>
                    </w:rPr>
                  </w:pPr>
                  <w:r>
                    <w:rPr>
                      <w:rFonts w:hint="eastAsia"/>
                      <w:color w:val="auto"/>
                      <w:sz w:val="21"/>
                      <w:szCs w:val="21"/>
                    </w:rPr>
                    <w:t>一般工业固体废物</w:t>
                  </w:r>
                </w:p>
              </w:tc>
            </w:tr>
            <w:tr w14:paraId="708A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pct"/>
                  <w:tcBorders>
                    <w:top w:val="single" w:color="auto" w:sz="4" w:space="0"/>
                    <w:left w:val="single" w:color="auto" w:sz="4" w:space="0"/>
                    <w:bottom w:val="single" w:color="auto" w:sz="4" w:space="0"/>
                    <w:right w:val="single" w:color="auto" w:sz="4" w:space="0"/>
                    <w:tl2br w:val="nil"/>
                    <w:tr2bl w:val="nil"/>
                  </w:tcBorders>
                  <w:vAlign w:val="center"/>
                </w:tcPr>
                <w:p w14:paraId="19978686">
                  <w:pPr>
                    <w:jc w:val="center"/>
                    <w:rPr>
                      <w:color w:val="auto"/>
                      <w:sz w:val="21"/>
                      <w:szCs w:val="21"/>
                    </w:rPr>
                  </w:pPr>
                  <w:r>
                    <w:rPr>
                      <w:color w:val="auto"/>
                      <w:sz w:val="21"/>
                      <w:szCs w:val="21"/>
                    </w:rPr>
                    <w:t>一开</w:t>
                  </w:r>
                </w:p>
              </w:tc>
              <w:tc>
                <w:tcPr>
                  <w:tcW w:w="58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5107960">
                  <w:pPr>
                    <w:jc w:val="center"/>
                    <w:rPr>
                      <w:color w:val="auto"/>
                      <w:sz w:val="21"/>
                      <w:szCs w:val="21"/>
                    </w:rPr>
                  </w:pPr>
                  <w:r>
                    <w:rPr>
                      <w:color w:val="auto"/>
                      <w:sz w:val="21"/>
                      <w:szCs w:val="21"/>
                    </w:rPr>
                    <w:t>311.2</w:t>
                  </w:r>
                </w:p>
              </w:tc>
              <w:tc>
                <w:tcPr>
                  <w:tcW w:w="66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40D48A4">
                  <w:pPr>
                    <w:jc w:val="center"/>
                    <w:rPr>
                      <w:color w:val="auto"/>
                      <w:sz w:val="21"/>
                      <w:szCs w:val="21"/>
                    </w:rPr>
                  </w:pPr>
                  <w:r>
                    <w:rPr>
                      <w:color w:val="auto"/>
                      <w:sz w:val="21"/>
                      <w:szCs w:val="21"/>
                    </w:rPr>
                    <w:t>50-1213</w:t>
                  </w:r>
                </w:p>
              </w:tc>
              <w:tc>
                <w:tcPr>
                  <w:tcW w:w="684" w:type="pct"/>
                  <w:tcBorders>
                    <w:top w:val="single" w:color="auto" w:sz="4" w:space="0"/>
                    <w:left w:val="single" w:color="auto" w:sz="4" w:space="0"/>
                    <w:bottom w:val="single" w:color="auto" w:sz="4" w:space="0"/>
                    <w:right w:val="single" w:color="auto" w:sz="4" w:space="0"/>
                    <w:tl2br w:val="nil"/>
                    <w:tr2bl w:val="nil"/>
                  </w:tcBorders>
                  <w:vAlign w:val="center"/>
                </w:tcPr>
                <w:p w14:paraId="4CA8A394">
                  <w:pPr>
                    <w:jc w:val="center"/>
                    <w:rPr>
                      <w:color w:val="auto"/>
                      <w:sz w:val="21"/>
                      <w:szCs w:val="21"/>
                    </w:rPr>
                  </w:pPr>
                  <w:r>
                    <w:rPr>
                      <w:rFonts w:hint="eastAsia"/>
                      <w:color w:val="auto"/>
                      <w:sz w:val="21"/>
                      <w:szCs w:val="21"/>
                    </w:rPr>
                    <w:t>5815</w:t>
                  </w:r>
                </w:p>
              </w:tc>
              <w:tc>
                <w:tcPr>
                  <w:tcW w:w="719" w:type="pct"/>
                  <w:tcBorders>
                    <w:left w:val="single" w:color="auto" w:sz="4" w:space="0"/>
                    <w:right w:val="single" w:color="auto" w:sz="4" w:space="0"/>
                    <w:tl2br w:val="nil"/>
                    <w:tr2bl w:val="nil"/>
                  </w:tcBorders>
                  <w:shd w:val="clear" w:color="auto" w:fill="auto"/>
                  <w:vAlign w:val="center"/>
                </w:tcPr>
                <w:p w14:paraId="7C984319">
                  <w:pPr>
                    <w:jc w:val="center"/>
                    <w:rPr>
                      <w:color w:val="auto"/>
                      <w:sz w:val="21"/>
                      <w:szCs w:val="21"/>
                    </w:rPr>
                  </w:pPr>
                  <w:r>
                    <w:rPr>
                      <w:rFonts w:hint="eastAsia"/>
                      <w:color w:val="auto"/>
                      <w:sz w:val="21"/>
                      <w:szCs w:val="21"/>
                    </w:rPr>
                    <w:t>468.69</w:t>
                  </w:r>
                </w:p>
              </w:tc>
              <w:tc>
                <w:tcPr>
                  <w:tcW w:w="764" w:type="pct"/>
                  <w:vMerge w:val="continue"/>
                  <w:tcBorders>
                    <w:left w:val="single" w:color="auto" w:sz="4" w:space="0"/>
                    <w:right w:val="single" w:color="auto" w:sz="4" w:space="0"/>
                    <w:tl2br w:val="nil"/>
                    <w:tr2bl w:val="nil"/>
                  </w:tcBorders>
                  <w:vAlign w:val="center"/>
                </w:tcPr>
                <w:p w14:paraId="78530A38">
                  <w:pPr>
                    <w:jc w:val="center"/>
                    <w:rPr>
                      <w:color w:val="auto"/>
                      <w:sz w:val="21"/>
                      <w:szCs w:val="21"/>
                    </w:rPr>
                  </w:pPr>
                </w:p>
              </w:tc>
              <w:tc>
                <w:tcPr>
                  <w:tcW w:w="764" w:type="pct"/>
                  <w:vMerge w:val="continue"/>
                  <w:tcBorders>
                    <w:left w:val="single" w:color="auto" w:sz="4" w:space="0"/>
                    <w:right w:val="single" w:color="auto" w:sz="4" w:space="0"/>
                    <w:tl2br w:val="nil"/>
                    <w:tr2bl w:val="nil"/>
                  </w:tcBorders>
                  <w:vAlign w:val="center"/>
                </w:tcPr>
                <w:p w14:paraId="00E2FA34">
                  <w:pPr>
                    <w:jc w:val="center"/>
                    <w:rPr>
                      <w:color w:val="auto"/>
                      <w:sz w:val="21"/>
                      <w:szCs w:val="21"/>
                    </w:rPr>
                  </w:pPr>
                </w:p>
              </w:tc>
            </w:tr>
            <w:tr w14:paraId="3A80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819" w:type="pct"/>
                  <w:tcBorders>
                    <w:top w:val="single" w:color="auto" w:sz="4" w:space="0"/>
                    <w:left w:val="single" w:color="auto" w:sz="4" w:space="0"/>
                    <w:bottom w:val="single" w:color="auto" w:sz="4" w:space="0"/>
                    <w:right w:val="single" w:color="auto" w:sz="4" w:space="0"/>
                    <w:tl2br w:val="nil"/>
                    <w:tr2bl w:val="nil"/>
                  </w:tcBorders>
                  <w:vAlign w:val="center"/>
                </w:tcPr>
                <w:p w14:paraId="59B9189C">
                  <w:pPr>
                    <w:jc w:val="center"/>
                    <w:rPr>
                      <w:color w:val="auto"/>
                      <w:sz w:val="21"/>
                      <w:szCs w:val="21"/>
                    </w:rPr>
                  </w:pPr>
                  <w:r>
                    <w:rPr>
                      <w:color w:val="auto"/>
                      <w:sz w:val="21"/>
                      <w:szCs w:val="21"/>
                    </w:rPr>
                    <w:t>二开（直井段）</w:t>
                  </w:r>
                </w:p>
              </w:tc>
              <w:tc>
                <w:tcPr>
                  <w:tcW w:w="58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CF1F609">
                  <w:pPr>
                    <w:jc w:val="center"/>
                    <w:rPr>
                      <w:color w:val="auto"/>
                      <w:sz w:val="21"/>
                      <w:szCs w:val="21"/>
                    </w:rPr>
                  </w:pPr>
                  <w:r>
                    <w:rPr>
                      <w:color w:val="auto"/>
                      <w:sz w:val="21"/>
                      <w:szCs w:val="21"/>
                    </w:rPr>
                    <w:t>215.9</w:t>
                  </w:r>
                </w:p>
              </w:tc>
              <w:tc>
                <w:tcPr>
                  <w:tcW w:w="66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978772F">
                  <w:pPr>
                    <w:jc w:val="center"/>
                    <w:rPr>
                      <w:color w:val="auto"/>
                      <w:sz w:val="21"/>
                      <w:szCs w:val="21"/>
                    </w:rPr>
                  </w:pPr>
                  <w:r>
                    <w:rPr>
                      <w:color w:val="auto"/>
                      <w:sz w:val="21"/>
                      <w:szCs w:val="21"/>
                    </w:rPr>
                    <w:t>1213-1631</w:t>
                  </w:r>
                </w:p>
              </w:tc>
              <w:tc>
                <w:tcPr>
                  <w:tcW w:w="684" w:type="pct"/>
                  <w:tcBorders>
                    <w:top w:val="single" w:color="auto" w:sz="4" w:space="0"/>
                    <w:left w:val="single" w:color="auto" w:sz="4" w:space="0"/>
                    <w:bottom w:val="single" w:color="auto" w:sz="4" w:space="0"/>
                    <w:right w:val="single" w:color="auto" w:sz="4" w:space="0"/>
                    <w:tl2br w:val="nil"/>
                    <w:tr2bl w:val="nil"/>
                  </w:tcBorders>
                  <w:vAlign w:val="center"/>
                </w:tcPr>
                <w:p w14:paraId="7D811D96">
                  <w:pPr>
                    <w:jc w:val="center"/>
                    <w:rPr>
                      <w:color w:val="auto"/>
                      <w:sz w:val="21"/>
                      <w:szCs w:val="21"/>
                    </w:rPr>
                  </w:pPr>
                  <w:r>
                    <w:rPr>
                      <w:rFonts w:hint="eastAsia"/>
                      <w:color w:val="auto"/>
                      <w:sz w:val="21"/>
                      <w:szCs w:val="21"/>
                    </w:rPr>
                    <w:t>2090</w:t>
                  </w:r>
                </w:p>
              </w:tc>
              <w:tc>
                <w:tcPr>
                  <w:tcW w:w="719" w:type="pct"/>
                  <w:tcBorders>
                    <w:left w:val="single" w:color="auto" w:sz="4" w:space="0"/>
                    <w:bottom w:val="single" w:color="auto" w:sz="4" w:space="0"/>
                    <w:right w:val="single" w:color="auto" w:sz="4" w:space="0"/>
                    <w:tl2br w:val="nil"/>
                    <w:tr2bl w:val="nil"/>
                  </w:tcBorders>
                  <w:shd w:val="clear" w:color="auto" w:fill="auto"/>
                  <w:vAlign w:val="center"/>
                </w:tcPr>
                <w:p w14:paraId="5D5909B0">
                  <w:pPr>
                    <w:jc w:val="center"/>
                    <w:rPr>
                      <w:color w:val="auto"/>
                      <w:sz w:val="21"/>
                      <w:szCs w:val="21"/>
                    </w:rPr>
                  </w:pPr>
                  <w:r>
                    <w:rPr>
                      <w:rFonts w:hint="eastAsia"/>
                      <w:color w:val="auto"/>
                      <w:sz w:val="21"/>
                      <w:szCs w:val="21"/>
                    </w:rPr>
                    <w:t>168.45</w:t>
                  </w:r>
                </w:p>
              </w:tc>
              <w:tc>
                <w:tcPr>
                  <w:tcW w:w="764" w:type="pct"/>
                  <w:vMerge w:val="continue"/>
                  <w:tcBorders>
                    <w:left w:val="single" w:color="auto" w:sz="4" w:space="0"/>
                    <w:bottom w:val="single" w:color="auto" w:sz="4" w:space="0"/>
                    <w:right w:val="single" w:color="auto" w:sz="4" w:space="0"/>
                    <w:tl2br w:val="nil"/>
                    <w:tr2bl w:val="nil"/>
                  </w:tcBorders>
                  <w:vAlign w:val="center"/>
                </w:tcPr>
                <w:p w14:paraId="3BD58B11">
                  <w:pPr>
                    <w:jc w:val="center"/>
                    <w:rPr>
                      <w:color w:val="auto"/>
                      <w:sz w:val="21"/>
                      <w:szCs w:val="21"/>
                    </w:rPr>
                  </w:pPr>
                </w:p>
              </w:tc>
              <w:tc>
                <w:tcPr>
                  <w:tcW w:w="764" w:type="pct"/>
                  <w:vMerge w:val="continue"/>
                  <w:tcBorders>
                    <w:left w:val="single" w:color="auto" w:sz="4" w:space="0"/>
                    <w:bottom w:val="single" w:color="auto" w:sz="4" w:space="0"/>
                    <w:right w:val="single" w:color="auto" w:sz="4" w:space="0"/>
                    <w:tl2br w:val="nil"/>
                    <w:tr2bl w:val="nil"/>
                  </w:tcBorders>
                  <w:vAlign w:val="center"/>
                </w:tcPr>
                <w:p w14:paraId="0989A63E">
                  <w:pPr>
                    <w:jc w:val="center"/>
                    <w:rPr>
                      <w:color w:val="auto"/>
                      <w:sz w:val="21"/>
                      <w:szCs w:val="21"/>
                    </w:rPr>
                  </w:pPr>
                </w:p>
              </w:tc>
            </w:tr>
            <w:tr w14:paraId="6FF07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9" w:type="pct"/>
                  <w:tcBorders>
                    <w:top w:val="single" w:color="auto" w:sz="4" w:space="0"/>
                    <w:left w:val="single" w:color="auto" w:sz="4" w:space="0"/>
                    <w:bottom w:val="single" w:color="auto" w:sz="4" w:space="0"/>
                    <w:right w:val="single" w:color="auto" w:sz="4" w:space="0"/>
                    <w:tl2br w:val="nil"/>
                    <w:tr2bl w:val="nil"/>
                  </w:tcBorders>
                  <w:vAlign w:val="center"/>
                </w:tcPr>
                <w:p w14:paraId="0DA2D831">
                  <w:pPr>
                    <w:jc w:val="center"/>
                    <w:rPr>
                      <w:color w:val="auto"/>
                      <w:sz w:val="21"/>
                      <w:szCs w:val="21"/>
                    </w:rPr>
                  </w:pPr>
                  <w:r>
                    <w:rPr>
                      <w:color w:val="auto"/>
                      <w:sz w:val="21"/>
                      <w:szCs w:val="21"/>
                    </w:rPr>
                    <w:t>三开（水平段）</w:t>
                  </w:r>
                </w:p>
              </w:tc>
              <w:tc>
                <w:tcPr>
                  <w:tcW w:w="585"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B4C8EBE">
                  <w:pPr>
                    <w:jc w:val="center"/>
                    <w:rPr>
                      <w:color w:val="auto"/>
                      <w:sz w:val="21"/>
                      <w:szCs w:val="21"/>
                    </w:rPr>
                  </w:pPr>
                  <w:r>
                    <w:rPr>
                      <w:color w:val="auto"/>
                      <w:sz w:val="21"/>
                      <w:szCs w:val="21"/>
                    </w:rPr>
                    <w:t>215.9</w:t>
                  </w:r>
                </w:p>
              </w:tc>
              <w:tc>
                <w:tcPr>
                  <w:tcW w:w="661"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030CD8AF">
                  <w:pPr>
                    <w:jc w:val="center"/>
                    <w:rPr>
                      <w:color w:val="auto"/>
                      <w:sz w:val="21"/>
                      <w:szCs w:val="21"/>
                    </w:rPr>
                  </w:pPr>
                  <w:r>
                    <w:rPr>
                      <w:color w:val="auto"/>
                      <w:sz w:val="21"/>
                      <w:szCs w:val="21"/>
                    </w:rPr>
                    <w:t>1631-3698</w:t>
                  </w:r>
                </w:p>
              </w:tc>
              <w:tc>
                <w:tcPr>
                  <w:tcW w:w="684" w:type="pct"/>
                  <w:tcBorders>
                    <w:top w:val="single" w:color="auto" w:sz="4" w:space="0"/>
                    <w:left w:val="single" w:color="auto" w:sz="4" w:space="0"/>
                    <w:bottom w:val="single" w:color="auto" w:sz="4" w:space="0"/>
                    <w:right w:val="single" w:color="auto" w:sz="4" w:space="0"/>
                    <w:tl2br w:val="nil"/>
                    <w:tr2bl w:val="nil"/>
                  </w:tcBorders>
                  <w:vAlign w:val="center"/>
                </w:tcPr>
                <w:p w14:paraId="1EE153E5">
                  <w:pPr>
                    <w:jc w:val="center"/>
                    <w:rPr>
                      <w:color w:val="auto"/>
                      <w:sz w:val="21"/>
                      <w:szCs w:val="21"/>
                    </w:rPr>
                  </w:pPr>
                  <w:r>
                    <w:rPr>
                      <w:rFonts w:hint="eastAsia"/>
                      <w:color w:val="auto"/>
                      <w:sz w:val="21"/>
                      <w:szCs w:val="21"/>
                    </w:rPr>
                    <w:t>12402</w:t>
                  </w:r>
                </w:p>
              </w:tc>
              <w:tc>
                <w:tcPr>
                  <w:tcW w:w="719"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55C3303">
                  <w:pPr>
                    <w:jc w:val="center"/>
                    <w:rPr>
                      <w:color w:val="auto"/>
                      <w:sz w:val="21"/>
                      <w:szCs w:val="21"/>
                    </w:rPr>
                  </w:pPr>
                  <w:r>
                    <w:rPr>
                      <w:rFonts w:hint="eastAsia"/>
                      <w:color w:val="auto"/>
                      <w:sz w:val="21"/>
                      <w:szCs w:val="21"/>
                    </w:rPr>
                    <w:t>999.60</w:t>
                  </w:r>
                </w:p>
              </w:tc>
              <w:tc>
                <w:tcPr>
                  <w:tcW w:w="76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D1DDB1E">
                  <w:pPr>
                    <w:jc w:val="center"/>
                    <w:rPr>
                      <w:color w:val="auto"/>
                      <w:sz w:val="21"/>
                      <w:szCs w:val="21"/>
                    </w:rPr>
                  </w:pPr>
                  <w:r>
                    <w:rPr>
                      <w:rFonts w:hint="eastAsia"/>
                      <w:color w:val="auto"/>
                      <w:sz w:val="21"/>
                      <w:szCs w:val="21"/>
                    </w:rPr>
                    <w:t>999.60</w:t>
                  </w:r>
                </w:p>
              </w:tc>
              <w:tc>
                <w:tcPr>
                  <w:tcW w:w="764" w:type="pct"/>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C8F8A08">
                  <w:pPr>
                    <w:jc w:val="center"/>
                    <w:rPr>
                      <w:color w:val="auto"/>
                      <w:sz w:val="21"/>
                      <w:szCs w:val="21"/>
                    </w:rPr>
                  </w:pPr>
                  <w:r>
                    <w:rPr>
                      <w:rFonts w:hint="eastAsia"/>
                      <w:color w:val="auto"/>
                      <w:sz w:val="21"/>
                      <w:szCs w:val="21"/>
                    </w:rPr>
                    <w:t>危险废物</w:t>
                  </w:r>
                </w:p>
              </w:tc>
            </w:tr>
          </w:tbl>
          <w:p w14:paraId="36B05E65">
            <w:pPr>
              <w:spacing w:line="360" w:lineRule="auto"/>
              <w:ind w:firstLine="480" w:firstLineChars="200"/>
              <w:rPr>
                <w:color w:val="auto"/>
              </w:rPr>
            </w:pPr>
            <w:r>
              <w:rPr>
                <w:rFonts w:hint="eastAsia"/>
                <w:color w:val="auto"/>
              </w:rPr>
              <w:t>水基钻井岩屑产生量为657.29t，油基钻井岩屑产生量为999.60t。</w:t>
            </w:r>
          </w:p>
          <w:p w14:paraId="27222288">
            <w:pPr>
              <w:spacing w:line="360" w:lineRule="auto"/>
              <w:ind w:firstLine="480" w:firstLineChars="200"/>
              <w:rPr>
                <w:color w:val="auto"/>
              </w:rPr>
            </w:pPr>
            <w:r>
              <w:rPr>
                <w:rFonts w:hint="eastAsia"/>
                <w:color w:val="auto"/>
              </w:rPr>
              <w:t>（2）废弃泥浆</w:t>
            </w:r>
          </w:p>
          <w:p w14:paraId="63938D14">
            <w:pPr>
              <w:spacing w:line="360" w:lineRule="auto"/>
              <w:ind w:firstLine="480" w:firstLineChars="200"/>
              <w:rPr>
                <w:color w:val="auto"/>
              </w:rPr>
            </w:pPr>
            <w:r>
              <w:rPr>
                <w:rFonts w:hint="eastAsia"/>
                <w:color w:val="auto"/>
              </w:rPr>
              <w:t>废泥浆是指在钻井过程中无法利用或钻井完工后弃置于泥浆池中的泥浆，其产生量与井深和井径的不同密切相关，产生类型与钻井液类型密切相关。根据建设单位资料，</w:t>
            </w:r>
            <w:r>
              <w:rPr>
                <w:color w:val="auto"/>
              </w:rPr>
              <w:t>本项目</w:t>
            </w:r>
            <w:r>
              <w:rPr>
                <w:rFonts w:hint="eastAsia"/>
                <w:color w:val="auto"/>
              </w:rPr>
              <w:t>废水基泥浆</w:t>
            </w:r>
            <w:r>
              <w:rPr>
                <w:color w:val="auto"/>
              </w:rPr>
              <w:t>均用于配制水基段钻井液，最终水基钻井泥浆剩余约</w:t>
            </w:r>
            <w:r>
              <w:rPr>
                <w:rFonts w:hint="eastAsia"/>
                <w:color w:val="auto"/>
              </w:rPr>
              <w:t>800m³（总计700t）</w:t>
            </w:r>
            <w:r>
              <w:rPr>
                <w:color w:val="auto"/>
              </w:rPr>
              <w:t>，油基钻井</w:t>
            </w:r>
            <w:r>
              <w:rPr>
                <w:rFonts w:hint="eastAsia"/>
                <w:color w:val="auto"/>
              </w:rPr>
              <w:t>泥浆</w:t>
            </w:r>
            <w:r>
              <w:rPr>
                <w:color w:val="auto"/>
              </w:rPr>
              <w:t>剩余约</w:t>
            </w:r>
            <w:r>
              <w:rPr>
                <w:rFonts w:hint="eastAsia"/>
                <w:color w:val="auto"/>
              </w:rPr>
              <w:t>800m³（总计720t）。</w:t>
            </w:r>
          </w:p>
          <w:p w14:paraId="6C52D3B1">
            <w:pPr>
              <w:spacing w:line="360" w:lineRule="auto"/>
              <w:ind w:firstLine="480" w:firstLineChars="200"/>
              <w:rPr>
                <w:color w:val="auto"/>
                <w:szCs w:val="21"/>
              </w:rPr>
            </w:pPr>
            <w:r>
              <w:rPr>
                <w:rFonts w:hint="eastAsia"/>
                <w:color w:val="auto"/>
                <w:szCs w:val="21"/>
              </w:rPr>
              <w:t>剩余的水基钻井泥浆由钻井队回收，随钻井队用于后续钻井工程。</w:t>
            </w:r>
            <w:r>
              <w:rPr>
                <w:rFonts w:hint="eastAsia"/>
                <w:color w:val="auto"/>
              </w:rPr>
              <w:t>根据《国家危险废物名录》（2025年版本），</w:t>
            </w:r>
            <w:r>
              <w:rPr>
                <w:rFonts w:hint="eastAsia"/>
                <w:color w:val="auto"/>
                <w:szCs w:val="21"/>
              </w:rPr>
              <w:t>剩余油基钻井泥浆</w:t>
            </w:r>
            <w:r>
              <w:rPr>
                <w:rFonts w:hint="eastAsia"/>
                <w:color w:val="auto"/>
              </w:rPr>
              <w:t>属于危险废物，类别为HW08，危废代码为072-0001-08。</w:t>
            </w:r>
            <w:r>
              <w:rPr>
                <w:rFonts w:hint="eastAsia"/>
                <w:color w:val="auto"/>
                <w:szCs w:val="21"/>
              </w:rPr>
              <w:t>项目开工前与有资质的处理单位签订协议，剩余的油基钻井泥浆由储存桶收集后暂存于#2危废暂存间，后交危废资质单位拉运处置。</w:t>
            </w:r>
          </w:p>
          <w:p w14:paraId="1AEA2842">
            <w:pPr>
              <w:spacing w:line="360" w:lineRule="auto"/>
              <w:ind w:firstLine="480" w:firstLineChars="200"/>
              <w:rPr>
                <w:rFonts w:hint="eastAsia"/>
                <w:color w:val="auto"/>
              </w:rPr>
            </w:pPr>
            <w:r>
              <w:rPr>
                <w:rFonts w:hint="eastAsia"/>
                <w:color w:val="auto"/>
              </w:rPr>
              <w:t>（3）含矿物油废物</w:t>
            </w:r>
          </w:p>
          <w:p w14:paraId="241737BB">
            <w:pPr>
              <w:spacing w:line="360" w:lineRule="auto"/>
              <w:ind w:firstLine="480" w:firstLineChars="200"/>
              <w:rPr>
                <w:color w:val="auto"/>
              </w:rPr>
            </w:pPr>
            <w:r>
              <w:rPr>
                <w:rFonts w:hint="eastAsia"/>
                <w:color w:val="auto"/>
              </w:rPr>
              <w:t>含矿物油废物主要包括含油抹布等。含油抹布主要来源于机械维修等；场地清理时拆除的原防渗区域为防止矿物油等污染土壤和地下水而铺设的防渗材料，含有矿物油。根据建设单位资料，每口井产生的含矿物油废物约0.2t，则本项目产生量约1.2t。根据《国家危险废物名录》（2025年版本），含油抹布危险废物类别为HW49，危废代码为900-041-49。集中收集于危废暂存间，交由有危险废物处置资质的单位进行转运处置。</w:t>
            </w:r>
          </w:p>
          <w:p w14:paraId="29C1CCEA">
            <w:pPr>
              <w:spacing w:line="360" w:lineRule="auto"/>
              <w:ind w:firstLine="480" w:firstLineChars="200"/>
              <w:rPr>
                <w:rFonts w:hint="eastAsia"/>
                <w:color w:val="auto"/>
              </w:rPr>
            </w:pPr>
            <w:r>
              <w:rPr>
                <w:rFonts w:hint="eastAsia"/>
                <w:color w:val="auto"/>
              </w:rPr>
              <w:t>（4）废机油</w:t>
            </w:r>
          </w:p>
          <w:p w14:paraId="0ADEE788">
            <w:pPr>
              <w:spacing w:line="360" w:lineRule="auto"/>
              <w:ind w:firstLine="480" w:firstLineChars="200"/>
              <w:rPr>
                <w:color w:val="auto"/>
              </w:rPr>
            </w:pPr>
            <w:r>
              <w:rPr>
                <w:rFonts w:hint="eastAsia"/>
                <w:color w:val="auto"/>
              </w:rPr>
              <w:t>钻井过程中废油的主要来源有：</w:t>
            </w:r>
            <w:r>
              <w:rPr>
                <w:color w:val="auto"/>
              </w:rPr>
              <w:t>1</w:t>
            </w:r>
            <w:r>
              <w:rPr>
                <w:rFonts w:hint="eastAsia"/>
                <w:color w:val="auto"/>
              </w:rPr>
              <w:t>）机械（泥浆泵、转盘、链条等）润滑废油；</w:t>
            </w:r>
            <w:r>
              <w:rPr>
                <w:color w:val="auto"/>
              </w:rPr>
              <w:t>2</w:t>
            </w:r>
            <w:r>
              <w:rPr>
                <w:rFonts w:hint="eastAsia"/>
                <w:color w:val="auto"/>
              </w:rPr>
              <w:t>）钻井设备清洗与保养、泥浆循环罐掏罐产生的浮油，如更换柴油机零部件和清洗钻具、套管等。</w:t>
            </w:r>
            <w:r>
              <w:rPr>
                <w:color w:val="auto"/>
              </w:rPr>
              <w:t>对照《国家危险废物名录》（202</w:t>
            </w:r>
            <w:r>
              <w:rPr>
                <w:rFonts w:hint="eastAsia"/>
                <w:color w:val="auto"/>
              </w:rPr>
              <w:t>5</w:t>
            </w:r>
            <w:r>
              <w:rPr>
                <w:color w:val="auto"/>
              </w:rPr>
              <w:t>年版本），废</w:t>
            </w:r>
            <w:r>
              <w:rPr>
                <w:rFonts w:hint="eastAsia"/>
                <w:color w:val="auto"/>
              </w:rPr>
              <w:t>机油</w:t>
            </w:r>
            <w:r>
              <w:rPr>
                <w:color w:val="auto"/>
              </w:rPr>
              <w:t>属于危险废物，其危险废物类别为</w:t>
            </w:r>
            <w:r>
              <w:rPr>
                <w:rFonts w:hint="eastAsia"/>
                <w:color w:val="auto"/>
              </w:rPr>
              <w:t>HW08废矿物油与含矿物油废物，</w:t>
            </w:r>
            <w:r>
              <w:rPr>
                <w:color w:val="auto"/>
              </w:rPr>
              <w:t>危险废物代码为</w:t>
            </w:r>
            <w:r>
              <w:rPr>
                <w:rFonts w:hint="eastAsia"/>
                <w:color w:val="auto"/>
              </w:rPr>
              <w:t>900-214-08，属于车辆、轮船及其他机械维修过程中产生的废发动机油、制动器油、自动变速器油、齿轮油等废润滑油</w:t>
            </w:r>
            <w:r>
              <w:rPr>
                <w:color w:val="auto"/>
              </w:rPr>
              <w:t>。</w:t>
            </w:r>
            <w:r>
              <w:rPr>
                <w:rFonts w:hint="eastAsia"/>
                <w:color w:val="auto"/>
              </w:rPr>
              <w:t>根据建设单位资料，结合工区已完井废油产生情况，单井废油产生量约为0.5t，本项目6口井预计废油产生量为3t，集中收集于危废暂存间，后交由有资质的单位回收。</w:t>
            </w:r>
          </w:p>
          <w:p w14:paraId="2464FA90">
            <w:pPr>
              <w:spacing w:line="360" w:lineRule="auto"/>
              <w:ind w:firstLine="480" w:firstLineChars="200"/>
              <w:rPr>
                <w:rFonts w:hint="eastAsia"/>
                <w:color w:val="auto"/>
              </w:rPr>
            </w:pPr>
            <w:r>
              <w:rPr>
                <w:rFonts w:hint="eastAsia"/>
                <w:color w:val="auto"/>
              </w:rPr>
              <w:t>（5）废包装材料（化工料桶）</w:t>
            </w:r>
          </w:p>
          <w:p w14:paraId="50ED3BF4">
            <w:pPr>
              <w:spacing w:line="360" w:lineRule="auto"/>
              <w:ind w:firstLine="480" w:firstLineChars="200"/>
              <w:rPr>
                <w:color w:val="auto"/>
              </w:rPr>
            </w:pPr>
            <w:r>
              <w:rPr>
                <w:rFonts w:hint="eastAsia"/>
                <w:color w:val="auto"/>
              </w:rPr>
              <w:t>根据建设单位资料，结合</w:t>
            </w:r>
            <w:r>
              <w:rPr>
                <w:color w:val="auto"/>
              </w:rPr>
              <w:t>区域已钻井原材料使用情况，预计单井产生废包装材料700个约0.28t，本项目</w:t>
            </w:r>
            <w:r>
              <w:rPr>
                <w:rFonts w:hint="eastAsia"/>
                <w:color w:val="auto"/>
              </w:rPr>
              <w:t>6</w:t>
            </w:r>
            <w:r>
              <w:rPr>
                <w:color w:val="auto"/>
              </w:rPr>
              <w:t>口井废包装材料产生总量约为</w:t>
            </w:r>
            <w:r>
              <w:rPr>
                <w:rFonts w:hint="eastAsia"/>
                <w:color w:val="auto"/>
              </w:rPr>
              <w:t>1.68</w:t>
            </w:r>
            <w:r>
              <w:rPr>
                <w:color w:val="auto"/>
              </w:rPr>
              <w:t>t。</w:t>
            </w:r>
          </w:p>
          <w:p w14:paraId="3821F115">
            <w:pPr>
              <w:spacing w:line="360" w:lineRule="auto"/>
              <w:ind w:firstLine="480" w:firstLineChars="200"/>
              <w:rPr>
                <w:color w:val="auto"/>
              </w:rPr>
            </w:pPr>
            <w:r>
              <w:rPr>
                <w:rFonts w:hint="eastAsia"/>
                <w:color w:val="auto"/>
              </w:rPr>
              <w:t>废包装材料中的一般固体废物（约1.48t）外售有资质的单位回收利用。废包装材料中的少量危险废物主要包括</w:t>
            </w:r>
            <w:r>
              <w:rPr>
                <w:color w:val="auto"/>
              </w:rPr>
              <w:t>沾染矿物油的废弃包装物</w:t>
            </w:r>
            <w:r>
              <w:rPr>
                <w:rFonts w:hint="eastAsia"/>
                <w:color w:val="auto"/>
              </w:rPr>
              <w:t>以及</w:t>
            </w:r>
            <w:r>
              <w:rPr>
                <w:color w:val="auto"/>
              </w:rPr>
              <w:t>含有</w:t>
            </w:r>
            <w:r>
              <w:rPr>
                <w:rFonts w:hint="eastAsia"/>
                <w:color w:val="auto"/>
              </w:rPr>
              <w:t>或</w:t>
            </w:r>
            <w:r>
              <w:rPr>
                <w:color w:val="auto"/>
              </w:rPr>
              <w:t>沾染毒性、感染性危险废物的废弃包装物</w:t>
            </w:r>
            <w:r>
              <w:rPr>
                <w:rFonts w:hint="eastAsia"/>
                <w:color w:val="auto"/>
              </w:rPr>
              <w:t>，约0.2t，根据《国家危险废物名录》（2025年版本），该类</w:t>
            </w:r>
            <w:r>
              <w:rPr>
                <w:color w:val="auto"/>
              </w:rPr>
              <w:t>沾染矿物油的废弃包装物</w:t>
            </w:r>
            <w:r>
              <w:rPr>
                <w:rFonts w:hint="eastAsia"/>
                <w:color w:val="auto"/>
              </w:rPr>
              <w:t>以及</w:t>
            </w:r>
            <w:r>
              <w:rPr>
                <w:color w:val="auto"/>
              </w:rPr>
              <w:t>含有</w:t>
            </w:r>
            <w:r>
              <w:rPr>
                <w:rFonts w:hint="eastAsia"/>
                <w:color w:val="auto"/>
              </w:rPr>
              <w:t>或</w:t>
            </w:r>
            <w:r>
              <w:rPr>
                <w:color w:val="auto"/>
              </w:rPr>
              <w:t>沾染毒性、感染性危险废物的废弃包装物</w:t>
            </w:r>
            <w:r>
              <w:rPr>
                <w:rFonts w:hint="eastAsia"/>
                <w:color w:val="auto"/>
              </w:rPr>
              <w:t>属于危险废物，类别为HW08，危废代码为900-249-08，集中收集于危废暂存间，后交有资质单位处置。</w:t>
            </w:r>
          </w:p>
          <w:p w14:paraId="092A8C9F">
            <w:pPr>
              <w:spacing w:line="360" w:lineRule="auto"/>
              <w:ind w:firstLine="480" w:firstLineChars="200"/>
              <w:rPr>
                <w:rFonts w:hint="eastAsia"/>
                <w:color w:val="auto"/>
              </w:rPr>
            </w:pPr>
            <w:r>
              <w:rPr>
                <w:rFonts w:hint="eastAsia"/>
                <w:color w:val="auto"/>
              </w:rPr>
              <w:t>（6）泥渣</w:t>
            </w:r>
          </w:p>
          <w:p w14:paraId="40616902">
            <w:pPr>
              <w:spacing w:line="360" w:lineRule="auto"/>
              <w:ind w:firstLine="480" w:firstLineChars="200"/>
              <w:rPr>
                <w:color w:val="auto"/>
              </w:rPr>
            </w:pPr>
            <w:r>
              <w:rPr>
                <w:rFonts w:hint="eastAsia"/>
                <w:color w:val="auto"/>
              </w:rPr>
              <w:t>项目钻井过程中清水和水基钻井液罐、压井水泥罐等的清掏会产生泥渣，根据建设单位资料，结合同类型项目类比产生量约20t/口，合计产生量为120t，同水基岩屑一起处置。</w:t>
            </w:r>
          </w:p>
          <w:p w14:paraId="740642DF">
            <w:pPr>
              <w:spacing w:line="360" w:lineRule="auto"/>
              <w:ind w:firstLine="480" w:firstLineChars="200"/>
              <w:rPr>
                <w:rFonts w:hint="eastAsia"/>
                <w:color w:val="auto"/>
              </w:rPr>
            </w:pPr>
            <w:r>
              <w:rPr>
                <w:rFonts w:hint="eastAsia"/>
                <w:color w:val="auto"/>
              </w:rPr>
              <w:t>（7）生活垃圾</w:t>
            </w:r>
          </w:p>
          <w:p w14:paraId="2F405A5A">
            <w:pPr>
              <w:spacing w:line="360" w:lineRule="auto"/>
              <w:ind w:firstLine="480" w:firstLineChars="200"/>
              <w:rPr>
                <w:color w:val="auto"/>
              </w:rPr>
            </w:pPr>
            <w:r>
              <w:rPr>
                <w:rFonts w:hint="eastAsia"/>
                <w:color w:val="auto"/>
              </w:rPr>
              <w:t>根据建设单位资料，生活垃圾按0.5kg/（人·d）计算，根据施工人数及施工天数，预计本项目钻井期间生活垃圾产生量为19.05t。生活垃圾定点收集后，由环卫部门统一清运处置。</w:t>
            </w:r>
          </w:p>
          <w:p w14:paraId="52D6F38E">
            <w:pPr>
              <w:spacing w:line="360" w:lineRule="auto"/>
              <w:jc w:val="center"/>
              <w:rPr>
                <w:rFonts w:hint="eastAsia"/>
                <w:b/>
                <w:bCs/>
                <w:color w:val="auto"/>
              </w:rPr>
            </w:pPr>
            <w:r>
              <w:rPr>
                <w:rFonts w:hint="eastAsia"/>
                <w:b/>
                <w:bCs/>
                <w:color w:val="auto"/>
              </w:rPr>
              <w:t>表4-13 项目固废产生及处置情况一览表</w:t>
            </w:r>
          </w:p>
          <w:tbl>
            <w:tblPr>
              <w:tblStyle w:val="19"/>
              <w:tblW w:w="850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035"/>
              <w:gridCol w:w="1629"/>
              <w:gridCol w:w="1140"/>
              <w:gridCol w:w="825"/>
              <w:gridCol w:w="1200"/>
              <w:gridCol w:w="1984"/>
            </w:tblGrid>
            <w:tr w14:paraId="5F8063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17" w:hRule="atLeast"/>
              </w:trPr>
              <w:tc>
                <w:tcPr>
                  <w:tcW w:w="687" w:type="dxa"/>
                  <w:tcBorders>
                    <w:tl2br w:val="nil"/>
                    <w:tr2bl w:val="nil"/>
                  </w:tcBorders>
                  <w:vAlign w:val="center"/>
                </w:tcPr>
                <w:p w14:paraId="1B4A65A8">
                  <w:pPr>
                    <w:jc w:val="center"/>
                    <w:rPr>
                      <w:color w:val="auto"/>
                      <w:sz w:val="21"/>
                      <w:szCs w:val="21"/>
                    </w:rPr>
                  </w:pPr>
                  <w:r>
                    <w:rPr>
                      <w:color w:val="auto"/>
                      <w:sz w:val="21"/>
                      <w:szCs w:val="21"/>
                    </w:rPr>
                    <w:t>类型</w:t>
                  </w:r>
                </w:p>
              </w:tc>
              <w:tc>
                <w:tcPr>
                  <w:tcW w:w="1035" w:type="dxa"/>
                  <w:tcBorders>
                    <w:tl2br w:val="nil"/>
                    <w:tr2bl w:val="nil"/>
                  </w:tcBorders>
                  <w:vAlign w:val="center"/>
                </w:tcPr>
                <w:p w14:paraId="102A940F">
                  <w:pPr>
                    <w:jc w:val="center"/>
                    <w:rPr>
                      <w:color w:val="auto"/>
                      <w:sz w:val="21"/>
                      <w:szCs w:val="21"/>
                    </w:rPr>
                  </w:pPr>
                  <w:r>
                    <w:rPr>
                      <w:color w:val="auto"/>
                      <w:sz w:val="21"/>
                      <w:szCs w:val="21"/>
                    </w:rPr>
                    <w:t>种类</w:t>
                  </w:r>
                </w:p>
              </w:tc>
              <w:tc>
                <w:tcPr>
                  <w:tcW w:w="1629" w:type="dxa"/>
                  <w:tcBorders>
                    <w:tl2br w:val="nil"/>
                    <w:tr2bl w:val="nil"/>
                  </w:tcBorders>
                  <w:vAlign w:val="center"/>
                </w:tcPr>
                <w:p w14:paraId="4C7EB580">
                  <w:pPr>
                    <w:jc w:val="center"/>
                    <w:rPr>
                      <w:color w:val="auto"/>
                      <w:sz w:val="21"/>
                      <w:szCs w:val="21"/>
                    </w:rPr>
                  </w:pPr>
                  <w:r>
                    <w:rPr>
                      <w:rFonts w:hint="eastAsia"/>
                      <w:color w:val="auto"/>
                      <w:sz w:val="21"/>
                      <w:szCs w:val="21"/>
                    </w:rPr>
                    <w:t>类别</w:t>
                  </w:r>
                </w:p>
              </w:tc>
              <w:tc>
                <w:tcPr>
                  <w:tcW w:w="1140" w:type="dxa"/>
                  <w:tcBorders>
                    <w:tl2br w:val="nil"/>
                    <w:tr2bl w:val="nil"/>
                  </w:tcBorders>
                  <w:vAlign w:val="center"/>
                </w:tcPr>
                <w:p w14:paraId="3405D63A">
                  <w:pPr>
                    <w:jc w:val="center"/>
                    <w:rPr>
                      <w:color w:val="auto"/>
                      <w:sz w:val="21"/>
                      <w:szCs w:val="21"/>
                    </w:rPr>
                  </w:pPr>
                  <w:r>
                    <w:rPr>
                      <w:color w:val="auto"/>
                      <w:sz w:val="21"/>
                      <w:szCs w:val="21"/>
                    </w:rPr>
                    <w:t>产生量</w:t>
                  </w:r>
                  <w:r>
                    <w:rPr>
                      <w:rFonts w:hint="eastAsia"/>
                      <w:color w:val="auto"/>
                      <w:sz w:val="21"/>
                      <w:szCs w:val="21"/>
                    </w:rPr>
                    <w:t>t</w:t>
                  </w:r>
                </w:p>
              </w:tc>
              <w:tc>
                <w:tcPr>
                  <w:tcW w:w="825" w:type="dxa"/>
                  <w:tcBorders>
                    <w:tl2br w:val="nil"/>
                    <w:tr2bl w:val="nil"/>
                  </w:tcBorders>
                  <w:vAlign w:val="center"/>
                </w:tcPr>
                <w:p w14:paraId="5EF84A08">
                  <w:pPr>
                    <w:jc w:val="center"/>
                    <w:rPr>
                      <w:color w:val="auto"/>
                      <w:sz w:val="21"/>
                      <w:szCs w:val="21"/>
                    </w:rPr>
                  </w:pPr>
                  <w:r>
                    <w:rPr>
                      <w:color w:val="auto"/>
                      <w:sz w:val="21"/>
                      <w:szCs w:val="21"/>
                    </w:rPr>
                    <w:t>物理性状</w:t>
                  </w:r>
                </w:p>
              </w:tc>
              <w:tc>
                <w:tcPr>
                  <w:tcW w:w="1200" w:type="dxa"/>
                  <w:tcBorders>
                    <w:tl2br w:val="nil"/>
                    <w:tr2bl w:val="nil"/>
                  </w:tcBorders>
                  <w:vAlign w:val="center"/>
                </w:tcPr>
                <w:p w14:paraId="763D0260">
                  <w:pPr>
                    <w:jc w:val="center"/>
                    <w:rPr>
                      <w:color w:val="auto"/>
                      <w:sz w:val="21"/>
                      <w:szCs w:val="21"/>
                    </w:rPr>
                  </w:pPr>
                  <w:r>
                    <w:rPr>
                      <w:color w:val="auto"/>
                      <w:sz w:val="21"/>
                      <w:szCs w:val="21"/>
                    </w:rPr>
                    <w:t>环境危险特性</w:t>
                  </w:r>
                </w:p>
              </w:tc>
              <w:tc>
                <w:tcPr>
                  <w:tcW w:w="1984" w:type="dxa"/>
                  <w:tcBorders>
                    <w:tl2br w:val="nil"/>
                    <w:tr2bl w:val="nil"/>
                  </w:tcBorders>
                  <w:vAlign w:val="center"/>
                </w:tcPr>
                <w:p w14:paraId="1D91052D">
                  <w:pPr>
                    <w:jc w:val="center"/>
                    <w:rPr>
                      <w:color w:val="auto"/>
                      <w:sz w:val="21"/>
                      <w:szCs w:val="21"/>
                    </w:rPr>
                  </w:pPr>
                  <w:r>
                    <w:rPr>
                      <w:color w:val="auto"/>
                      <w:sz w:val="21"/>
                      <w:szCs w:val="21"/>
                    </w:rPr>
                    <w:t>处理方式</w:t>
                  </w:r>
                </w:p>
              </w:tc>
            </w:tr>
            <w:tr w14:paraId="0CC855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87" w:type="dxa"/>
                  <w:tcBorders>
                    <w:tl2br w:val="nil"/>
                    <w:tr2bl w:val="nil"/>
                  </w:tcBorders>
                  <w:vAlign w:val="center"/>
                </w:tcPr>
                <w:p w14:paraId="5B6A3274">
                  <w:pPr>
                    <w:jc w:val="center"/>
                    <w:rPr>
                      <w:color w:val="auto"/>
                      <w:sz w:val="21"/>
                      <w:szCs w:val="21"/>
                    </w:rPr>
                  </w:pPr>
                  <w:r>
                    <w:rPr>
                      <w:rFonts w:hint="eastAsia"/>
                      <w:color w:val="auto"/>
                      <w:sz w:val="21"/>
                      <w:szCs w:val="21"/>
                    </w:rPr>
                    <w:t>生活垃圾</w:t>
                  </w:r>
                </w:p>
              </w:tc>
              <w:tc>
                <w:tcPr>
                  <w:tcW w:w="1035" w:type="dxa"/>
                  <w:tcBorders>
                    <w:tl2br w:val="nil"/>
                    <w:tr2bl w:val="nil"/>
                  </w:tcBorders>
                  <w:vAlign w:val="center"/>
                </w:tcPr>
                <w:p w14:paraId="141E7C50">
                  <w:pPr>
                    <w:jc w:val="center"/>
                    <w:rPr>
                      <w:color w:val="auto"/>
                      <w:sz w:val="21"/>
                      <w:szCs w:val="21"/>
                    </w:rPr>
                  </w:pPr>
                  <w:r>
                    <w:rPr>
                      <w:rFonts w:hint="eastAsia"/>
                      <w:color w:val="auto"/>
                      <w:sz w:val="21"/>
                      <w:szCs w:val="21"/>
                    </w:rPr>
                    <w:t>生活垃圾</w:t>
                  </w:r>
                </w:p>
              </w:tc>
              <w:tc>
                <w:tcPr>
                  <w:tcW w:w="1629" w:type="dxa"/>
                  <w:tcBorders>
                    <w:tl2br w:val="nil"/>
                    <w:tr2bl w:val="nil"/>
                  </w:tcBorders>
                  <w:vAlign w:val="center"/>
                </w:tcPr>
                <w:p w14:paraId="7093B950">
                  <w:pPr>
                    <w:jc w:val="center"/>
                    <w:rPr>
                      <w:color w:val="auto"/>
                      <w:sz w:val="21"/>
                      <w:szCs w:val="21"/>
                    </w:rPr>
                  </w:pPr>
                  <w:r>
                    <w:rPr>
                      <w:color w:val="auto"/>
                      <w:sz w:val="21"/>
                      <w:szCs w:val="21"/>
                    </w:rPr>
                    <w:t>/</w:t>
                  </w:r>
                </w:p>
              </w:tc>
              <w:tc>
                <w:tcPr>
                  <w:tcW w:w="1140" w:type="dxa"/>
                  <w:tcBorders>
                    <w:tl2br w:val="nil"/>
                    <w:tr2bl w:val="nil"/>
                  </w:tcBorders>
                  <w:vAlign w:val="center"/>
                </w:tcPr>
                <w:p w14:paraId="6E39315D">
                  <w:pPr>
                    <w:jc w:val="center"/>
                    <w:rPr>
                      <w:color w:val="auto"/>
                      <w:sz w:val="21"/>
                      <w:szCs w:val="21"/>
                    </w:rPr>
                  </w:pPr>
                  <w:r>
                    <w:rPr>
                      <w:rFonts w:hint="eastAsia"/>
                      <w:color w:val="auto"/>
                      <w:sz w:val="21"/>
                      <w:szCs w:val="21"/>
                    </w:rPr>
                    <w:t>19.05</w:t>
                  </w:r>
                </w:p>
              </w:tc>
              <w:tc>
                <w:tcPr>
                  <w:tcW w:w="825" w:type="dxa"/>
                  <w:tcBorders>
                    <w:tl2br w:val="nil"/>
                    <w:tr2bl w:val="nil"/>
                  </w:tcBorders>
                  <w:vAlign w:val="center"/>
                </w:tcPr>
                <w:p w14:paraId="2327AE01">
                  <w:pPr>
                    <w:jc w:val="center"/>
                    <w:rPr>
                      <w:color w:val="auto"/>
                      <w:sz w:val="21"/>
                      <w:szCs w:val="21"/>
                    </w:rPr>
                  </w:pPr>
                  <w:r>
                    <w:rPr>
                      <w:rFonts w:hint="eastAsia"/>
                      <w:color w:val="auto"/>
                      <w:sz w:val="21"/>
                      <w:szCs w:val="21"/>
                    </w:rPr>
                    <w:t>固体</w:t>
                  </w:r>
                </w:p>
              </w:tc>
              <w:tc>
                <w:tcPr>
                  <w:tcW w:w="1200" w:type="dxa"/>
                  <w:tcBorders>
                    <w:tl2br w:val="nil"/>
                    <w:tr2bl w:val="nil"/>
                  </w:tcBorders>
                  <w:vAlign w:val="center"/>
                </w:tcPr>
                <w:p w14:paraId="444B2186">
                  <w:pPr>
                    <w:jc w:val="center"/>
                    <w:rPr>
                      <w:color w:val="auto"/>
                      <w:sz w:val="21"/>
                      <w:szCs w:val="21"/>
                    </w:rPr>
                  </w:pPr>
                  <w:r>
                    <w:rPr>
                      <w:color w:val="auto"/>
                      <w:sz w:val="21"/>
                      <w:szCs w:val="21"/>
                    </w:rPr>
                    <w:t>/</w:t>
                  </w:r>
                </w:p>
              </w:tc>
              <w:tc>
                <w:tcPr>
                  <w:tcW w:w="1984" w:type="dxa"/>
                  <w:tcBorders>
                    <w:tl2br w:val="nil"/>
                    <w:tr2bl w:val="nil"/>
                  </w:tcBorders>
                  <w:vAlign w:val="center"/>
                </w:tcPr>
                <w:p w14:paraId="1151DE42">
                  <w:pPr>
                    <w:jc w:val="center"/>
                    <w:rPr>
                      <w:color w:val="auto"/>
                      <w:sz w:val="21"/>
                      <w:szCs w:val="21"/>
                    </w:rPr>
                  </w:pPr>
                  <w:r>
                    <w:rPr>
                      <w:rFonts w:hint="eastAsia"/>
                      <w:color w:val="auto"/>
                      <w:sz w:val="21"/>
                      <w:szCs w:val="21"/>
                    </w:rPr>
                    <w:t>由环卫部门统一清运处置</w:t>
                  </w:r>
                </w:p>
              </w:tc>
            </w:tr>
            <w:tr w14:paraId="23DA2F6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87" w:type="dxa"/>
                  <w:vMerge w:val="restart"/>
                  <w:tcBorders>
                    <w:tl2br w:val="nil"/>
                    <w:tr2bl w:val="nil"/>
                  </w:tcBorders>
                  <w:vAlign w:val="center"/>
                </w:tcPr>
                <w:p w14:paraId="7C9372A6">
                  <w:pPr>
                    <w:jc w:val="center"/>
                    <w:rPr>
                      <w:color w:val="auto"/>
                      <w:sz w:val="21"/>
                      <w:szCs w:val="21"/>
                    </w:rPr>
                  </w:pPr>
                  <w:r>
                    <w:rPr>
                      <w:rFonts w:hint="eastAsia"/>
                      <w:color w:val="auto"/>
                      <w:sz w:val="21"/>
                      <w:szCs w:val="21"/>
                    </w:rPr>
                    <w:t>一般固体废物</w:t>
                  </w:r>
                </w:p>
              </w:tc>
              <w:tc>
                <w:tcPr>
                  <w:tcW w:w="1035" w:type="dxa"/>
                  <w:tcBorders>
                    <w:tl2br w:val="nil"/>
                    <w:tr2bl w:val="nil"/>
                  </w:tcBorders>
                  <w:vAlign w:val="center"/>
                </w:tcPr>
                <w:p w14:paraId="3FA2494F">
                  <w:pPr>
                    <w:jc w:val="center"/>
                    <w:rPr>
                      <w:color w:val="auto"/>
                      <w:sz w:val="21"/>
                      <w:szCs w:val="21"/>
                    </w:rPr>
                  </w:pPr>
                  <w:r>
                    <w:rPr>
                      <w:rFonts w:hint="eastAsia"/>
                      <w:color w:val="auto"/>
                      <w:sz w:val="21"/>
                      <w:szCs w:val="21"/>
                    </w:rPr>
                    <w:t>水基岩屑</w:t>
                  </w:r>
                </w:p>
              </w:tc>
              <w:tc>
                <w:tcPr>
                  <w:tcW w:w="1629" w:type="dxa"/>
                  <w:tcBorders>
                    <w:tl2br w:val="nil"/>
                    <w:tr2bl w:val="nil"/>
                  </w:tcBorders>
                  <w:vAlign w:val="center"/>
                </w:tcPr>
                <w:p w14:paraId="4FE3310B">
                  <w:pPr>
                    <w:jc w:val="center"/>
                    <w:rPr>
                      <w:color w:val="auto"/>
                      <w:sz w:val="21"/>
                      <w:szCs w:val="21"/>
                    </w:rPr>
                  </w:pPr>
                  <w:r>
                    <w:rPr>
                      <w:rFonts w:hint="eastAsia"/>
                      <w:color w:val="auto"/>
                      <w:sz w:val="21"/>
                      <w:szCs w:val="21"/>
                    </w:rPr>
                    <w:t>SW12，废物代码：072-001-S12</w:t>
                  </w:r>
                </w:p>
              </w:tc>
              <w:tc>
                <w:tcPr>
                  <w:tcW w:w="1140" w:type="dxa"/>
                  <w:tcBorders>
                    <w:tl2br w:val="nil"/>
                    <w:tr2bl w:val="nil"/>
                  </w:tcBorders>
                  <w:vAlign w:val="center"/>
                </w:tcPr>
                <w:p w14:paraId="59DD4890">
                  <w:pPr>
                    <w:jc w:val="center"/>
                    <w:rPr>
                      <w:color w:val="auto"/>
                      <w:sz w:val="21"/>
                      <w:szCs w:val="21"/>
                    </w:rPr>
                  </w:pPr>
                  <w:r>
                    <w:rPr>
                      <w:rFonts w:hint="eastAsia"/>
                      <w:color w:val="auto"/>
                      <w:sz w:val="21"/>
                      <w:szCs w:val="21"/>
                    </w:rPr>
                    <w:t>657.29</w:t>
                  </w:r>
                </w:p>
              </w:tc>
              <w:tc>
                <w:tcPr>
                  <w:tcW w:w="825" w:type="dxa"/>
                  <w:tcBorders>
                    <w:tl2br w:val="nil"/>
                    <w:tr2bl w:val="nil"/>
                  </w:tcBorders>
                  <w:vAlign w:val="center"/>
                </w:tcPr>
                <w:p w14:paraId="1935A6CA">
                  <w:pPr>
                    <w:jc w:val="center"/>
                    <w:rPr>
                      <w:color w:val="auto"/>
                      <w:sz w:val="21"/>
                      <w:szCs w:val="21"/>
                    </w:rPr>
                  </w:pPr>
                  <w:r>
                    <w:rPr>
                      <w:color w:val="auto"/>
                      <w:sz w:val="21"/>
                      <w:szCs w:val="21"/>
                    </w:rPr>
                    <w:t>固体</w:t>
                  </w:r>
                </w:p>
              </w:tc>
              <w:tc>
                <w:tcPr>
                  <w:tcW w:w="1200" w:type="dxa"/>
                  <w:tcBorders>
                    <w:tl2br w:val="nil"/>
                    <w:tr2bl w:val="nil"/>
                  </w:tcBorders>
                  <w:vAlign w:val="center"/>
                </w:tcPr>
                <w:p w14:paraId="3A4C4B21">
                  <w:pPr>
                    <w:jc w:val="center"/>
                    <w:rPr>
                      <w:color w:val="auto"/>
                      <w:sz w:val="21"/>
                      <w:szCs w:val="21"/>
                    </w:rPr>
                  </w:pPr>
                  <w:r>
                    <w:rPr>
                      <w:color w:val="auto"/>
                      <w:sz w:val="21"/>
                      <w:szCs w:val="21"/>
                    </w:rPr>
                    <w:t>/</w:t>
                  </w:r>
                </w:p>
              </w:tc>
              <w:tc>
                <w:tcPr>
                  <w:tcW w:w="1984" w:type="dxa"/>
                  <w:tcBorders>
                    <w:tl2br w:val="nil"/>
                    <w:tr2bl w:val="nil"/>
                  </w:tcBorders>
                  <w:vAlign w:val="center"/>
                </w:tcPr>
                <w:p w14:paraId="1BEB103A">
                  <w:pPr>
                    <w:jc w:val="center"/>
                    <w:rPr>
                      <w:color w:val="auto"/>
                      <w:sz w:val="21"/>
                      <w:szCs w:val="21"/>
                    </w:rPr>
                  </w:pPr>
                  <w:r>
                    <w:rPr>
                      <w:rFonts w:hint="eastAsia"/>
                      <w:color w:val="auto"/>
                      <w:sz w:val="21"/>
                      <w:szCs w:val="21"/>
                    </w:rPr>
                    <w:t>设置1座清洁化操作平台，用于收集、处理、暂存泥浆循环处理系统产生的固相物质。平台设专业岩屑堆存区，占地约50m</w:t>
                  </w:r>
                  <w:r>
                    <w:rPr>
                      <w:rFonts w:hint="eastAsia"/>
                      <w:color w:val="auto"/>
                      <w:sz w:val="21"/>
                      <w:szCs w:val="21"/>
                      <w:vertAlign w:val="superscript"/>
                    </w:rPr>
                    <w:t>2</w:t>
                  </w:r>
                  <w:r>
                    <w:rPr>
                      <w:rFonts w:hint="eastAsia"/>
                      <w:color w:val="auto"/>
                      <w:sz w:val="21"/>
                      <w:szCs w:val="21"/>
                    </w:rPr>
                    <w:t>，用于暂存水基岩屑，后期外委制砖厂家等进行资源化利用。</w:t>
                  </w:r>
                </w:p>
              </w:tc>
            </w:tr>
            <w:tr w14:paraId="44D6A0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87" w:type="dxa"/>
                  <w:vMerge w:val="continue"/>
                  <w:tcBorders>
                    <w:tl2br w:val="nil"/>
                    <w:tr2bl w:val="nil"/>
                  </w:tcBorders>
                  <w:vAlign w:val="center"/>
                </w:tcPr>
                <w:p w14:paraId="04585975">
                  <w:pPr>
                    <w:jc w:val="center"/>
                    <w:rPr>
                      <w:color w:val="auto"/>
                      <w:sz w:val="21"/>
                      <w:szCs w:val="21"/>
                    </w:rPr>
                  </w:pPr>
                </w:p>
              </w:tc>
              <w:tc>
                <w:tcPr>
                  <w:tcW w:w="1035" w:type="dxa"/>
                  <w:tcBorders>
                    <w:tl2br w:val="nil"/>
                    <w:tr2bl w:val="nil"/>
                  </w:tcBorders>
                  <w:vAlign w:val="center"/>
                </w:tcPr>
                <w:p w14:paraId="4C6CA057">
                  <w:pPr>
                    <w:jc w:val="center"/>
                    <w:rPr>
                      <w:color w:val="auto"/>
                      <w:sz w:val="21"/>
                      <w:szCs w:val="21"/>
                    </w:rPr>
                  </w:pPr>
                  <w:r>
                    <w:rPr>
                      <w:rFonts w:hint="eastAsia"/>
                      <w:color w:val="auto"/>
                      <w:sz w:val="21"/>
                      <w:szCs w:val="21"/>
                    </w:rPr>
                    <w:t>剩余水基钻井泥浆</w:t>
                  </w:r>
                </w:p>
              </w:tc>
              <w:tc>
                <w:tcPr>
                  <w:tcW w:w="1629" w:type="dxa"/>
                  <w:tcBorders>
                    <w:tl2br w:val="nil"/>
                    <w:tr2bl w:val="nil"/>
                  </w:tcBorders>
                  <w:vAlign w:val="center"/>
                </w:tcPr>
                <w:p w14:paraId="7E500457">
                  <w:pPr>
                    <w:jc w:val="center"/>
                    <w:rPr>
                      <w:color w:val="auto"/>
                      <w:sz w:val="21"/>
                      <w:szCs w:val="21"/>
                    </w:rPr>
                  </w:pPr>
                  <w:r>
                    <w:rPr>
                      <w:rFonts w:hint="eastAsia"/>
                      <w:color w:val="auto"/>
                      <w:sz w:val="21"/>
                      <w:szCs w:val="21"/>
                    </w:rPr>
                    <w:t>SW12，废物代码：072-001-S12</w:t>
                  </w:r>
                </w:p>
              </w:tc>
              <w:tc>
                <w:tcPr>
                  <w:tcW w:w="1140" w:type="dxa"/>
                  <w:tcBorders>
                    <w:tl2br w:val="nil"/>
                    <w:tr2bl w:val="nil"/>
                  </w:tcBorders>
                  <w:vAlign w:val="center"/>
                </w:tcPr>
                <w:p w14:paraId="5EC37C88">
                  <w:pPr>
                    <w:jc w:val="center"/>
                    <w:rPr>
                      <w:color w:val="auto"/>
                      <w:sz w:val="21"/>
                      <w:szCs w:val="21"/>
                    </w:rPr>
                  </w:pPr>
                  <w:r>
                    <w:rPr>
                      <w:rStyle w:val="24"/>
                      <w:rFonts w:hint="eastAsia"/>
                      <w:color w:val="auto"/>
                    </w:rPr>
                    <w:t>700t</w:t>
                  </w:r>
                </w:p>
              </w:tc>
              <w:tc>
                <w:tcPr>
                  <w:tcW w:w="825" w:type="dxa"/>
                  <w:tcBorders>
                    <w:tl2br w:val="nil"/>
                    <w:tr2bl w:val="nil"/>
                  </w:tcBorders>
                  <w:vAlign w:val="center"/>
                </w:tcPr>
                <w:p w14:paraId="0C8D6239">
                  <w:pPr>
                    <w:jc w:val="center"/>
                    <w:rPr>
                      <w:color w:val="auto"/>
                      <w:sz w:val="21"/>
                      <w:szCs w:val="21"/>
                    </w:rPr>
                  </w:pPr>
                  <w:r>
                    <w:rPr>
                      <w:color w:val="auto"/>
                      <w:sz w:val="21"/>
                      <w:szCs w:val="21"/>
                    </w:rPr>
                    <w:t>固体</w:t>
                  </w:r>
                </w:p>
              </w:tc>
              <w:tc>
                <w:tcPr>
                  <w:tcW w:w="1200" w:type="dxa"/>
                  <w:tcBorders>
                    <w:tl2br w:val="nil"/>
                    <w:tr2bl w:val="nil"/>
                  </w:tcBorders>
                  <w:vAlign w:val="center"/>
                </w:tcPr>
                <w:p w14:paraId="26FDDF01">
                  <w:pPr>
                    <w:jc w:val="center"/>
                    <w:rPr>
                      <w:color w:val="auto"/>
                      <w:sz w:val="21"/>
                      <w:szCs w:val="21"/>
                    </w:rPr>
                  </w:pPr>
                  <w:r>
                    <w:rPr>
                      <w:color w:val="auto"/>
                      <w:sz w:val="21"/>
                      <w:szCs w:val="21"/>
                    </w:rPr>
                    <w:t>/</w:t>
                  </w:r>
                </w:p>
              </w:tc>
              <w:tc>
                <w:tcPr>
                  <w:tcW w:w="1984" w:type="dxa"/>
                  <w:tcBorders>
                    <w:tl2br w:val="nil"/>
                    <w:tr2bl w:val="nil"/>
                  </w:tcBorders>
                  <w:vAlign w:val="center"/>
                </w:tcPr>
                <w:p w14:paraId="7460E8F9">
                  <w:pPr>
                    <w:jc w:val="center"/>
                    <w:rPr>
                      <w:color w:val="auto"/>
                      <w:sz w:val="21"/>
                      <w:szCs w:val="21"/>
                    </w:rPr>
                  </w:pPr>
                  <w:r>
                    <w:rPr>
                      <w:rFonts w:hint="eastAsia"/>
                      <w:color w:val="auto"/>
                      <w:sz w:val="21"/>
                      <w:szCs w:val="21"/>
                    </w:rPr>
                    <w:t>由钻井队回收，随钻井队用于后续钻井工程。</w:t>
                  </w:r>
                </w:p>
              </w:tc>
            </w:tr>
            <w:tr w14:paraId="4DD7E4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687" w:type="dxa"/>
                  <w:vMerge w:val="continue"/>
                  <w:tcBorders>
                    <w:tl2br w:val="nil"/>
                    <w:tr2bl w:val="nil"/>
                  </w:tcBorders>
                  <w:vAlign w:val="center"/>
                </w:tcPr>
                <w:p w14:paraId="78E4AEF7">
                  <w:pPr>
                    <w:jc w:val="center"/>
                    <w:rPr>
                      <w:color w:val="auto"/>
                      <w:sz w:val="21"/>
                      <w:szCs w:val="21"/>
                    </w:rPr>
                  </w:pPr>
                </w:p>
              </w:tc>
              <w:tc>
                <w:tcPr>
                  <w:tcW w:w="1035" w:type="dxa"/>
                  <w:tcBorders>
                    <w:tl2br w:val="nil"/>
                    <w:tr2bl w:val="nil"/>
                  </w:tcBorders>
                  <w:vAlign w:val="center"/>
                </w:tcPr>
                <w:p w14:paraId="781944A5">
                  <w:pPr>
                    <w:jc w:val="center"/>
                    <w:rPr>
                      <w:color w:val="auto"/>
                      <w:sz w:val="21"/>
                      <w:szCs w:val="21"/>
                    </w:rPr>
                  </w:pPr>
                  <w:r>
                    <w:rPr>
                      <w:rFonts w:hint="eastAsia"/>
                      <w:color w:val="auto"/>
                      <w:sz w:val="21"/>
                      <w:szCs w:val="21"/>
                    </w:rPr>
                    <w:t>不沾染毒性的废包装材料</w:t>
                  </w:r>
                </w:p>
              </w:tc>
              <w:tc>
                <w:tcPr>
                  <w:tcW w:w="1629" w:type="dxa"/>
                  <w:tcBorders>
                    <w:tl2br w:val="nil"/>
                    <w:tr2bl w:val="nil"/>
                  </w:tcBorders>
                  <w:vAlign w:val="center"/>
                </w:tcPr>
                <w:p w14:paraId="7C6B6526">
                  <w:pPr>
                    <w:jc w:val="center"/>
                    <w:rPr>
                      <w:color w:val="auto"/>
                      <w:sz w:val="21"/>
                      <w:szCs w:val="21"/>
                    </w:rPr>
                  </w:pPr>
                  <w:r>
                    <w:rPr>
                      <w:rFonts w:hint="eastAsia"/>
                      <w:color w:val="auto"/>
                      <w:sz w:val="21"/>
                      <w:szCs w:val="21"/>
                    </w:rPr>
                    <w:t>SW59，废物代码：900-099-S59</w:t>
                  </w:r>
                </w:p>
              </w:tc>
              <w:tc>
                <w:tcPr>
                  <w:tcW w:w="1140" w:type="dxa"/>
                  <w:tcBorders>
                    <w:tl2br w:val="nil"/>
                    <w:tr2bl w:val="nil"/>
                  </w:tcBorders>
                  <w:vAlign w:val="center"/>
                </w:tcPr>
                <w:p w14:paraId="3F1462B5">
                  <w:pPr>
                    <w:jc w:val="center"/>
                    <w:rPr>
                      <w:color w:val="auto"/>
                      <w:sz w:val="21"/>
                      <w:szCs w:val="21"/>
                    </w:rPr>
                  </w:pPr>
                  <w:r>
                    <w:rPr>
                      <w:rFonts w:hint="eastAsia"/>
                      <w:color w:val="auto"/>
                      <w:sz w:val="21"/>
                      <w:szCs w:val="21"/>
                    </w:rPr>
                    <w:t>1.48</w:t>
                  </w:r>
                </w:p>
              </w:tc>
              <w:tc>
                <w:tcPr>
                  <w:tcW w:w="825" w:type="dxa"/>
                  <w:tcBorders>
                    <w:tl2br w:val="nil"/>
                    <w:tr2bl w:val="nil"/>
                  </w:tcBorders>
                  <w:vAlign w:val="center"/>
                </w:tcPr>
                <w:p w14:paraId="0C1B95FE">
                  <w:pPr>
                    <w:jc w:val="center"/>
                    <w:rPr>
                      <w:color w:val="auto"/>
                      <w:sz w:val="21"/>
                      <w:szCs w:val="21"/>
                    </w:rPr>
                  </w:pPr>
                  <w:r>
                    <w:rPr>
                      <w:color w:val="auto"/>
                      <w:sz w:val="21"/>
                      <w:szCs w:val="21"/>
                    </w:rPr>
                    <w:t>固体</w:t>
                  </w:r>
                </w:p>
              </w:tc>
              <w:tc>
                <w:tcPr>
                  <w:tcW w:w="1200" w:type="dxa"/>
                  <w:tcBorders>
                    <w:tl2br w:val="nil"/>
                    <w:tr2bl w:val="nil"/>
                  </w:tcBorders>
                  <w:vAlign w:val="center"/>
                </w:tcPr>
                <w:p w14:paraId="1955FBC1">
                  <w:pPr>
                    <w:jc w:val="center"/>
                    <w:rPr>
                      <w:color w:val="auto"/>
                      <w:sz w:val="21"/>
                      <w:szCs w:val="21"/>
                    </w:rPr>
                  </w:pPr>
                  <w:r>
                    <w:rPr>
                      <w:color w:val="auto"/>
                      <w:sz w:val="21"/>
                      <w:szCs w:val="21"/>
                    </w:rPr>
                    <w:t>/</w:t>
                  </w:r>
                </w:p>
              </w:tc>
              <w:tc>
                <w:tcPr>
                  <w:tcW w:w="1984" w:type="dxa"/>
                  <w:tcBorders>
                    <w:tl2br w:val="nil"/>
                    <w:tr2bl w:val="nil"/>
                  </w:tcBorders>
                  <w:vAlign w:val="center"/>
                </w:tcPr>
                <w:p w14:paraId="12A7E3B9">
                  <w:pPr>
                    <w:jc w:val="center"/>
                    <w:rPr>
                      <w:color w:val="auto"/>
                      <w:sz w:val="21"/>
                      <w:szCs w:val="21"/>
                    </w:rPr>
                  </w:pPr>
                  <w:r>
                    <w:rPr>
                      <w:rFonts w:hint="eastAsia"/>
                      <w:color w:val="auto"/>
                      <w:sz w:val="21"/>
                      <w:szCs w:val="21"/>
                    </w:rPr>
                    <w:t>外售有资质的单位回收利用</w:t>
                  </w:r>
                </w:p>
              </w:tc>
            </w:tr>
            <w:tr w14:paraId="74FF00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87" w:type="dxa"/>
                  <w:vMerge w:val="restart"/>
                  <w:tcBorders>
                    <w:tl2br w:val="nil"/>
                    <w:tr2bl w:val="nil"/>
                  </w:tcBorders>
                  <w:vAlign w:val="center"/>
                </w:tcPr>
                <w:p w14:paraId="6E54E199">
                  <w:pPr>
                    <w:jc w:val="center"/>
                    <w:rPr>
                      <w:color w:val="auto"/>
                      <w:sz w:val="21"/>
                      <w:szCs w:val="21"/>
                    </w:rPr>
                  </w:pPr>
                  <w:r>
                    <w:rPr>
                      <w:color w:val="auto"/>
                      <w:sz w:val="21"/>
                      <w:szCs w:val="21"/>
                    </w:rPr>
                    <w:t>危险废物</w:t>
                  </w:r>
                </w:p>
              </w:tc>
              <w:tc>
                <w:tcPr>
                  <w:tcW w:w="1035" w:type="dxa"/>
                  <w:tcBorders>
                    <w:tl2br w:val="nil"/>
                    <w:tr2bl w:val="nil"/>
                  </w:tcBorders>
                  <w:vAlign w:val="center"/>
                </w:tcPr>
                <w:p w14:paraId="495F95BB">
                  <w:pPr>
                    <w:jc w:val="center"/>
                    <w:rPr>
                      <w:color w:val="auto"/>
                      <w:sz w:val="21"/>
                      <w:szCs w:val="21"/>
                    </w:rPr>
                  </w:pPr>
                  <w:r>
                    <w:rPr>
                      <w:rFonts w:hint="eastAsia"/>
                      <w:color w:val="auto"/>
                      <w:sz w:val="21"/>
                      <w:szCs w:val="21"/>
                    </w:rPr>
                    <w:t>油基岩屑</w:t>
                  </w:r>
                </w:p>
              </w:tc>
              <w:tc>
                <w:tcPr>
                  <w:tcW w:w="1629" w:type="dxa"/>
                  <w:tcBorders>
                    <w:tl2br w:val="nil"/>
                    <w:tr2bl w:val="nil"/>
                  </w:tcBorders>
                  <w:vAlign w:val="center"/>
                </w:tcPr>
                <w:p w14:paraId="72FFF72E">
                  <w:pPr>
                    <w:jc w:val="center"/>
                    <w:rPr>
                      <w:color w:val="auto"/>
                      <w:sz w:val="21"/>
                      <w:szCs w:val="21"/>
                    </w:rPr>
                  </w:pPr>
                  <w:r>
                    <w:rPr>
                      <w:rFonts w:hint="eastAsia"/>
                      <w:color w:val="auto"/>
                      <w:sz w:val="21"/>
                      <w:szCs w:val="21"/>
                    </w:rPr>
                    <w:t>HW08，危废代码为072-0001-08</w:t>
                  </w:r>
                </w:p>
              </w:tc>
              <w:tc>
                <w:tcPr>
                  <w:tcW w:w="1140" w:type="dxa"/>
                  <w:tcBorders>
                    <w:tl2br w:val="nil"/>
                    <w:tr2bl w:val="nil"/>
                  </w:tcBorders>
                  <w:vAlign w:val="center"/>
                </w:tcPr>
                <w:p w14:paraId="60BA8E27">
                  <w:pPr>
                    <w:jc w:val="center"/>
                    <w:rPr>
                      <w:color w:val="auto"/>
                      <w:sz w:val="21"/>
                      <w:szCs w:val="21"/>
                    </w:rPr>
                  </w:pPr>
                  <w:r>
                    <w:rPr>
                      <w:rFonts w:hint="eastAsia"/>
                      <w:color w:val="auto"/>
                      <w:sz w:val="21"/>
                      <w:szCs w:val="21"/>
                    </w:rPr>
                    <w:t>999.60</w:t>
                  </w:r>
                </w:p>
              </w:tc>
              <w:tc>
                <w:tcPr>
                  <w:tcW w:w="825" w:type="dxa"/>
                  <w:tcBorders>
                    <w:tl2br w:val="nil"/>
                    <w:tr2bl w:val="nil"/>
                  </w:tcBorders>
                  <w:vAlign w:val="center"/>
                </w:tcPr>
                <w:p w14:paraId="6FEC647A">
                  <w:pPr>
                    <w:jc w:val="center"/>
                    <w:rPr>
                      <w:color w:val="auto"/>
                      <w:sz w:val="21"/>
                      <w:szCs w:val="21"/>
                    </w:rPr>
                  </w:pPr>
                  <w:r>
                    <w:rPr>
                      <w:rFonts w:hint="eastAsia"/>
                      <w:color w:val="auto"/>
                      <w:sz w:val="21"/>
                      <w:szCs w:val="21"/>
                    </w:rPr>
                    <w:t>固体</w:t>
                  </w:r>
                </w:p>
              </w:tc>
              <w:tc>
                <w:tcPr>
                  <w:tcW w:w="1200" w:type="dxa"/>
                  <w:tcBorders>
                    <w:tl2br w:val="nil"/>
                    <w:tr2bl w:val="nil"/>
                  </w:tcBorders>
                  <w:vAlign w:val="center"/>
                </w:tcPr>
                <w:p w14:paraId="5AD79541">
                  <w:pPr>
                    <w:jc w:val="center"/>
                    <w:rPr>
                      <w:color w:val="auto"/>
                      <w:sz w:val="21"/>
                      <w:szCs w:val="21"/>
                    </w:rPr>
                  </w:pPr>
                  <w:r>
                    <w:rPr>
                      <w:rFonts w:hint="eastAsia"/>
                      <w:color w:val="auto"/>
                      <w:sz w:val="21"/>
                      <w:szCs w:val="21"/>
                    </w:rPr>
                    <w:t>T</w:t>
                  </w:r>
                </w:p>
              </w:tc>
              <w:tc>
                <w:tcPr>
                  <w:tcW w:w="1984" w:type="dxa"/>
                  <w:tcBorders>
                    <w:tl2br w:val="nil"/>
                    <w:tr2bl w:val="nil"/>
                  </w:tcBorders>
                  <w:vAlign w:val="center"/>
                </w:tcPr>
                <w:p w14:paraId="1B85BF0C">
                  <w:pPr>
                    <w:jc w:val="center"/>
                    <w:rPr>
                      <w:color w:val="auto"/>
                      <w:sz w:val="21"/>
                      <w:szCs w:val="21"/>
                    </w:rPr>
                  </w:pPr>
                  <w:r>
                    <w:rPr>
                      <w:rFonts w:hint="eastAsia"/>
                      <w:color w:val="auto"/>
                      <w:sz w:val="21"/>
                      <w:szCs w:val="21"/>
                    </w:rPr>
                    <w:t>项目开工前与有资质的处理单位签订协议，油基钻屑由储存桶或储存袋收集后暂存于#</w:t>
                  </w:r>
                  <w:r>
                    <w:rPr>
                      <w:color w:val="auto"/>
                      <w:sz w:val="21"/>
                      <w:szCs w:val="21"/>
                    </w:rPr>
                    <w:t>2</w:t>
                  </w:r>
                  <w:r>
                    <w:rPr>
                      <w:rFonts w:hint="eastAsia"/>
                      <w:color w:val="auto"/>
                      <w:sz w:val="21"/>
                      <w:szCs w:val="21"/>
                    </w:rPr>
                    <w:t>为危废暂存间，后交危废资质单位拉运处置。</w:t>
                  </w:r>
                </w:p>
              </w:tc>
            </w:tr>
            <w:tr w14:paraId="2F036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87" w:type="dxa"/>
                  <w:vMerge w:val="continue"/>
                  <w:tcBorders>
                    <w:tl2br w:val="nil"/>
                    <w:tr2bl w:val="nil"/>
                  </w:tcBorders>
                  <w:vAlign w:val="center"/>
                </w:tcPr>
                <w:p w14:paraId="7F230193">
                  <w:pPr>
                    <w:jc w:val="center"/>
                    <w:rPr>
                      <w:color w:val="auto"/>
                      <w:sz w:val="21"/>
                      <w:szCs w:val="21"/>
                    </w:rPr>
                  </w:pPr>
                </w:p>
              </w:tc>
              <w:tc>
                <w:tcPr>
                  <w:tcW w:w="1035" w:type="dxa"/>
                  <w:tcBorders>
                    <w:tl2br w:val="nil"/>
                    <w:tr2bl w:val="nil"/>
                  </w:tcBorders>
                  <w:vAlign w:val="center"/>
                </w:tcPr>
                <w:p w14:paraId="22E02237">
                  <w:pPr>
                    <w:jc w:val="center"/>
                    <w:rPr>
                      <w:color w:val="auto"/>
                      <w:sz w:val="21"/>
                      <w:szCs w:val="21"/>
                    </w:rPr>
                  </w:pPr>
                  <w:r>
                    <w:rPr>
                      <w:rFonts w:hint="eastAsia"/>
                      <w:color w:val="auto"/>
                      <w:sz w:val="21"/>
                      <w:szCs w:val="21"/>
                    </w:rPr>
                    <w:t>剩余油基钻井泥浆</w:t>
                  </w:r>
                </w:p>
              </w:tc>
              <w:tc>
                <w:tcPr>
                  <w:tcW w:w="1629" w:type="dxa"/>
                  <w:tcBorders>
                    <w:tl2br w:val="nil"/>
                    <w:tr2bl w:val="nil"/>
                  </w:tcBorders>
                  <w:vAlign w:val="center"/>
                </w:tcPr>
                <w:p w14:paraId="0CF51F4F">
                  <w:pPr>
                    <w:jc w:val="center"/>
                    <w:rPr>
                      <w:color w:val="auto"/>
                      <w:sz w:val="21"/>
                      <w:szCs w:val="21"/>
                    </w:rPr>
                  </w:pPr>
                  <w:r>
                    <w:rPr>
                      <w:rFonts w:hint="eastAsia"/>
                      <w:color w:val="auto"/>
                      <w:sz w:val="21"/>
                      <w:szCs w:val="21"/>
                    </w:rPr>
                    <w:t>HW08，危废代码为072-0001-08</w:t>
                  </w:r>
                </w:p>
              </w:tc>
              <w:tc>
                <w:tcPr>
                  <w:tcW w:w="1140" w:type="dxa"/>
                  <w:tcBorders>
                    <w:tl2br w:val="nil"/>
                    <w:tr2bl w:val="nil"/>
                  </w:tcBorders>
                  <w:vAlign w:val="center"/>
                </w:tcPr>
                <w:p w14:paraId="2C4CD532">
                  <w:pPr>
                    <w:jc w:val="center"/>
                    <w:rPr>
                      <w:color w:val="auto"/>
                      <w:sz w:val="21"/>
                      <w:szCs w:val="21"/>
                    </w:rPr>
                  </w:pPr>
                  <w:r>
                    <w:rPr>
                      <w:rFonts w:hint="eastAsia"/>
                      <w:color w:val="auto"/>
                      <w:sz w:val="21"/>
                      <w:szCs w:val="21"/>
                    </w:rPr>
                    <w:t>720t</w:t>
                  </w:r>
                </w:p>
              </w:tc>
              <w:tc>
                <w:tcPr>
                  <w:tcW w:w="825" w:type="dxa"/>
                  <w:tcBorders>
                    <w:tl2br w:val="nil"/>
                    <w:tr2bl w:val="nil"/>
                  </w:tcBorders>
                  <w:vAlign w:val="center"/>
                </w:tcPr>
                <w:p w14:paraId="4978908F">
                  <w:pPr>
                    <w:jc w:val="center"/>
                    <w:rPr>
                      <w:color w:val="auto"/>
                      <w:sz w:val="21"/>
                      <w:szCs w:val="21"/>
                    </w:rPr>
                  </w:pPr>
                  <w:r>
                    <w:rPr>
                      <w:rFonts w:hint="eastAsia"/>
                      <w:color w:val="auto"/>
                      <w:sz w:val="21"/>
                      <w:szCs w:val="21"/>
                    </w:rPr>
                    <w:t>液体</w:t>
                  </w:r>
                </w:p>
              </w:tc>
              <w:tc>
                <w:tcPr>
                  <w:tcW w:w="1200" w:type="dxa"/>
                  <w:tcBorders>
                    <w:tl2br w:val="nil"/>
                    <w:tr2bl w:val="nil"/>
                  </w:tcBorders>
                  <w:vAlign w:val="center"/>
                </w:tcPr>
                <w:p w14:paraId="46683B03">
                  <w:pPr>
                    <w:jc w:val="center"/>
                    <w:rPr>
                      <w:color w:val="auto"/>
                      <w:sz w:val="21"/>
                      <w:szCs w:val="21"/>
                    </w:rPr>
                  </w:pPr>
                  <w:r>
                    <w:rPr>
                      <w:rFonts w:hint="eastAsia"/>
                      <w:color w:val="auto"/>
                      <w:sz w:val="21"/>
                      <w:szCs w:val="21"/>
                    </w:rPr>
                    <w:t>T</w:t>
                  </w:r>
                </w:p>
              </w:tc>
              <w:tc>
                <w:tcPr>
                  <w:tcW w:w="1984" w:type="dxa"/>
                  <w:tcBorders>
                    <w:tl2br w:val="nil"/>
                    <w:tr2bl w:val="nil"/>
                  </w:tcBorders>
                  <w:vAlign w:val="center"/>
                </w:tcPr>
                <w:p w14:paraId="64EAAD76">
                  <w:pPr>
                    <w:jc w:val="center"/>
                    <w:rPr>
                      <w:color w:val="auto"/>
                      <w:sz w:val="21"/>
                      <w:szCs w:val="21"/>
                    </w:rPr>
                  </w:pPr>
                  <w:r>
                    <w:rPr>
                      <w:rFonts w:hint="eastAsia"/>
                      <w:color w:val="auto"/>
                      <w:sz w:val="21"/>
                      <w:szCs w:val="21"/>
                    </w:rPr>
                    <w:t>由储存桶收集后暂存于#2为危废暂存间，后交危废资质单位拉运处置。</w:t>
                  </w:r>
                </w:p>
              </w:tc>
            </w:tr>
            <w:tr w14:paraId="399469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687" w:type="dxa"/>
                  <w:vMerge w:val="continue"/>
                  <w:tcBorders>
                    <w:tl2br w:val="nil"/>
                    <w:tr2bl w:val="nil"/>
                  </w:tcBorders>
                  <w:vAlign w:val="center"/>
                </w:tcPr>
                <w:p w14:paraId="6A72527A">
                  <w:pPr>
                    <w:jc w:val="center"/>
                    <w:rPr>
                      <w:color w:val="auto"/>
                      <w:sz w:val="21"/>
                      <w:szCs w:val="21"/>
                    </w:rPr>
                  </w:pPr>
                </w:p>
              </w:tc>
              <w:tc>
                <w:tcPr>
                  <w:tcW w:w="1035" w:type="dxa"/>
                  <w:tcBorders>
                    <w:tl2br w:val="nil"/>
                    <w:tr2bl w:val="nil"/>
                  </w:tcBorders>
                  <w:vAlign w:val="center"/>
                </w:tcPr>
                <w:p w14:paraId="71BC07C8">
                  <w:pPr>
                    <w:jc w:val="center"/>
                    <w:rPr>
                      <w:color w:val="auto"/>
                      <w:sz w:val="21"/>
                      <w:szCs w:val="21"/>
                    </w:rPr>
                  </w:pPr>
                  <w:r>
                    <w:rPr>
                      <w:rFonts w:hint="eastAsia"/>
                      <w:color w:val="auto"/>
                      <w:sz w:val="21"/>
                      <w:szCs w:val="21"/>
                    </w:rPr>
                    <w:t>废机油</w:t>
                  </w:r>
                </w:p>
              </w:tc>
              <w:tc>
                <w:tcPr>
                  <w:tcW w:w="1629" w:type="dxa"/>
                  <w:tcBorders>
                    <w:tl2br w:val="nil"/>
                    <w:tr2bl w:val="nil"/>
                  </w:tcBorders>
                  <w:vAlign w:val="center"/>
                </w:tcPr>
                <w:p w14:paraId="558379D1">
                  <w:pPr>
                    <w:jc w:val="center"/>
                    <w:rPr>
                      <w:color w:val="auto"/>
                      <w:sz w:val="21"/>
                      <w:szCs w:val="21"/>
                    </w:rPr>
                  </w:pPr>
                  <w:r>
                    <w:rPr>
                      <w:rFonts w:hint="eastAsia"/>
                      <w:color w:val="auto"/>
                      <w:sz w:val="21"/>
                      <w:szCs w:val="21"/>
                    </w:rPr>
                    <w:t>HW08，危废代码：900-214-08</w:t>
                  </w:r>
                </w:p>
              </w:tc>
              <w:tc>
                <w:tcPr>
                  <w:tcW w:w="1140" w:type="dxa"/>
                  <w:tcBorders>
                    <w:tl2br w:val="nil"/>
                    <w:tr2bl w:val="nil"/>
                  </w:tcBorders>
                  <w:vAlign w:val="center"/>
                </w:tcPr>
                <w:p w14:paraId="2FE53200">
                  <w:pPr>
                    <w:jc w:val="center"/>
                    <w:rPr>
                      <w:color w:val="auto"/>
                      <w:sz w:val="21"/>
                      <w:szCs w:val="21"/>
                    </w:rPr>
                  </w:pPr>
                  <w:r>
                    <w:rPr>
                      <w:rFonts w:hint="eastAsia"/>
                      <w:color w:val="auto"/>
                      <w:sz w:val="21"/>
                      <w:szCs w:val="21"/>
                    </w:rPr>
                    <w:t>3</w:t>
                  </w:r>
                </w:p>
              </w:tc>
              <w:tc>
                <w:tcPr>
                  <w:tcW w:w="825" w:type="dxa"/>
                  <w:tcBorders>
                    <w:tl2br w:val="nil"/>
                    <w:tr2bl w:val="nil"/>
                  </w:tcBorders>
                  <w:vAlign w:val="center"/>
                </w:tcPr>
                <w:p w14:paraId="06BBF322">
                  <w:pPr>
                    <w:jc w:val="center"/>
                    <w:rPr>
                      <w:color w:val="auto"/>
                      <w:sz w:val="21"/>
                      <w:szCs w:val="21"/>
                    </w:rPr>
                  </w:pPr>
                  <w:r>
                    <w:rPr>
                      <w:rFonts w:hint="eastAsia"/>
                      <w:color w:val="auto"/>
                      <w:sz w:val="21"/>
                      <w:szCs w:val="21"/>
                    </w:rPr>
                    <w:t>液体</w:t>
                  </w:r>
                </w:p>
              </w:tc>
              <w:tc>
                <w:tcPr>
                  <w:tcW w:w="1200" w:type="dxa"/>
                  <w:tcBorders>
                    <w:tl2br w:val="nil"/>
                    <w:tr2bl w:val="nil"/>
                  </w:tcBorders>
                  <w:vAlign w:val="center"/>
                </w:tcPr>
                <w:p w14:paraId="736B1D9D">
                  <w:pPr>
                    <w:jc w:val="center"/>
                    <w:rPr>
                      <w:color w:val="auto"/>
                      <w:sz w:val="21"/>
                      <w:szCs w:val="21"/>
                    </w:rPr>
                  </w:pPr>
                  <w:r>
                    <w:rPr>
                      <w:rFonts w:hint="eastAsia"/>
                      <w:color w:val="auto"/>
                      <w:sz w:val="21"/>
                      <w:szCs w:val="21"/>
                    </w:rPr>
                    <w:t>T，I</w:t>
                  </w:r>
                </w:p>
              </w:tc>
              <w:tc>
                <w:tcPr>
                  <w:tcW w:w="1984" w:type="dxa"/>
                  <w:vMerge w:val="restart"/>
                  <w:tcBorders>
                    <w:tl2br w:val="nil"/>
                    <w:tr2bl w:val="nil"/>
                  </w:tcBorders>
                  <w:vAlign w:val="center"/>
                </w:tcPr>
                <w:p w14:paraId="6F5C0E10">
                  <w:pPr>
                    <w:jc w:val="center"/>
                    <w:rPr>
                      <w:color w:val="auto"/>
                      <w:sz w:val="21"/>
                      <w:szCs w:val="21"/>
                    </w:rPr>
                  </w:pPr>
                  <w:r>
                    <w:rPr>
                      <w:rFonts w:hint="eastAsia"/>
                      <w:color w:val="auto"/>
                      <w:sz w:val="21"/>
                      <w:szCs w:val="21"/>
                    </w:rPr>
                    <w:t>集中收集于#1危废暂存间，后交有资质单位处置。</w:t>
                  </w:r>
                </w:p>
              </w:tc>
            </w:tr>
            <w:tr w14:paraId="073F33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7" w:type="dxa"/>
                  <w:vMerge w:val="continue"/>
                  <w:tcBorders>
                    <w:tl2br w:val="nil"/>
                    <w:tr2bl w:val="nil"/>
                  </w:tcBorders>
                  <w:vAlign w:val="center"/>
                </w:tcPr>
                <w:p w14:paraId="0DA916C2">
                  <w:pPr>
                    <w:jc w:val="center"/>
                    <w:rPr>
                      <w:color w:val="auto"/>
                      <w:sz w:val="21"/>
                      <w:szCs w:val="21"/>
                    </w:rPr>
                  </w:pPr>
                </w:p>
              </w:tc>
              <w:tc>
                <w:tcPr>
                  <w:tcW w:w="1035" w:type="dxa"/>
                  <w:tcBorders>
                    <w:tl2br w:val="nil"/>
                    <w:tr2bl w:val="nil"/>
                  </w:tcBorders>
                  <w:vAlign w:val="center"/>
                </w:tcPr>
                <w:p w14:paraId="2ADAD291">
                  <w:pPr>
                    <w:jc w:val="center"/>
                    <w:rPr>
                      <w:color w:val="auto"/>
                      <w:sz w:val="21"/>
                      <w:szCs w:val="21"/>
                    </w:rPr>
                  </w:pPr>
                  <w:r>
                    <w:rPr>
                      <w:rFonts w:hint="eastAsia"/>
                      <w:color w:val="auto"/>
                      <w:sz w:val="21"/>
                      <w:szCs w:val="21"/>
                    </w:rPr>
                    <w:t>含矿物油废物</w:t>
                  </w:r>
                </w:p>
              </w:tc>
              <w:tc>
                <w:tcPr>
                  <w:tcW w:w="1629" w:type="dxa"/>
                  <w:tcBorders>
                    <w:tl2br w:val="nil"/>
                    <w:tr2bl w:val="nil"/>
                  </w:tcBorders>
                  <w:vAlign w:val="center"/>
                </w:tcPr>
                <w:p w14:paraId="27CCC019">
                  <w:pPr>
                    <w:jc w:val="center"/>
                    <w:rPr>
                      <w:color w:val="auto"/>
                      <w:sz w:val="21"/>
                      <w:szCs w:val="21"/>
                    </w:rPr>
                  </w:pPr>
                  <w:r>
                    <w:rPr>
                      <w:rFonts w:hint="eastAsia"/>
                      <w:color w:val="auto"/>
                      <w:sz w:val="21"/>
                      <w:szCs w:val="21"/>
                    </w:rPr>
                    <w:t>HW49，危废代码：900-041-49</w:t>
                  </w:r>
                </w:p>
              </w:tc>
              <w:tc>
                <w:tcPr>
                  <w:tcW w:w="1140" w:type="dxa"/>
                  <w:tcBorders>
                    <w:tl2br w:val="nil"/>
                    <w:tr2bl w:val="nil"/>
                  </w:tcBorders>
                  <w:vAlign w:val="center"/>
                </w:tcPr>
                <w:p w14:paraId="74F23421">
                  <w:pPr>
                    <w:jc w:val="center"/>
                    <w:rPr>
                      <w:color w:val="auto"/>
                      <w:sz w:val="21"/>
                      <w:szCs w:val="21"/>
                    </w:rPr>
                  </w:pPr>
                  <w:r>
                    <w:rPr>
                      <w:rFonts w:hint="eastAsia"/>
                      <w:color w:val="auto"/>
                      <w:sz w:val="21"/>
                      <w:szCs w:val="21"/>
                    </w:rPr>
                    <w:t>1.2</w:t>
                  </w:r>
                </w:p>
              </w:tc>
              <w:tc>
                <w:tcPr>
                  <w:tcW w:w="825" w:type="dxa"/>
                  <w:tcBorders>
                    <w:tl2br w:val="nil"/>
                    <w:tr2bl w:val="nil"/>
                  </w:tcBorders>
                  <w:vAlign w:val="center"/>
                </w:tcPr>
                <w:p w14:paraId="0AC6C6E9">
                  <w:pPr>
                    <w:jc w:val="center"/>
                    <w:rPr>
                      <w:color w:val="auto"/>
                      <w:sz w:val="21"/>
                      <w:szCs w:val="21"/>
                    </w:rPr>
                  </w:pPr>
                  <w:r>
                    <w:rPr>
                      <w:rFonts w:hint="eastAsia"/>
                      <w:color w:val="auto"/>
                      <w:sz w:val="21"/>
                      <w:szCs w:val="21"/>
                    </w:rPr>
                    <w:t>固体</w:t>
                  </w:r>
                </w:p>
              </w:tc>
              <w:tc>
                <w:tcPr>
                  <w:tcW w:w="1200" w:type="dxa"/>
                  <w:tcBorders>
                    <w:tl2br w:val="nil"/>
                    <w:tr2bl w:val="nil"/>
                  </w:tcBorders>
                  <w:vAlign w:val="center"/>
                </w:tcPr>
                <w:p w14:paraId="06C981EF">
                  <w:pPr>
                    <w:jc w:val="center"/>
                    <w:rPr>
                      <w:color w:val="auto"/>
                      <w:sz w:val="21"/>
                      <w:szCs w:val="21"/>
                    </w:rPr>
                  </w:pPr>
                  <w:r>
                    <w:rPr>
                      <w:rFonts w:hint="eastAsia"/>
                      <w:color w:val="auto"/>
                      <w:sz w:val="21"/>
                      <w:szCs w:val="21"/>
                    </w:rPr>
                    <w:t>T/In</w:t>
                  </w:r>
                </w:p>
              </w:tc>
              <w:tc>
                <w:tcPr>
                  <w:tcW w:w="1984" w:type="dxa"/>
                  <w:vMerge w:val="continue"/>
                  <w:tcBorders>
                    <w:tl2br w:val="nil"/>
                    <w:tr2bl w:val="nil"/>
                  </w:tcBorders>
                  <w:vAlign w:val="center"/>
                </w:tcPr>
                <w:p w14:paraId="7B8A6485">
                  <w:pPr>
                    <w:jc w:val="center"/>
                    <w:rPr>
                      <w:color w:val="auto"/>
                      <w:sz w:val="21"/>
                      <w:szCs w:val="21"/>
                    </w:rPr>
                  </w:pPr>
                </w:p>
              </w:tc>
            </w:tr>
            <w:tr w14:paraId="487F94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7" w:type="dxa"/>
                  <w:vMerge w:val="continue"/>
                  <w:tcBorders>
                    <w:tl2br w:val="nil"/>
                    <w:tr2bl w:val="nil"/>
                  </w:tcBorders>
                  <w:vAlign w:val="center"/>
                </w:tcPr>
                <w:p w14:paraId="1E9794B5">
                  <w:pPr>
                    <w:jc w:val="center"/>
                    <w:rPr>
                      <w:color w:val="auto"/>
                      <w:sz w:val="21"/>
                      <w:szCs w:val="21"/>
                    </w:rPr>
                  </w:pPr>
                </w:p>
              </w:tc>
              <w:tc>
                <w:tcPr>
                  <w:tcW w:w="1035" w:type="dxa"/>
                  <w:tcBorders>
                    <w:tl2br w:val="nil"/>
                    <w:tr2bl w:val="nil"/>
                  </w:tcBorders>
                  <w:vAlign w:val="center"/>
                </w:tcPr>
                <w:p w14:paraId="3830A2B2">
                  <w:pPr>
                    <w:jc w:val="center"/>
                    <w:rPr>
                      <w:color w:val="auto"/>
                      <w:sz w:val="21"/>
                      <w:szCs w:val="21"/>
                    </w:rPr>
                  </w:pPr>
                  <w:r>
                    <w:rPr>
                      <w:rFonts w:hint="eastAsia"/>
                      <w:color w:val="auto"/>
                      <w:sz w:val="21"/>
                      <w:szCs w:val="21"/>
                    </w:rPr>
                    <w:t>沾染毒性的废包装材料</w:t>
                  </w:r>
                </w:p>
              </w:tc>
              <w:tc>
                <w:tcPr>
                  <w:tcW w:w="1629" w:type="dxa"/>
                  <w:tcBorders>
                    <w:tl2br w:val="nil"/>
                    <w:tr2bl w:val="nil"/>
                  </w:tcBorders>
                  <w:vAlign w:val="center"/>
                </w:tcPr>
                <w:p w14:paraId="3CDE5052">
                  <w:pPr>
                    <w:jc w:val="center"/>
                    <w:rPr>
                      <w:color w:val="auto"/>
                      <w:sz w:val="21"/>
                      <w:szCs w:val="21"/>
                    </w:rPr>
                  </w:pPr>
                  <w:r>
                    <w:rPr>
                      <w:rFonts w:hint="eastAsia"/>
                      <w:color w:val="auto"/>
                      <w:sz w:val="21"/>
                      <w:szCs w:val="21"/>
                    </w:rPr>
                    <w:t>HW08，危废900-249-08</w:t>
                  </w:r>
                </w:p>
              </w:tc>
              <w:tc>
                <w:tcPr>
                  <w:tcW w:w="1140" w:type="dxa"/>
                  <w:tcBorders>
                    <w:tl2br w:val="nil"/>
                    <w:tr2bl w:val="nil"/>
                  </w:tcBorders>
                  <w:vAlign w:val="center"/>
                </w:tcPr>
                <w:p w14:paraId="37BC2278">
                  <w:pPr>
                    <w:jc w:val="center"/>
                    <w:rPr>
                      <w:color w:val="auto"/>
                      <w:sz w:val="21"/>
                      <w:szCs w:val="21"/>
                    </w:rPr>
                  </w:pPr>
                  <w:r>
                    <w:rPr>
                      <w:rFonts w:hint="eastAsia"/>
                      <w:color w:val="auto"/>
                      <w:sz w:val="21"/>
                      <w:szCs w:val="21"/>
                    </w:rPr>
                    <w:t>0.2</w:t>
                  </w:r>
                </w:p>
              </w:tc>
              <w:tc>
                <w:tcPr>
                  <w:tcW w:w="825" w:type="dxa"/>
                  <w:tcBorders>
                    <w:tl2br w:val="nil"/>
                    <w:tr2bl w:val="nil"/>
                  </w:tcBorders>
                  <w:vAlign w:val="center"/>
                </w:tcPr>
                <w:p w14:paraId="478336C7">
                  <w:pPr>
                    <w:jc w:val="center"/>
                    <w:rPr>
                      <w:color w:val="auto"/>
                      <w:sz w:val="21"/>
                      <w:szCs w:val="21"/>
                    </w:rPr>
                  </w:pPr>
                  <w:r>
                    <w:rPr>
                      <w:rFonts w:hint="eastAsia"/>
                      <w:color w:val="auto"/>
                      <w:sz w:val="21"/>
                      <w:szCs w:val="21"/>
                    </w:rPr>
                    <w:t>固体</w:t>
                  </w:r>
                </w:p>
              </w:tc>
              <w:tc>
                <w:tcPr>
                  <w:tcW w:w="1200" w:type="dxa"/>
                  <w:tcBorders>
                    <w:tl2br w:val="nil"/>
                    <w:tr2bl w:val="nil"/>
                  </w:tcBorders>
                  <w:vAlign w:val="center"/>
                </w:tcPr>
                <w:p w14:paraId="0FD93A53">
                  <w:pPr>
                    <w:jc w:val="center"/>
                    <w:rPr>
                      <w:color w:val="auto"/>
                      <w:sz w:val="21"/>
                      <w:szCs w:val="21"/>
                    </w:rPr>
                  </w:pPr>
                  <w:r>
                    <w:rPr>
                      <w:rFonts w:hint="eastAsia"/>
                      <w:color w:val="auto"/>
                      <w:sz w:val="21"/>
                      <w:szCs w:val="21"/>
                    </w:rPr>
                    <w:t>T，I</w:t>
                  </w:r>
                </w:p>
              </w:tc>
              <w:tc>
                <w:tcPr>
                  <w:tcW w:w="1984" w:type="dxa"/>
                  <w:vMerge w:val="continue"/>
                  <w:tcBorders>
                    <w:tl2br w:val="nil"/>
                    <w:tr2bl w:val="nil"/>
                  </w:tcBorders>
                  <w:vAlign w:val="center"/>
                </w:tcPr>
                <w:p w14:paraId="1B9F4750">
                  <w:pPr>
                    <w:jc w:val="center"/>
                    <w:rPr>
                      <w:color w:val="auto"/>
                      <w:sz w:val="21"/>
                      <w:szCs w:val="21"/>
                    </w:rPr>
                  </w:pPr>
                </w:p>
              </w:tc>
            </w:tr>
          </w:tbl>
          <w:p w14:paraId="6176237B">
            <w:pPr>
              <w:spacing w:line="360" w:lineRule="auto"/>
              <w:rPr>
                <w:b/>
                <w:bCs/>
                <w:color w:val="auto"/>
              </w:rPr>
            </w:pPr>
            <w:r>
              <w:rPr>
                <w:rFonts w:hint="eastAsia"/>
                <w:b/>
                <w:bCs/>
                <w:color w:val="auto"/>
              </w:rPr>
              <w:t>3.5地下水环境影响分析</w:t>
            </w:r>
          </w:p>
          <w:p w14:paraId="0C3BFF9A">
            <w:pPr>
              <w:spacing w:line="360" w:lineRule="auto"/>
              <w:ind w:firstLine="480" w:firstLineChars="200"/>
              <w:rPr>
                <w:color w:val="auto"/>
              </w:rPr>
            </w:pPr>
            <w:r>
              <w:rPr>
                <w:rFonts w:hint="eastAsia"/>
                <w:color w:val="auto"/>
              </w:rPr>
              <w:t>根据拟建项目工程分析，正常工况下，各项污染得到相应处理，基本不会对地下水造成污染。对地下水环境可能造成影响的污染源主要是场地内暂存的钻井作业废水、泥浆、油基岩屑等暂存过程中的跑冒滴漏对区域地下水饮用的影响，开井返排阶段返排废水收集贮存的跑、冒、滴、漏污染地下水环境；以及工程建设施工过程中，钻井、固井等井下作业的地表污染物下渗可能污染浅层地下水，但由于其生活污水拉运至污水处理单位处置，生产废水大部分回用于工程，少部分依托其他平台污水处理站处理达标后排放，故其对当地居民、地下水影响较小。</w:t>
            </w:r>
          </w:p>
          <w:p w14:paraId="74C96938">
            <w:pPr>
              <w:spacing w:line="360" w:lineRule="auto"/>
              <w:ind w:firstLine="480" w:firstLineChars="200"/>
              <w:rPr>
                <w:color w:val="auto"/>
              </w:rPr>
            </w:pPr>
            <w:r>
              <w:rPr>
                <w:rFonts w:hint="eastAsia"/>
                <w:color w:val="auto"/>
              </w:rPr>
              <w:t>（1）井场、污水池渗漏对地下水的影响分析</w:t>
            </w:r>
          </w:p>
          <w:p w14:paraId="6DD684F9">
            <w:pPr>
              <w:spacing w:line="360" w:lineRule="auto"/>
              <w:ind w:firstLine="480" w:firstLineChars="200"/>
              <w:rPr>
                <w:color w:val="auto"/>
              </w:rPr>
            </w:pPr>
            <w:r>
              <w:rPr>
                <w:rFonts w:hint="eastAsia"/>
                <w:color w:val="auto"/>
              </w:rPr>
              <w:t>工程主基础周围场面防污染物渗透：方井前后地坪、井架基础前端1.5m范围内的地坪，柴油机基础地坪等，泥浆泵与循环系统之间的道路，采用ClI5砼防渗层，可以降低因暴雨等自然灾害而导致污水外溢的危险，如果在钻井过程中遇突发暴雨导致废水池容易超负荷运行，也可对废水进行钻中处理（罐车外运处理），防止因废水池容量不够而导致污水外溢。</w:t>
            </w:r>
          </w:p>
          <w:p w14:paraId="59B83992">
            <w:pPr>
              <w:spacing w:line="360" w:lineRule="auto"/>
              <w:ind w:firstLine="480" w:firstLineChars="200"/>
              <w:rPr>
                <w:color w:val="auto"/>
              </w:rPr>
            </w:pPr>
            <w:r>
              <w:rPr>
                <w:rFonts w:hint="eastAsia"/>
                <w:color w:val="auto"/>
              </w:rPr>
              <w:t>（2）钻井废水、生活污水的影响分析</w:t>
            </w:r>
          </w:p>
          <w:p w14:paraId="0B856C49">
            <w:pPr>
              <w:spacing w:line="360" w:lineRule="auto"/>
              <w:ind w:firstLine="480" w:firstLineChars="200"/>
              <w:rPr>
                <w:color w:val="auto"/>
              </w:rPr>
            </w:pPr>
            <w:r>
              <w:rPr>
                <w:rFonts w:hint="eastAsia"/>
                <w:color w:val="auto"/>
              </w:rPr>
              <w:t>钻井废水排至泥浆循环系统，经固液分离后产生的滤液回用于钻井用水，减少了新鲜用水量和最终废水产生量。整个钻井过程没有废水直接排入地表水体，因此可最大限度的减少钻井废水渗漏对当地地下水环境的影响，本项目生产废水对当地地下水环境影响可接受。</w:t>
            </w:r>
          </w:p>
          <w:p w14:paraId="448235E5">
            <w:pPr>
              <w:spacing w:line="360" w:lineRule="auto"/>
              <w:ind w:firstLine="480" w:firstLineChars="200"/>
              <w:rPr>
                <w:rFonts w:hint="eastAsia"/>
                <w:color w:val="auto"/>
              </w:rPr>
            </w:pPr>
            <w:r>
              <w:rPr>
                <w:rFonts w:hint="eastAsia"/>
                <w:color w:val="auto"/>
              </w:rPr>
              <w:t>项目在开工前与污水处理单位签订协议，采用移动式水冲厕所，粪水和食堂、洗浴废水定期拉运至当地有接收能力且环保手续齐备的生活污水处理厂（站）统一处理及排放。生活污水不外排，对地下水影响微小。</w:t>
            </w:r>
          </w:p>
          <w:p w14:paraId="1897E29F">
            <w:pPr>
              <w:spacing w:line="360" w:lineRule="auto"/>
              <w:ind w:firstLine="480" w:firstLineChars="200"/>
              <w:rPr>
                <w:color w:val="auto"/>
              </w:rPr>
            </w:pPr>
            <w:r>
              <w:rPr>
                <w:rFonts w:hint="eastAsia"/>
                <w:color w:val="auto"/>
              </w:rPr>
              <w:t>（3）钻井泥浆、钻井废泥浆和岩屑的影响分析</w:t>
            </w:r>
          </w:p>
          <w:p w14:paraId="15DDA6C9">
            <w:pPr>
              <w:spacing w:line="360" w:lineRule="auto"/>
              <w:ind w:firstLine="480" w:firstLineChars="200"/>
              <w:rPr>
                <w:color w:val="auto"/>
              </w:rPr>
            </w:pPr>
            <w:r>
              <w:rPr>
                <w:rFonts w:hint="eastAsia"/>
                <w:color w:val="auto"/>
              </w:rPr>
              <w:t>本工程钻井施工采用水基和油基钻井液体系，在防渗漏措施的控制下泥浆对地下水环境影响的可能性很小。</w:t>
            </w:r>
          </w:p>
          <w:p w14:paraId="26DD1226">
            <w:pPr>
              <w:spacing w:line="360" w:lineRule="auto"/>
              <w:ind w:firstLine="480" w:firstLineChars="200"/>
              <w:rPr>
                <w:color w:val="auto"/>
              </w:rPr>
            </w:pPr>
            <w:r>
              <w:rPr>
                <w:rFonts w:hint="eastAsia"/>
                <w:color w:val="auto"/>
              </w:rPr>
              <w:t>固井过程中的水泥浆从套管中进入地层，部分水泥返回地表，部分在空中迅速稠化、凝结，整个过程中水泥浆与地下水含水层接触的很短，对地下水环境影响很小。</w:t>
            </w:r>
          </w:p>
          <w:p w14:paraId="73542942">
            <w:pPr>
              <w:spacing w:line="360" w:lineRule="auto"/>
              <w:ind w:firstLine="480" w:firstLineChars="200"/>
              <w:rPr>
                <w:color w:val="auto"/>
              </w:rPr>
            </w:pPr>
            <w:r>
              <w:rPr>
                <w:rFonts w:hint="eastAsia"/>
                <w:color w:val="auto"/>
              </w:rPr>
              <w:t>项目产生的</w:t>
            </w:r>
            <w:r>
              <w:rPr>
                <w:color w:val="auto"/>
              </w:rPr>
              <w:t>水基钻井泥浆</w:t>
            </w:r>
            <w:r>
              <w:rPr>
                <w:rFonts w:hint="eastAsia"/>
                <w:color w:val="auto"/>
              </w:rPr>
              <w:t>由钻井队回收，随钻井队用于后续钻井工程；</w:t>
            </w:r>
            <w:r>
              <w:rPr>
                <w:rFonts w:hint="eastAsia"/>
                <w:color w:val="auto"/>
                <w:szCs w:val="21"/>
              </w:rPr>
              <w:t>项目</w:t>
            </w:r>
            <w:r>
              <w:rPr>
                <w:color w:val="auto"/>
                <w:szCs w:val="21"/>
              </w:rPr>
              <w:t>设置1座清洁化操作平台，用于收集、处理、暂存泥浆循环处理系统产生的固相物质。平台设专业岩屑堆存区，占地约50m</w:t>
            </w:r>
            <w:r>
              <w:rPr>
                <w:color w:val="auto"/>
                <w:szCs w:val="21"/>
                <w:vertAlign w:val="superscript"/>
              </w:rPr>
              <w:t>2</w:t>
            </w:r>
            <w:r>
              <w:rPr>
                <w:color w:val="auto"/>
                <w:szCs w:val="21"/>
              </w:rPr>
              <w:t>，用于暂存</w:t>
            </w:r>
            <w:r>
              <w:rPr>
                <w:rFonts w:hint="eastAsia"/>
                <w:color w:val="auto"/>
                <w:szCs w:val="21"/>
              </w:rPr>
              <w:t>水基</w:t>
            </w:r>
            <w:r>
              <w:rPr>
                <w:color w:val="auto"/>
                <w:szCs w:val="21"/>
              </w:rPr>
              <w:t>岩屑，后期外</w:t>
            </w:r>
            <w:r>
              <w:rPr>
                <w:rFonts w:hint="eastAsia"/>
                <w:color w:val="auto"/>
                <w:szCs w:val="21"/>
              </w:rPr>
              <w:t>委</w:t>
            </w:r>
            <w:r>
              <w:rPr>
                <w:color w:val="auto"/>
                <w:szCs w:val="21"/>
              </w:rPr>
              <w:t>制砖厂家等进行资源化利用</w:t>
            </w:r>
            <w:r>
              <w:rPr>
                <w:rFonts w:hint="eastAsia"/>
                <w:color w:val="auto"/>
                <w:szCs w:val="21"/>
              </w:rPr>
              <w:t>；项目开工前与有资质的处理单位签订协议，剩余的油基钻井泥浆由储存桶收集后暂存于#</w:t>
            </w:r>
            <w:r>
              <w:rPr>
                <w:color w:val="auto"/>
                <w:szCs w:val="21"/>
              </w:rPr>
              <w:t>2</w:t>
            </w:r>
            <w:r>
              <w:rPr>
                <w:rFonts w:hint="eastAsia"/>
                <w:color w:val="auto"/>
                <w:szCs w:val="21"/>
              </w:rPr>
              <w:t>为危废暂存间，油基钻屑由储存桶或储存袋收集后暂存于#</w:t>
            </w:r>
            <w:r>
              <w:rPr>
                <w:color w:val="auto"/>
                <w:szCs w:val="21"/>
              </w:rPr>
              <w:t>2</w:t>
            </w:r>
            <w:r>
              <w:rPr>
                <w:rFonts w:hint="eastAsia"/>
                <w:color w:val="auto"/>
                <w:szCs w:val="21"/>
              </w:rPr>
              <w:t>为危废暂存间，后交危废资质单位拉运处置。</w:t>
            </w:r>
            <w:r>
              <w:rPr>
                <w:rFonts w:hint="eastAsia"/>
                <w:color w:val="auto"/>
              </w:rPr>
              <w:t>该项目整个钻井过程采用“闭环”管理技术，所有废水、泥浆和岩屑均得到有效控制，钻井岩屑等废弃物根据工业固体废物管理要求进行处置。</w:t>
            </w:r>
          </w:p>
          <w:p w14:paraId="622ACF29">
            <w:pPr>
              <w:spacing w:line="360" w:lineRule="auto"/>
              <w:ind w:firstLine="480"/>
              <w:rPr>
                <w:bCs/>
                <w:strike/>
                <w:color w:val="auto"/>
                <w:szCs w:val="20"/>
              </w:rPr>
            </w:pPr>
            <w:r>
              <w:rPr>
                <w:rFonts w:hint="eastAsia"/>
                <w:bCs/>
                <w:color w:val="auto"/>
                <w:szCs w:val="20"/>
              </w:rPr>
              <w:t>现项目对井场道路及循环罐周边道路进行硬化、防渗和防污染处理，避免</w:t>
            </w:r>
            <w:r>
              <w:rPr>
                <w:rFonts w:hint="eastAsia"/>
                <w:color w:val="auto"/>
              </w:rPr>
              <w:t>钻井泥浆、</w:t>
            </w:r>
            <w:r>
              <w:rPr>
                <w:rFonts w:hint="eastAsia"/>
                <w:bCs/>
                <w:color w:val="auto"/>
                <w:szCs w:val="20"/>
              </w:rPr>
              <w:t>钻屑落地。项目新增油基钻井液的使用，为满足油基钻井液、油基钻屑落地防渗需求，在桂融页4-1HF井至4-6HF井方井区域以及#2危废间区域进行防渗防污染处理。</w:t>
            </w:r>
          </w:p>
          <w:p w14:paraId="1ECF38E0">
            <w:pPr>
              <w:spacing w:line="360" w:lineRule="auto"/>
              <w:ind w:firstLine="480" w:firstLineChars="200"/>
              <w:rPr>
                <w:color w:val="auto"/>
              </w:rPr>
            </w:pPr>
            <w:r>
              <w:rPr>
                <w:rFonts w:hint="eastAsia"/>
                <w:color w:val="auto"/>
              </w:rPr>
              <w:t>因此，采取以上措施后可最大限度的减少钻井泥浆、钻井废泥浆和岩屑渗漏对当地地下水环境的影响。</w:t>
            </w:r>
          </w:p>
          <w:p w14:paraId="0EC59DC1">
            <w:pPr>
              <w:spacing w:line="360" w:lineRule="auto"/>
              <w:ind w:firstLine="480" w:firstLineChars="200"/>
              <w:rPr>
                <w:color w:val="auto"/>
              </w:rPr>
            </w:pPr>
            <w:r>
              <w:rPr>
                <w:rFonts w:hint="eastAsia"/>
                <w:color w:val="auto"/>
              </w:rPr>
              <w:t>（4）钻井过程中对地下水环境的影响</w:t>
            </w:r>
          </w:p>
          <w:p w14:paraId="4E41A751">
            <w:pPr>
              <w:spacing w:line="360" w:lineRule="auto"/>
              <w:ind w:firstLine="480" w:firstLineChars="200"/>
              <w:rPr>
                <w:color w:val="auto"/>
              </w:rPr>
            </w:pPr>
            <w:r>
              <w:rPr>
                <w:rFonts w:hint="eastAsia"/>
                <w:color w:val="auto"/>
              </w:rPr>
              <w:t>根据钻井工程设计，各钻进段均采取加装井简套管措施，以封隔井下地下水为原则确定下管深度（本项目采用全井段套管保护，如果井底附近发现有含水层，则加深进行封隔），导管用水泥封固，固井时水泥套管上返至地表井口，地下水渗入井筒的途径被水泥封隔阻断，钻井导致地下水漏失可能性较小。</w:t>
            </w:r>
          </w:p>
          <w:p w14:paraId="47BC9CBA">
            <w:pPr>
              <w:spacing w:line="360" w:lineRule="auto"/>
              <w:ind w:firstLine="480" w:firstLineChars="200"/>
              <w:rPr>
                <w:color w:val="auto"/>
              </w:rPr>
            </w:pPr>
            <w:r>
              <w:rPr>
                <w:rFonts w:hint="eastAsia"/>
                <w:color w:val="auto"/>
              </w:rPr>
              <w:t>在项目施工过程中采取以上措施，加强管理，杜绝非正常工况的发生，落实废水泄漏风险防范措施，发生风险事故后，通过及时处理，工程建设对地下水环境影响可接受。</w:t>
            </w:r>
          </w:p>
          <w:p w14:paraId="29D55E4B">
            <w:pPr>
              <w:spacing w:line="360" w:lineRule="auto"/>
              <w:rPr>
                <w:b/>
                <w:bCs/>
                <w:color w:val="auto"/>
              </w:rPr>
            </w:pPr>
            <w:r>
              <w:rPr>
                <w:rFonts w:hint="eastAsia"/>
                <w:b/>
                <w:bCs/>
                <w:color w:val="auto"/>
              </w:rPr>
              <w:t>3.6土壤环境影响分析</w:t>
            </w:r>
          </w:p>
          <w:p w14:paraId="798F2B19">
            <w:pPr>
              <w:spacing w:line="360" w:lineRule="auto"/>
              <w:ind w:firstLine="480" w:firstLineChars="200"/>
              <w:rPr>
                <w:color w:val="auto"/>
              </w:rPr>
            </w:pPr>
            <w:r>
              <w:rPr>
                <w:rFonts w:hint="eastAsia"/>
                <w:color w:val="auto"/>
              </w:rPr>
              <w:t>根据《环境影响评价技术导则 土壤环境（试行）》（HJ 964-2018），本项目为专业技术服务业，属于Ⅳ类项目，可不开展土壤环境影响评价。考虑到本项目钻井过程中钻井液用到化学药剂可能对土壤环境造成影响，此次进行定性评价。</w:t>
            </w:r>
          </w:p>
          <w:p w14:paraId="047565B5">
            <w:pPr>
              <w:spacing w:line="360" w:lineRule="auto"/>
              <w:ind w:firstLine="480" w:firstLineChars="200"/>
              <w:rPr>
                <w:color w:val="auto"/>
              </w:rPr>
            </w:pPr>
            <w:r>
              <w:rPr>
                <w:rFonts w:hint="eastAsia"/>
                <w:color w:val="auto"/>
              </w:rPr>
              <w:t>钻井工程中主要通过垂直入渗对土壤环境产生影响，拟建项目仅施工期有少量废气产生，且施工时间短，大气污染物中不含重金属，因此本次评价不考虑大气沉降对土壤的影响。主要考虑事故入渗及事故废水通过地面漫流对土壤产生不利影响。</w:t>
            </w:r>
          </w:p>
          <w:p w14:paraId="26CB7B8A">
            <w:pPr>
              <w:spacing w:line="360" w:lineRule="auto"/>
              <w:ind w:firstLine="480" w:firstLineChars="200"/>
              <w:rPr>
                <w:color w:val="auto"/>
              </w:rPr>
            </w:pPr>
            <w:r>
              <w:rPr>
                <w:rFonts w:hint="eastAsia"/>
                <w:color w:val="auto"/>
              </w:rPr>
              <w:t>（1）入渗影响分析</w:t>
            </w:r>
          </w:p>
          <w:p w14:paraId="674F2C1B">
            <w:pPr>
              <w:spacing w:line="360" w:lineRule="auto"/>
              <w:ind w:firstLine="480" w:firstLineChars="200"/>
              <w:rPr>
                <w:color w:val="auto"/>
              </w:rPr>
            </w:pPr>
            <w:r>
              <w:rPr>
                <w:rFonts w:hint="eastAsia"/>
                <w:color w:val="auto"/>
              </w:rPr>
              <w:t>本项目属于钻井期短期影响，本项目最终废水、固体废物均外运处置，不长期储存，钻井污染物渗透进入土壤环境的量很小，通过采取的源头控制和分区防渗措施，进一步有效减少污染物的渗透。废水、固体废物渗透进入井场及周边土壤的量很少，渗入点分散、量小。不会对土壤环境产生明显不利影响。预计不会造成评价范围及周边土壤环境质量超标。</w:t>
            </w:r>
          </w:p>
          <w:p w14:paraId="635BF2E1">
            <w:pPr>
              <w:spacing w:line="360" w:lineRule="auto"/>
              <w:ind w:firstLine="480" w:firstLineChars="200"/>
              <w:rPr>
                <w:color w:val="auto"/>
              </w:rPr>
            </w:pPr>
            <w:r>
              <w:rPr>
                <w:rFonts w:hint="eastAsia"/>
                <w:color w:val="auto"/>
              </w:rPr>
              <w:t>（2）地面漫流影响分析</w:t>
            </w:r>
          </w:p>
          <w:p w14:paraId="5981913B">
            <w:pPr>
              <w:spacing w:line="360" w:lineRule="auto"/>
              <w:ind w:firstLine="480" w:firstLineChars="200"/>
              <w:rPr>
                <w:color w:val="auto"/>
              </w:rPr>
            </w:pPr>
            <w:r>
              <w:rPr>
                <w:rFonts w:hint="eastAsia"/>
                <w:color w:val="auto"/>
              </w:rPr>
              <w:t>井场外排水沟与外部排水沟连通，场外雨水流入沟内后外排。</w:t>
            </w:r>
          </w:p>
          <w:p w14:paraId="5AAD6910">
            <w:pPr>
              <w:spacing w:line="360" w:lineRule="auto"/>
              <w:ind w:firstLine="480" w:firstLineChars="200"/>
              <w:rPr>
                <w:color w:val="auto"/>
              </w:rPr>
            </w:pPr>
            <w:r>
              <w:rPr>
                <w:rFonts w:hint="eastAsia"/>
                <w:color w:val="auto"/>
              </w:rPr>
              <w:t>井场四周边界设场内清水沟，设立1个集液池，初期雨水场内清水通过清水沟汇入集液池，隔油、沉淀后回用，后期雨水处理后排入场外自然水系。</w:t>
            </w:r>
          </w:p>
          <w:p w14:paraId="49A4627A">
            <w:pPr>
              <w:spacing w:line="360" w:lineRule="auto"/>
              <w:ind w:firstLine="480" w:firstLineChars="200"/>
              <w:rPr>
                <w:color w:val="auto"/>
              </w:rPr>
            </w:pPr>
            <w:r>
              <w:rPr>
                <w:rFonts w:hint="eastAsia"/>
                <w:color w:val="auto"/>
              </w:rPr>
              <w:t>在场内设备安装就位后，在基础外设置挡水墙，在井架基础、发电房、循环系统、泥浆储备罐区、不落地系统装置区等基础外边缘以内范围线设挡污墙，与井场清洁区分隔，防止污染区污水溢流。拟在循环罐区、主要设备区、材料房、岩屑堆放场等区域设置雨棚，雨棚边缘应超出下方围堰不小于0.5m，通过雨棚的导流槽将雨水导入场外自然水系；通过集水池汇集污染区雨水后，及时泵入废水循环系统，不外排。</w:t>
            </w:r>
          </w:p>
          <w:p w14:paraId="4262D017">
            <w:pPr>
              <w:spacing w:line="360" w:lineRule="auto"/>
              <w:ind w:firstLine="480" w:firstLineChars="200"/>
              <w:rPr>
                <w:color w:val="auto"/>
              </w:rPr>
            </w:pPr>
            <w:r>
              <w:rPr>
                <w:rFonts w:hint="eastAsia"/>
                <w:color w:val="auto"/>
              </w:rPr>
              <w:t>污水池，排水沟均采取防渗措施，避免事故废水和可能受污染的雨水发生地面漫流进入土壤。在全面落实相应措施的情况下，物料或污染物的地面漫流对土壤影响较小。</w:t>
            </w:r>
          </w:p>
          <w:p w14:paraId="63D5E02A">
            <w:pPr>
              <w:spacing w:line="360" w:lineRule="auto"/>
              <w:rPr>
                <w:b/>
                <w:bCs/>
                <w:color w:val="auto"/>
              </w:rPr>
            </w:pPr>
            <w:r>
              <w:rPr>
                <w:rFonts w:hint="eastAsia"/>
                <w:b/>
                <w:bCs/>
                <w:color w:val="auto"/>
              </w:rPr>
              <w:t>4、环境风险影响分析</w:t>
            </w:r>
          </w:p>
          <w:p w14:paraId="1F0594FC">
            <w:pPr>
              <w:spacing w:line="360" w:lineRule="auto"/>
              <w:ind w:firstLine="480" w:firstLineChars="200"/>
              <w:rPr>
                <w:color w:val="auto"/>
              </w:rPr>
            </w:pPr>
            <w:r>
              <w:rPr>
                <w:color w:val="auto"/>
              </w:rPr>
              <w:t>按照《建设项目环境风险评价技术导则》（HJ/T169-2018）的要求，环境风险评价应以突发性事故导致的危险物质环境急性损害防控为目标，对建设项目的环境风险进行分析、预测和评估，提出环境风险预防、控制、减缓措施，明确环境风险监控及应急要求，为建设项目环境风险防控提供科学依据。</w:t>
            </w:r>
          </w:p>
          <w:p w14:paraId="34314656">
            <w:pPr>
              <w:spacing w:line="360" w:lineRule="auto"/>
              <w:rPr>
                <w:b/>
                <w:bCs/>
                <w:color w:val="auto"/>
              </w:rPr>
            </w:pPr>
            <w:r>
              <w:rPr>
                <w:rFonts w:hint="eastAsia"/>
                <w:b/>
                <w:bCs/>
                <w:color w:val="auto"/>
              </w:rPr>
              <w:t>4.1风险调查</w:t>
            </w:r>
          </w:p>
          <w:p w14:paraId="61643352">
            <w:pPr>
              <w:spacing w:line="360" w:lineRule="auto"/>
              <w:ind w:firstLine="480" w:firstLineChars="200"/>
              <w:rPr>
                <w:color w:val="auto"/>
              </w:rPr>
            </w:pPr>
            <w:r>
              <w:rPr>
                <w:color w:val="auto"/>
              </w:rPr>
              <w:t>按《建设项目环境风险评价技术导则》（HJ169-2018）对本工程涉及的物质进行危险性识别，筛选环境风险评价因子，项目营运过程涉及的危险物质主要为</w:t>
            </w:r>
            <w:r>
              <w:rPr>
                <w:rFonts w:hint="eastAsia"/>
                <w:color w:val="auto"/>
              </w:rPr>
              <w:t>柴油、</w:t>
            </w:r>
            <w:r>
              <w:rPr>
                <w:color w:val="auto"/>
              </w:rPr>
              <w:t>废机油。</w:t>
            </w:r>
          </w:p>
          <w:p w14:paraId="5C11C813">
            <w:pPr>
              <w:spacing w:line="360" w:lineRule="auto"/>
              <w:rPr>
                <w:b/>
                <w:bCs/>
                <w:color w:val="auto"/>
              </w:rPr>
            </w:pPr>
            <w:r>
              <w:rPr>
                <w:rFonts w:hint="eastAsia"/>
                <w:b/>
                <w:bCs/>
                <w:color w:val="auto"/>
              </w:rPr>
              <w:t>4.2风险潜势初判</w:t>
            </w:r>
          </w:p>
          <w:p w14:paraId="31356156">
            <w:pPr>
              <w:spacing w:line="360" w:lineRule="auto"/>
              <w:ind w:firstLine="480" w:firstLineChars="200"/>
              <w:rPr>
                <w:color w:val="auto"/>
              </w:rPr>
            </w:pPr>
            <w:r>
              <w:rPr>
                <w:color w:val="auto"/>
              </w:rPr>
              <w:t>根据《建设项目环境风险评价技术导则》(HJ169-2018)附录C，当只涉及一种危险物质时，计算该物质的总量与其临界量比值，即为Q。当存在多种危险物质时，则按下式计算物质总量与其临界量的比值(Q)：</w:t>
            </w:r>
          </w:p>
          <w:p w14:paraId="67E3F150">
            <w:pPr>
              <w:spacing w:line="360" w:lineRule="auto"/>
              <w:jc w:val="center"/>
              <w:rPr>
                <w:color w:val="auto"/>
              </w:rPr>
            </w:pPr>
            <w:r>
              <w:rPr>
                <w:color w:val="auto"/>
              </w:rPr>
              <w:object>
                <v:shape id="_x0000_i1026" o:spt="75" type="#_x0000_t75" style="height:33.8pt;width:98.3pt;" o:ole="t" filled="f" o:preferrelative="t" stroked="f" coordsize="21600,21600">
                  <v:path/>
                  <v:fill on="f" focussize="0,0"/>
                  <v:stroke on="f" joinstyle="miter"/>
                  <v:imagedata r:id="rId22" o:title=""/>
                  <o:lock v:ext="edit" aspectratio="t"/>
                  <w10:wrap type="none"/>
                  <w10:anchorlock/>
                </v:shape>
                <o:OLEObject Type="Embed" ProgID="Equation.3" ShapeID="_x0000_i1026" DrawAspect="Content" ObjectID="_1468075726" r:id="rId21">
                  <o:LockedField>false</o:LockedField>
                </o:OLEObject>
              </w:object>
            </w:r>
          </w:p>
          <w:p w14:paraId="2EAD786F">
            <w:pPr>
              <w:spacing w:line="360" w:lineRule="auto"/>
              <w:ind w:firstLine="480" w:firstLineChars="200"/>
              <w:rPr>
                <w:color w:val="auto"/>
              </w:rPr>
            </w:pPr>
            <w:r>
              <w:rPr>
                <w:color w:val="auto"/>
              </w:rPr>
              <w:t>式中q</w:t>
            </w:r>
            <w:r>
              <w:rPr>
                <w:color w:val="auto"/>
                <w:vertAlign w:val="subscript"/>
              </w:rPr>
              <w:t>1</w:t>
            </w:r>
            <w:r>
              <w:rPr>
                <w:color w:val="auto"/>
              </w:rPr>
              <w:t>、q</w:t>
            </w:r>
            <w:r>
              <w:rPr>
                <w:color w:val="auto"/>
                <w:vertAlign w:val="subscript"/>
              </w:rPr>
              <w:t>2</w:t>
            </w:r>
            <w:r>
              <w:rPr>
                <w:color w:val="auto"/>
              </w:rPr>
              <w:t>、 ··· 、q</w:t>
            </w:r>
            <w:r>
              <w:rPr>
                <w:color w:val="auto"/>
                <w:vertAlign w:val="subscript"/>
              </w:rPr>
              <w:t>n</w:t>
            </w:r>
            <w:r>
              <w:rPr>
                <w:color w:val="auto"/>
              </w:rPr>
              <w:t>为每种危险物质实际存在量，单位t；Q</w:t>
            </w:r>
            <w:r>
              <w:rPr>
                <w:color w:val="auto"/>
                <w:vertAlign w:val="subscript"/>
              </w:rPr>
              <w:t>1</w:t>
            </w:r>
            <w:r>
              <w:rPr>
                <w:color w:val="auto"/>
              </w:rPr>
              <w:t>、Q</w:t>
            </w:r>
            <w:r>
              <w:rPr>
                <w:color w:val="auto"/>
                <w:vertAlign w:val="subscript"/>
              </w:rPr>
              <w:t>2</w:t>
            </w:r>
            <w:r>
              <w:rPr>
                <w:color w:val="auto"/>
              </w:rPr>
              <w:t>、···、Q</w:t>
            </w:r>
            <w:r>
              <w:rPr>
                <w:color w:val="auto"/>
                <w:vertAlign w:val="subscript"/>
              </w:rPr>
              <w:t>n</w:t>
            </w:r>
            <w:r>
              <w:rPr>
                <w:color w:val="auto"/>
              </w:rPr>
              <w:t>为与各危险物质相对应单元的临界量，单位t。</w:t>
            </w:r>
          </w:p>
          <w:p w14:paraId="4FF20327">
            <w:pPr>
              <w:spacing w:line="360" w:lineRule="auto"/>
              <w:ind w:firstLine="480" w:firstLineChars="200"/>
              <w:rPr>
                <w:color w:val="auto"/>
              </w:rPr>
            </w:pPr>
            <w:r>
              <w:rPr>
                <w:color w:val="auto"/>
              </w:rPr>
              <w:t>当Q＜1时，该项目环境风险潜势为Ⅰ。</w:t>
            </w:r>
          </w:p>
          <w:p w14:paraId="126FDE4A">
            <w:pPr>
              <w:spacing w:line="360" w:lineRule="auto"/>
              <w:ind w:firstLine="480" w:firstLineChars="200"/>
              <w:rPr>
                <w:color w:val="auto"/>
              </w:rPr>
            </w:pPr>
            <w:r>
              <w:rPr>
                <w:color w:val="auto"/>
              </w:rPr>
              <w:t>当Q≥1时，将Q值划分为：1≤Q＜10；10≤Q＜100；Q≥100。</w:t>
            </w:r>
          </w:p>
          <w:p w14:paraId="68AF7EAB">
            <w:pPr>
              <w:spacing w:line="360" w:lineRule="auto"/>
              <w:ind w:firstLine="480" w:firstLineChars="200"/>
              <w:rPr>
                <w:color w:val="auto"/>
              </w:rPr>
            </w:pPr>
            <w:r>
              <w:rPr>
                <w:color w:val="auto"/>
              </w:rPr>
              <w:t>根据《建设项目环境风险评价技术导则》(HJ169‐2018)附录B.1以及《危险化学品重大危险源辨识》（GB18218-2018）对主要化学品进行重大危险源辨识。</w:t>
            </w:r>
          </w:p>
          <w:p w14:paraId="2F9B5265">
            <w:pPr>
              <w:spacing w:line="360" w:lineRule="auto"/>
              <w:jc w:val="center"/>
              <w:rPr>
                <w:b/>
                <w:color w:val="auto"/>
              </w:rPr>
            </w:pPr>
            <w:r>
              <w:rPr>
                <w:b/>
                <w:color w:val="auto"/>
              </w:rPr>
              <w:t>表</w:t>
            </w:r>
            <w:r>
              <w:rPr>
                <w:rFonts w:hint="eastAsia"/>
                <w:b/>
                <w:color w:val="auto"/>
              </w:rPr>
              <w:t>4-</w:t>
            </w:r>
            <w:r>
              <w:rPr>
                <w:b/>
                <w:color w:val="auto"/>
              </w:rPr>
              <w:t>1</w:t>
            </w:r>
            <w:r>
              <w:rPr>
                <w:rFonts w:hint="eastAsia"/>
                <w:b/>
                <w:color w:val="auto"/>
              </w:rPr>
              <w:t xml:space="preserve">4 </w:t>
            </w:r>
            <w:r>
              <w:rPr>
                <w:b/>
                <w:color w:val="auto"/>
              </w:rPr>
              <w:t>重大危险源分析计算结果</w:t>
            </w:r>
          </w:p>
          <w:tbl>
            <w:tblPr>
              <w:tblStyle w:val="19"/>
              <w:tblW w:w="4997"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98"/>
              <w:gridCol w:w="1189"/>
              <w:gridCol w:w="1274"/>
              <w:gridCol w:w="1274"/>
              <w:gridCol w:w="2091"/>
              <w:gridCol w:w="2074"/>
            </w:tblGrid>
            <w:tr w14:paraId="0FA72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352" w:type="pct"/>
                  <w:vAlign w:val="center"/>
                </w:tcPr>
                <w:p w14:paraId="74B4B239">
                  <w:pPr>
                    <w:jc w:val="center"/>
                    <w:rPr>
                      <w:color w:val="auto"/>
                      <w:sz w:val="21"/>
                      <w:szCs w:val="21"/>
                    </w:rPr>
                  </w:pPr>
                  <w:r>
                    <w:rPr>
                      <w:color w:val="auto"/>
                      <w:sz w:val="21"/>
                      <w:szCs w:val="21"/>
                    </w:rPr>
                    <w:t>序号</w:t>
                  </w:r>
                </w:p>
              </w:tc>
              <w:tc>
                <w:tcPr>
                  <w:tcW w:w="699" w:type="pct"/>
                  <w:vAlign w:val="center"/>
                </w:tcPr>
                <w:p w14:paraId="53262420">
                  <w:pPr>
                    <w:jc w:val="center"/>
                    <w:rPr>
                      <w:color w:val="auto"/>
                      <w:sz w:val="21"/>
                      <w:szCs w:val="21"/>
                    </w:rPr>
                  </w:pPr>
                  <w:r>
                    <w:rPr>
                      <w:color w:val="auto"/>
                      <w:sz w:val="21"/>
                      <w:szCs w:val="21"/>
                    </w:rPr>
                    <w:t>类别</w:t>
                  </w:r>
                </w:p>
              </w:tc>
              <w:tc>
                <w:tcPr>
                  <w:tcW w:w="749" w:type="pct"/>
                  <w:vAlign w:val="center"/>
                </w:tcPr>
                <w:p w14:paraId="7944BD5B">
                  <w:pPr>
                    <w:jc w:val="center"/>
                    <w:rPr>
                      <w:color w:val="auto"/>
                      <w:sz w:val="21"/>
                      <w:szCs w:val="21"/>
                    </w:rPr>
                  </w:pPr>
                  <w:r>
                    <w:rPr>
                      <w:rFonts w:hint="eastAsia"/>
                      <w:color w:val="auto"/>
                      <w:sz w:val="21"/>
                      <w:szCs w:val="21"/>
                    </w:rPr>
                    <w:t>危险成分</w:t>
                  </w:r>
                </w:p>
              </w:tc>
              <w:tc>
                <w:tcPr>
                  <w:tcW w:w="749" w:type="pct"/>
                  <w:vAlign w:val="center"/>
                </w:tcPr>
                <w:p w14:paraId="5D21552D">
                  <w:pPr>
                    <w:jc w:val="center"/>
                    <w:rPr>
                      <w:color w:val="auto"/>
                      <w:sz w:val="21"/>
                      <w:szCs w:val="21"/>
                    </w:rPr>
                  </w:pPr>
                  <w:r>
                    <w:rPr>
                      <w:color w:val="auto"/>
                      <w:sz w:val="21"/>
                      <w:szCs w:val="21"/>
                    </w:rPr>
                    <w:t>临界量（t）</w:t>
                  </w:r>
                </w:p>
              </w:tc>
              <w:tc>
                <w:tcPr>
                  <w:tcW w:w="1229" w:type="pct"/>
                  <w:vAlign w:val="center"/>
                </w:tcPr>
                <w:p w14:paraId="62CD88C5">
                  <w:pPr>
                    <w:jc w:val="center"/>
                    <w:rPr>
                      <w:color w:val="auto"/>
                      <w:sz w:val="21"/>
                      <w:szCs w:val="21"/>
                    </w:rPr>
                  </w:pPr>
                  <w:r>
                    <w:rPr>
                      <w:color w:val="auto"/>
                      <w:sz w:val="21"/>
                      <w:szCs w:val="21"/>
                    </w:rPr>
                    <w:t>实际最大贮存量（t）</w:t>
                  </w:r>
                </w:p>
              </w:tc>
              <w:tc>
                <w:tcPr>
                  <w:tcW w:w="1220" w:type="pct"/>
                  <w:vAlign w:val="center"/>
                </w:tcPr>
                <w:p w14:paraId="0204DD37">
                  <w:pPr>
                    <w:jc w:val="center"/>
                    <w:rPr>
                      <w:color w:val="auto"/>
                      <w:sz w:val="21"/>
                      <w:szCs w:val="21"/>
                    </w:rPr>
                  </w:pPr>
                  <w:r>
                    <w:rPr>
                      <w:color w:val="auto"/>
                      <w:sz w:val="21"/>
                      <w:szCs w:val="21"/>
                    </w:rPr>
                    <w:t>Q值</w:t>
                  </w:r>
                </w:p>
              </w:tc>
            </w:tr>
            <w:tr w14:paraId="2AAF60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352" w:type="pct"/>
                  <w:vAlign w:val="center"/>
                </w:tcPr>
                <w:p w14:paraId="1B6F43B8">
                  <w:pPr>
                    <w:jc w:val="center"/>
                    <w:rPr>
                      <w:color w:val="auto"/>
                      <w:sz w:val="21"/>
                      <w:szCs w:val="21"/>
                    </w:rPr>
                  </w:pPr>
                  <w:r>
                    <w:rPr>
                      <w:color w:val="auto"/>
                      <w:sz w:val="21"/>
                      <w:szCs w:val="21"/>
                    </w:rPr>
                    <w:t>1</w:t>
                  </w:r>
                </w:p>
              </w:tc>
              <w:tc>
                <w:tcPr>
                  <w:tcW w:w="699" w:type="pct"/>
                  <w:vAlign w:val="center"/>
                </w:tcPr>
                <w:p w14:paraId="1685A2A4">
                  <w:pPr>
                    <w:jc w:val="center"/>
                    <w:rPr>
                      <w:color w:val="auto"/>
                      <w:sz w:val="21"/>
                      <w:szCs w:val="21"/>
                    </w:rPr>
                  </w:pPr>
                  <w:r>
                    <w:rPr>
                      <w:color w:val="auto"/>
                      <w:sz w:val="21"/>
                      <w:szCs w:val="21"/>
                    </w:rPr>
                    <w:t>废机油</w:t>
                  </w:r>
                </w:p>
              </w:tc>
              <w:tc>
                <w:tcPr>
                  <w:tcW w:w="749" w:type="pct"/>
                  <w:vAlign w:val="center"/>
                </w:tcPr>
                <w:p w14:paraId="1FBD3B48">
                  <w:pPr>
                    <w:jc w:val="center"/>
                    <w:rPr>
                      <w:color w:val="auto"/>
                      <w:sz w:val="21"/>
                      <w:szCs w:val="21"/>
                    </w:rPr>
                  </w:pPr>
                  <w:r>
                    <w:rPr>
                      <w:rFonts w:hint="eastAsia"/>
                      <w:color w:val="auto"/>
                      <w:sz w:val="21"/>
                      <w:szCs w:val="21"/>
                    </w:rPr>
                    <w:t>油类物质</w:t>
                  </w:r>
                </w:p>
              </w:tc>
              <w:tc>
                <w:tcPr>
                  <w:tcW w:w="749" w:type="pct"/>
                  <w:vAlign w:val="center"/>
                </w:tcPr>
                <w:p w14:paraId="3997FA7F">
                  <w:pPr>
                    <w:jc w:val="center"/>
                    <w:rPr>
                      <w:color w:val="auto"/>
                      <w:sz w:val="21"/>
                      <w:szCs w:val="21"/>
                    </w:rPr>
                  </w:pPr>
                  <w:r>
                    <w:rPr>
                      <w:rFonts w:hint="eastAsia"/>
                      <w:color w:val="auto"/>
                      <w:sz w:val="21"/>
                      <w:szCs w:val="21"/>
                    </w:rPr>
                    <w:t>2</w:t>
                  </w:r>
                  <w:r>
                    <w:rPr>
                      <w:color w:val="auto"/>
                      <w:sz w:val="21"/>
                      <w:szCs w:val="21"/>
                    </w:rPr>
                    <w:t>500</w:t>
                  </w:r>
                </w:p>
              </w:tc>
              <w:tc>
                <w:tcPr>
                  <w:tcW w:w="1229" w:type="pct"/>
                  <w:vAlign w:val="center"/>
                </w:tcPr>
                <w:p w14:paraId="16719C9A">
                  <w:pPr>
                    <w:jc w:val="center"/>
                    <w:rPr>
                      <w:color w:val="auto"/>
                      <w:sz w:val="21"/>
                      <w:szCs w:val="21"/>
                    </w:rPr>
                  </w:pPr>
                  <w:r>
                    <w:rPr>
                      <w:rFonts w:hint="eastAsia"/>
                      <w:color w:val="auto"/>
                      <w:sz w:val="21"/>
                      <w:szCs w:val="21"/>
                    </w:rPr>
                    <w:t>3</w:t>
                  </w:r>
                </w:p>
              </w:tc>
              <w:tc>
                <w:tcPr>
                  <w:tcW w:w="2109" w:type="dxa"/>
                  <w:vAlign w:val="center"/>
                </w:tcPr>
                <w:p w14:paraId="1F9177D8">
                  <w:pPr>
                    <w:jc w:val="center"/>
                    <w:rPr>
                      <w:color w:val="auto"/>
                      <w:sz w:val="21"/>
                      <w:szCs w:val="21"/>
                    </w:rPr>
                  </w:pPr>
                  <w:r>
                    <w:rPr>
                      <w:rFonts w:hint="eastAsia"/>
                      <w:color w:val="auto"/>
                      <w:sz w:val="21"/>
                      <w:szCs w:val="21"/>
                    </w:rPr>
                    <w:t>0.0012</w:t>
                  </w:r>
                </w:p>
              </w:tc>
            </w:tr>
            <w:tr w14:paraId="53DC71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352" w:type="pct"/>
                  <w:vAlign w:val="center"/>
                </w:tcPr>
                <w:p w14:paraId="250D5039">
                  <w:pPr>
                    <w:jc w:val="center"/>
                    <w:rPr>
                      <w:color w:val="auto"/>
                      <w:sz w:val="21"/>
                      <w:szCs w:val="21"/>
                    </w:rPr>
                  </w:pPr>
                  <w:r>
                    <w:rPr>
                      <w:rFonts w:hint="eastAsia"/>
                      <w:color w:val="auto"/>
                      <w:sz w:val="21"/>
                      <w:szCs w:val="21"/>
                    </w:rPr>
                    <w:t>2</w:t>
                  </w:r>
                </w:p>
              </w:tc>
              <w:tc>
                <w:tcPr>
                  <w:tcW w:w="699" w:type="pct"/>
                  <w:vAlign w:val="center"/>
                </w:tcPr>
                <w:p w14:paraId="0ACB58AD">
                  <w:pPr>
                    <w:jc w:val="center"/>
                    <w:rPr>
                      <w:color w:val="auto"/>
                      <w:sz w:val="21"/>
                      <w:szCs w:val="21"/>
                    </w:rPr>
                  </w:pPr>
                  <w:r>
                    <w:rPr>
                      <w:rFonts w:hint="eastAsia"/>
                      <w:color w:val="auto"/>
                      <w:sz w:val="21"/>
                      <w:szCs w:val="21"/>
                    </w:rPr>
                    <w:t>柴油</w:t>
                  </w:r>
                </w:p>
              </w:tc>
              <w:tc>
                <w:tcPr>
                  <w:tcW w:w="749" w:type="pct"/>
                  <w:vAlign w:val="center"/>
                </w:tcPr>
                <w:p w14:paraId="3615A0A4">
                  <w:pPr>
                    <w:jc w:val="center"/>
                    <w:rPr>
                      <w:color w:val="auto"/>
                      <w:sz w:val="21"/>
                      <w:szCs w:val="21"/>
                    </w:rPr>
                  </w:pPr>
                  <w:r>
                    <w:rPr>
                      <w:rFonts w:hint="eastAsia"/>
                      <w:color w:val="auto"/>
                      <w:sz w:val="21"/>
                      <w:szCs w:val="21"/>
                    </w:rPr>
                    <w:t>油类物质</w:t>
                  </w:r>
                </w:p>
              </w:tc>
              <w:tc>
                <w:tcPr>
                  <w:tcW w:w="749" w:type="pct"/>
                  <w:vAlign w:val="center"/>
                </w:tcPr>
                <w:p w14:paraId="76C08B77">
                  <w:pPr>
                    <w:jc w:val="center"/>
                    <w:rPr>
                      <w:color w:val="auto"/>
                      <w:sz w:val="21"/>
                      <w:szCs w:val="21"/>
                    </w:rPr>
                  </w:pPr>
                  <w:r>
                    <w:rPr>
                      <w:rFonts w:hint="eastAsia"/>
                      <w:color w:val="auto"/>
                      <w:sz w:val="21"/>
                      <w:szCs w:val="21"/>
                    </w:rPr>
                    <w:t>2500</w:t>
                  </w:r>
                </w:p>
              </w:tc>
              <w:tc>
                <w:tcPr>
                  <w:tcW w:w="1229" w:type="pct"/>
                  <w:vAlign w:val="center"/>
                </w:tcPr>
                <w:p w14:paraId="53B356E8">
                  <w:pPr>
                    <w:jc w:val="center"/>
                    <w:rPr>
                      <w:color w:val="auto"/>
                      <w:sz w:val="21"/>
                      <w:szCs w:val="21"/>
                    </w:rPr>
                  </w:pPr>
                  <w:r>
                    <w:rPr>
                      <w:rFonts w:hint="eastAsia"/>
                      <w:color w:val="auto"/>
                      <w:sz w:val="21"/>
                      <w:szCs w:val="21"/>
                    </w:rPr>
                    <w:t>250</w:t>
                  </w:r>
                </w:p>
              </w:tc>
              <w:tc>
                <w:tcPr>
                  <w:tcW w:w="2109" w:type="dxa"/>
                  <w:vAlign w:val="center"/>
                </w:tcPr>
                <w:p w14:paraId="2219D3BB">
                  <w:pPr>
                    <w:jc w:val="center"/>
                    <w:rPr>
                      <w:color w:val="auto"/>
                      <w:sz w:val="21"/>
                      <w:szCs w:val="21"/>
                    </w:rPr>
                  </w:pPr>
                  <w:r>
                    <w:rPr>
                      <w:rFonts w:hint="eastAsia"/>
                      <w:color w:val="auto"/>
                      <w:sz w:val="21"/>
                      <w:szCs w:val="21"/>
                    </w:rPr>
                    <w:t>0.1</w:t>
                  </w:r>
                </w:p>
              </w:tc>
            </w:tr>
            <w:tr w14:paraId="74034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3779" w:type="pct"/>
                  <w:gridSpan w:val="5"/>
                  <w:vAlign w:val="center"/>
                </w:tcPr>
                <w:p w14:paraId="4AF7F076">
                  <w:pPr>
                    <w:jc w:val="center"/>
                    <w:rPr>
                      <w:color w:val="auto"/>
                      <w:sz w:val="21"/>
                      <w:szCs w:val="21"/>
                    </w:rPr>
                  </w:pPr>
                  <w:r>
                    <w:rPr>
                      <w:color w:val="auto"/>
                      <w:sz w:val="21"/>
                      <w:szCs w:val="21"/>
                    </w:rPr>
                    <w:t>合计</w:t>
                  </w:r>
                </w:p>
              </w:tc>
              <w:tc>
                <w:tcPr>
                  <w:tcW w:w="2109" w:type="dxa"/>
                  <w:vAlign w:val="center"/>
                </w:tcPr>
                <w:p w14:paraId="24D0A97F">
                  <w:pPr>
                    <w:jc w:val="center"/>
                    <w:rPr>
                      <w:color w:val="auto"/>
                      <w:sz w:val="21"/>
                      <w:szCs w:val="21"/>
                    </w:rPr>
                  </w:pPr>
                  <w:r>
                    <w:rPr>
                      <w:rFonts w:hint="eastAsia"/>
                      <w:color w:val="auto"/>
                      <w:sz w:val="21"/>
                      <w:szCs w:val="21"/>
                    </w:rPr>
                    <w:t>0.1012</w:t>
                  </w:r>
                </w:p>
              </w:tc>
            </w:tr>
          </w:tbl>
          <w:p w14:paraId="3C483C2F">
            <w:pPr>
              <w:spacing w:line="360" w:lineRule="auto"/>
              <w:ind w:firstLine="480" w:firstLineChars="200"/>
              <w:rPr>
                <w:color w:val="auto"/>
              </w:rPr>
            </w:pPr>
            <w:r>
              <w:rPr>
                <w:color w:val="auto"/>
              </w:rPr>
              <w:t>根据上表，项目Q值为</w:t>
            </w:r>
            <w:r>
              <w:rPr>
                <w:rFonts w:hint="eastAsia"/>
                <w:color w:val="auto"/>
              </w:rPr>
              <w:t>0.1012</w:t>
            </w:r>
            <w:r>
              <w:rPr>
                <w:color w:val="auto"/>
              </w:rPr>
              <w:t>，Q＜1；根据《建设项目环境风险评价技术导则》（HJ169-2018）：当Q＜1时，建设项目环境风险潜势直接判定为Ⅰ，仅进行简单分析即可。</w:t>
            </w:r>
          </w:p>
          <w:p w14:paraId="3A39A620">
            <w:pPr>
              <w:spacing w:line="360" w:lineRule="auto"/>
              <w:rPr>
                <w:b/>
                <w:bCs/>
                <w:color w:val="auto"/>
              </w:rPr>
            </w:pPr>
            <w:r>
              <w:rPr>
                <w:rFonts w:hint="eastAsia"/>
                <w:b/>
                <w:bCs/>
                <w:color w:val="auto"/>
              </w:rPr>
              <w:t>4.3风险识别</w:t>
            </w:r>
          </w:p>
          <w:p w14:paraId="50A6E54D">
            <w:pPr>
              <w:spacing w:line="360" w:lineRule="auto"/>
              <w:ind w:firstLine="480" w:firstLineChars="200"/>
              <w:rPr>
                <w:color w:val="auto"/>
              </w:rPr>
            </w:pPr>
            <w:r>
              <w:rPr>
                <w:color w:val="auto"/>
              </w:rPr>
              <w:t>根据本项目的工程特征，项目</w:t>
            </w:r>
            <w:r>
              <w:rPr>
                <w:rFonts w:hint="eastAsia"/>
                <w:color w:val="auto"/>
              </w:rPr>
              <w:t>运营期</w:t>
            </w:r>
            <w:r>
              <w:rPr>
                <w:color w:val="auto"/>
              </w:rPr>
              <w:t>主要环境风险为：①页岩气在钻探作业过程中发生泄漏后的影响后果严重，即井喷失控、着火爆炸是钻井工作中最重大的危险。当钻进气层后，遇到高压气流，因各种原因使井内压力不能平衡地层压力时而造成井喷和井喷失控事故。②</w:t>
            </w:r>
            <w:r>
              <w:rPr>
                <w:rFonts w:hint="eastAsia"/>
                <w:color w:val="auto"/>
              </w:rPr>
              <w:t>油类物质泄露，即</w:t>
            </w:r>
            <w:r>
              <w:rPr>
                <w:color w:val="auto"/>
              </w:rPr>
              <w:t>柴油罐</w:t>
            </w:r>
            <w:r>
              <w:rPr>
                <w:rFonts w:hint="eastAsia"/>
                <w:color w:val="auto"/>
              </w:rPr>
              <w:t>、废机油桶</w:t>
            </w:r>
            <w:r>
              <w:rPr>
                <w:color w:val="auto"/>
              </w:rPr>
              <w:t>意外破损</w:t>
            </w:r>
            <w:r>
              <w:rPr>
                <w:rFonts w:hint="eastAsia"/>
                <w:color w:val="auto"/>
              </w:rPr>
              <w:t>，泄露至土壤</w:t>
            </w:r>
            <w:r>
              <w:rPr>
                <w:color w:val="auto"/>
              </w:rPr>
              <w:t>将引起周边土壤污染。③套管破裂后，页岩气体可能窜层泄漏进入地表，遇火爆炸燃烧等。④地下水井涌对环境的影响</w:t>
            </w:r>
            <w:r>
              <w:rPr>
                <w:rFonts w:hint="eastAsia"/>
                <w:color w:val="auto"/>
              </w:rPr>
              <w:t>，</w:t>
            </w:r>
            <w:r>
              <w:rPr>
                <w:color w:val="auto"/>
              </w:rPr>
              <w:t>钻井过程中，钻遇含水地层时，易发生承压地下水涌出地表，从而发生地下水及钻井液污染地表水体的情况发生。⑤废水、钻井液等泄漏可能引起水体、土壤污染。</w:t>
            </w:r>
          </w:p>
          <w:p w14:paraId="2DB7A659">
            <w:pPr>
              <w:spacing w:line="360" w:lineRule="auto"/>
              <w:rPr>
                <w:b/>
                <w:bCs/>
                <w:color w:val="auto"/>
              </w:rPr>
            </w:pPr>
            <w:r>
              <w:rPr>
                <w:rFonts w:hint="eastAsia"/>
                <w:b/>
                <w:bCs/>
                <w:color w:val="auto"/>
              </w:rPr>
              <w:t>4.4环境风险分析</w:t>
            </w:r>
          </w:p>
          <w:p w14:paraId="797562F8">
            <w:pPr>
              <w:spacing w:line="360" w:lineRule="auto"/>
              <w:ind w:firstLine="480" w:firstLineChars="200"/>
              <w:rPr>
                <w:color w:val="auto"/>
              </w:rPr>
            </w:pPr>
            <w:r>
              <w:rPr>
                <w:rFonts w:hint="eastAsia"/>
                <w:color w:val="auto"/>
              </w:rPr>
              <w:t>（1）井喷失控环境风险分析</w:t>
            </w:r>
          </w:p>
          <w:p w14:paraId="2762BE9A">
            <w:pPr>
              <w:spacing w:line="360" w:lineRule="auto"/>
              <w:ind w:firstLine="480" w:firstLineChars="200"/>
              <w:rPr>
                <w:color w:val="auto"/>
              </w:rPr>
            </w:pPr>
            <w:r>
              <w:rPr>
                <w:rFonts w:hint="eastAsia"/>
                <w:color w:val="auto"/>
              </w:rPr>
              <w:t>钻井过程中遇到地下气、水层时，气或水窜进井内的泥浆里，加快了泥浆流动和循环的速度，如果井底压力小于地层压力，地层流体将进入井筒并推动泥浆外溢，即发生溢流。此时如果对地下气压平衡控制不当，不能及时控制溢流，会造成气、水或其混合物沿着环形空间迅速喷到地面，即发生井喷。突发井喷事故时地层中的页岩气直接冲出地面进入大气造成环境空气污染，若遇明火，可能造成爆炸，引起人员伤亡。</w:t>
            </w:r>
          </w:p>
          <w:p w14:paraId="1236F330">
            <w:pPr>
              <w:spacing w:line="360" w:lineRule="auto"/>
              <w:ind w:firstLine="480" w:firstLineChars="200"/>
              <w:rPr>
                <w:color w:val="auto"/>
              </w:rPr>
            </w:pPr>
            <w:r>
              <w:rPr>
                <w:rFonts w:hint="eastAsia"/>
                <w:color w:val="auto"/>
              </w:rPr>
              <w:t>（2）油类物质泄露事故影响分析</w:t>
            </w:r>
          </w:p>
          <w:p w14:paraId="611C38B9">
            <w:pPr>
              <w:spacing w:line="360" w:lineRule="auto"/>
              <w:ind w:firstLine="480" w:firstLineChars="200"/>
              <w:rPr>
                <w:color w:val="auto"/>
              </w:rPr>
            </w:pPr>
            <w:r>
              <w:rPr>
                <w:rFonts w:hint="eastAsia"/>
                <w:color w:val="auto"/>
              </w:rPr>
              <w:t>钻井需使用柴油，油罐布置在井场地势较高处，设备保养修理产生的废机油，用25L桶装收集暂存在危废暂存间，废机油产生、暂存量量小，并存放在危废暂存间，泄露至土壤的可能性小，因此风险影响主要是柴油罐的区的火灾爆炸。油罐设置在混凝土基础上，基础周边设置有围堰及收油沟。油罐密闭，柴油发生大量泄漏的概率很小，一般情况管道阀门泄漏，少量跑冒漏滴均收集在隔油池内，可有效进行防止污染。罐体破裂导致柴油大量泄漏的概率很小，一旦产生柴油泄漏主要污染罐体周边旱地土壤，根据周边地势，主要流入旱地，对旱地土壤造成污染，造成经济影响。</w:t>
            </w:r>
          </w:p>
          <w:p w14:paraId="12B90B91">
            <w:pPr>
              <w:spacing w:line="360" w:lineRule="auto"/>
              <w:ind w:firstLine="480" w:firstLineChars="200"/>
              <w:rPr>
                <w:color w:val="auto"/>
              </w:rPr>
            </w:pPr>
            <w:r>
              <w:rPr>
                <w:rFonts w:hint="eastAsia"/>
                <w:color w:val="auto"/>
              </w:rPr>
              <w:t>（3）套管破裂天然气窜层泄漏进入地表环境风险影响分析</w:t>
            </w:r>
          </w:p>
          <w:p w14:paraId="5FFD84E7">
            <w:pPr>
              <w:spacing w:line="360" w:lineRule="auto"/>
              <w:ind w:firstLine="480" w:firstLineChars="200"/>
              <w:rPr>
                <w:color w:val="auto"/>
              </w:rPr>
            </w:pPr>
            <w:r>
              <w:rPr>
                <w:rFonts w:hint="eastAsia"/>
                <w:color w:val="auto"/>
              </w:rPr>
              <w:t>套管破裂在钻井中出现的概率非常小，在严把质量关的前提下发生该事故的概率极其小。由于通过地下岩层的阻隔，事故发生后窜层泄漏进入地表的量、压力、速率比井喷量小很多，影响程度比井喷小很多。但出现的泄漏点多，出现位置不能进行有效预测，但主要在井口周边地带。主要表现为可燃气体的泄漏遇火爆炸环境风险，形成的爆炸冲击波较井喷失控时甲烷扩散遇火爆炸形成的爆炸冲击波影响小得多。</w:t>
            </w:r>
          </w:p>
          <w:p w14:paraId="1BE079D9">
            <w:pPr>
              <w:spacing w:line="360" w:lineRule="auto"/>
              <w:ind w:firstLine="480" w:firstLineChars="200"/>
              <w:rPr>
                <w:color w:val="auto"/>
              </w:rPr>
            </w:pPr>
            <w:r>
              <w:rPr>
                <w:rFonts w:hint="eastAsia"/>
                <w:color w:val="auto"/>
              </w:rPr>
              <w:t>（4）地下水井涌事故风险影响分析</w:t>
            </w:r>
          </w:p>
          <w:p w14:paraId="0DAF2AD7">
            <w:pPr>
              <w:spacing w:line="360" w:lineRule="auto"/>
              <w:ind w:firstLine="480" w:firstLineChars="200"/>
              <w:rPr>
                <w:color w:val="auto"/>
              </w:rPr>
            </w:pPr>
            <w:r>
              <w:rPr>
                <w:rFonts w:hint="eastAsia"/>
                <w:color w:val="auto"/>
              </w:rPr>
              <w:t>钻井过程中，钻遇含水地层时，易发生含压地下水涌出地表，从而发生地下水及钻井液污染地表水体的情况发生。在钻井液钻井过程中发生井涌，混合钻井液的地下水涌出地表流入地表水体，会造成一定的污染。</w:t>
            </w:r>
          </w:p>
          <w:p w14:paraId="140B25A4">
            <w:pPr>
              <w:spacing w:line="360" w:lineRule="auto"/>
              <w:ind w:firstLine="480" w:firstLineChars="200"/>
              <w:rPr>
                <w:color w:val="auto"/>
              </w:rPr>
            </w:pPr>
            <w:r>
              <w:rPr>
                <w:rFonts w:hint="eastAsia"/>
                <w:color w:val="auto"/>
              </w:rPr>
              <w:t>（5）废水、钻井液等泄漏环境风险影响分析</w:t>
            </w:r>
          </w:p>
          <w:p w14:paraId="15457F74">
            <w:pPr>
              <w:spacing w:line="360" w:lineRule="auto"/>
              <w:ind w:firstLine="480" w:firstLineChars="200"/>
              <w:rPr>
                <w:color w:val="auto"/>
              </w:rPr>
            </w:pPr>
            <w:r>
              <w:rPr>
                <w:rFonts w:hint="eastAsia"/>
                <w:color w:val="auto"/>
              </w:rPr>
              <w:t>废水、钻井液等pH值过高、可溶性盐含量高，含石油类。泄漏和外溢废水对地表水的影响一般有两种途径，一种是泄漏后直接进入水体；另一种是泄漏于地表，由降雨形成的地表径流将泄漏废水或受污染的土壤一起带入水体造成污染。本项目钻井废水、钻井液在井场均得到妥善储存，发生泄漏的可能性较小，即使发生泄漏，由于废水产生量不大，同时距地表水体又较远，对地表水环境的影响也是很小的。</w:t>
            </w:r>
          </w:p>
        </w:tc>
      </w:tr>
      <w:tr w14:paraId="7872E8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98" w:hRule="atLeast"/>
          <w:jc w:val="center"/>
        </w:trPr>
        <w:tc>
          <w:tcPr>
            <w:tcW w:w="506" w:type="dxa"/>
            <w:tcMar>
              <w:left w:w="28" w:type="dxa"/>
              <w:right w:w="28" w:type="dxa"/>
            </w:tcMar>
            <w:vAlign w:val="center"/>
          </w:tcPr>
          <w:p w14:paraId="33524B3B">
            <w:pPr>
              <w:adjustRightInd w:val="0"/>
              <w:snapToGrid w:val="0"/>
              <w:jc w:val="center"/>
              <w:rPr>
                <w:rFonts w:cs="宋体"/>
                <w:bCs/>
                <w:color w:val="auto"/>
                <w:sz w:val="21"/>
                <w:szCs w:val="21"/>
              </w:rPr>
            </w:pPr>
            <w:r>
              <w:rPr>
                <w:rFonts w:hint="eastAsia" w:ascii="宋体" w:hAnsi="宋体" w:cs="宋体"/>
                <w:color w:val="auto"/>
                <w:kern w:val="0"/>
                <w:szCs w:val="21"/>
              </w:rPr>
              <w:t>运营期生态环境影响分析</w:t>
            </w:r>
          </w:p>
        </w:tc>
        <w:tc>
          <w:tcPr>
            <w:tcW w:w="8668" w:type="dxa"/>
          </w:tcPr>
          <w:p w14:paraId="771CDFDC">
            <w:pPr>
              <w:spacing w:line="360" w:lineRule="auto"/>
              <w:ind w:firstLine="480" w:firstLineChars="200"/>
              <w:rPr>
                <w:color w:val="auto"/>
              </w:rPr>
            </w:pPr>
            <w:r>
              <w:rPr>
                <w:rFonts w:hint="eastAsia"/>
                <w:color w:val="auto"/>
              </w:rPr>
              <w:t>本项目为页岩气探井，不涉及运营期。因此，本次评价不对营运期进行分析。</w:t>
            </w:r>
          </w:p>
          <w:p w14:paraId="020ECDEE">
            <w:pPr>
              <w:adjustRightInd w:val="0"/>
              <w:snapToGrid w:val="0"/>
              <w:spacing w:line="360" w:lineRule="auto"/>
              <w:ind w:firstLine="480" w:firstLineChars="200"/>
              <w:rPr>
                <w:rFonts w:ascii="宋体" w:hAnsi="宋体" w:cs="宋体"/>
                <w:bCs/>
                <w:color w:val="auto"/>
                <w:szCs w:val="21"/>
              </w:rPr>
            </w:pPr>
          </w:p>
          <w:p w14:paraId="0CFEE181">
            <w:pPr>
              <w:adjustRightInd w:val="0"/>
              <w:snapToGrid w:val="0"/>
              <w:spacing w:line="360" w:lineRule="auto"/>
              <w:ind w:firstLine="480" w:firstLineChars="200"/>
              <w:rPr>
                <w:rFonts w:ascii="宋体" w:hAnsi="宋体" w:cs="宋体"/>
                <w:bCs/>
                <w:color w:val="auto"/>
                <w:szCs w:val="21"/>
              </w:rPr>
            </w:pPr>
          </w:p>
          <w:p w14:paraId="291DD4A1">
            <w:pPr>
              <w:adjustRightInd w:val="0"/>
              <w:snapToGrid w:val="0"/>
              <w:spacing w:line="360" w:lineRule="auto"/>
              <w:ind w:firstLine="480" w:firstLineChars="200"/>
              <w:rPr>
                <w:rFonts w:ascii="宋体" w:hAnsi="宋体" w:cs="宋体"/>
                <w:bCs/>
                <w:color w:val="auto"/>
                <w:szCs w:val="21"/>
              </w:rPr>
            </w:pPr>
          </w:p>
        </w:tc>
      </w:tr>
      <w:tr w14:paraId="16885B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31" w:hRule="atLeast"/>
          <w:jc w:val="center"/>
        </w:trPr>
        <w:tc>
          <w:tcPr>
            <w:tcW w:w="506" w:type="dxa"/>
            <w:vAlign w:val="center"/>
          </w:tcPr>
          <w:p w14:paraId="6B5D3733">
            <w:pPr>
              <w:adjustRightInd w:val="0"/>
              <w:snapToGrid w:val="0"/>
              <w:jc w:val="center"/>
              <w:rPr>
                <w:rFonts w:cs="宋体"/>
                <w:bCs/>
                <w:color w:val="auto"/>
                <w:sz w:val="21"/>
                <w:szCs w:val="21"/>
              </w:rPr>
            </w:pPr>
            <w:r>
              <w:rPr>
                <w:rFonts w:hint="eastAsia" w:ascii="宋体" w:hAnsi="宋体" w:cs="宋体"/>
                <w:color w:val="auto"/>
                <w:kern w:val="0"/>
                <w:szCs w:val="21"/>
              </w:rPr>
              <w:t>选址选线环境合理性分析</w:t>
            </w:r>
          </w:p>
        </w:tc>
        <w:tc>
          <w:tcPr>
            <w:tcW w:w="8668" w:type="dxa"/>
          </w:tcPr>
          <w:p w14:paraId="721B82F4">
            <w:pPr>
              <w:spacing w:line="360" w:lineRule="auto"/>
              <w:rPr>
                <w:b/>
                <w:bCs/>
                <w:color w:val="auto"/>
                <w:lang w:val="eu-ES"/>
              </w:rPr>
            </w:pPr>
            <w:r>
              <w:rPr>
                <w:rFonts w:hint="eastAsia"/>
                <w:b/>
                <w:bCs/>
                <w:color w:val="auto"/>
              </w:rPr>
              <w:t>1、</w:t>
            </w:r>
            <w:r>
              <w:rPr>
                <w:rFonts w:hint="eastAsia"/>
                <w:b/>
                <w:bCs/>
                <w:color w:val="auto"/>
                <w:lang w:val="eu-ES"/>
              </w:rPr>
              <w:t>生态敏感性分析</w:t>
            </w:r>
          </w:p>
          <w:p w14:paraId="247BCC58">
            <w:pPr>
              <w:spacing w:line="360" w:lineRule="auto"/>
              <w:ind w:firstLine="480" w:firstLineChars="200"/>
              <w:rPr>
                <w:color w:val="auto"/>
                <w:lang w:val="eu-ES"/>
              </w:rPr>
            </w:pPr>
            <w:r>
              <w:rPr>
                <w:rFonts w:hint="eastAsia"/>
                <w:color w:val="auto"/>
              </w:rPr>
              <w:t>项目</w:t>
            </w:r>
            <w:r>
              <w:rPr>
                <w:rFonts w:hint="eastAsia"/>
                <w:color w:val="auto"/>
                <w:lang w:val="eu-ES"/>
              </w:rPr>
              <w:t>位于农村地区，</w:t>
            </w:r>
            <w:r>
              <w:rPr>
                <w:rFonts w:hint="eastAsia"/>
                <w:color w:val="auto"/>
              </w:rPr>
              <w:t>不新增用地，</w:t>
            </w:r>
            <w:r>
              <w:rPr>
                <w:rFonts w:hint="eastAsia"/>
                <w:color w:val="auto"/>
                <w:lang w:val="en-US" w:eastAsia="zh-CN"/>
              </w:rPr>
              <w:t>占</w:t>
            </w:r>
            <w:r>
              <w:rPr>
                <w:rFonts w:hint="eastAsia"/>
                <w:color w:val="auto"/>
                <w:lang w:val="eu-ES"/>
              </w:rPr>
              <w:t>地类型主要为</w:t>
            </w:r>
            <w:r>
              <w:rPr>
                <w:rFonts w:hint="eastAsia"/>
                <w:color w:val="auto"/>
              </w:rPr>
              <w:t>旱地、果园</w:t>
            </w:r>
            <w:r>
              <w:rPr>
                <w:rFonts w:hint="eastAsia"/>
                <w:color w:val="auto"/>
                <w:lang w:val="eu-ES"/>
              </w:rPr>
              <w:t>，</w:t>
            </w:r>
            <w:r>
              <w:rPr>
                <w:rFonts w:hint="eastAsia"/>
                <w:color w:val="auto"/>
              </w:rPr>
              <w:t>根据《广西“三线一单”数据共享应用平台建设项目智能研判报告》（见</w:t>
            </w:r>
            <w:r>
              <w:rPr>
                <w:rFonts w:hint="eastAsia"/>
                <w:b/>
                <w:bCs/>
                <w:color w:val="auto"/>
              </w:rPr>
              <w:t>附件6</w:t>
            </w:r>
            <w:r>
              <w:rPr>
                <w:rFonts w:hint="eastAsia"/>
                <w:color w:val="auto"/>
              </w:rPr>
              <w:t>）以及</w:t>
            </w:r>
            <w:r>
              <w:rPr>
                <w:color w:val="auto"/>
              </w:rPr>
              <w:t>现场调查</w:t>
            </w:r>
            <w:r>
              <w:rPr>
                <w:rFonts w:hint="eastAsia"/>
                <w:color w:val="auto"/>
              </w:rPr>
              <w:t>，项目不涉及</w:t>
            </w:r>
            <w:r>
              <w:rPr>
                <w:color w:val="auto"/>
              </w:rPr>
              <w:t>自然保护区、风景名胜区、</w:t>
            </w:r>
            <w:r>
              <w:rPr>
                <w:rFonts w:hint="eastAsia"/>
                <w:color w:val="auto"/>
              </w:rPr>
              <w:t>饮用水源保护区、森林公园、地质公园、重要湿地、原始天然林、珍稀濒危野生动植物天然集中分布区等环境敏感区，</w:t>
            </w:r>
            <w:r>
              <w:rPr>
                <w:rFonts w:hint="eastAsia"/>
                <w:color w:val="auto"/>
                <w:lang w:val="eu-ES"/>
              </w:rPr>
              <w:t>不在《</w:t>
            </w:r>
            <w:r>
              <w:rPr>
                <w:rFonts w:hint="eastAsia"/>
                <w:color w:val="auto"/>
              </w:rPr>
              <w:t>广西壮族自治区</w:t>
            </w:r>
            <w:r>
              <w:rPr>
                <w:rFonts w:hint="eastAsia"/>
                <w:color w:val="auto"/>
                <w:lang w:val="eu-ES"/>
              </w:rPr>
              <w:t>生态功能区划》禁止开发区、重点保护区范围内，生态环境总体不敏感。</w:t>
            </w:r>
          </w:p>
          <w:p w14:paraId="3C5B0FA1">
            <w:pPr>
              <w:spacing w:line="360" w:lineRule="auto"/>
              <w:rPr>
                <w:b/>
                <w:bCs/>
                <w:color w:val="auto"/>
              </w:rPr>
            </w:pPr>
            <w:r>
              <w:rPr>
                <w:rFonts w:hint="eastAsia"/>
                <w:b/>
                <w:bCs/>
                <w:color w:val="auto"/>
              </w:rPr>
              <w:t>2、用地可行性分析</w:t>
            </w:r>
          </w:p>
          <w:p w14:paraId="0C736E28">
            <w:pPr>
              <w:spacing w:line="360" w:lineRule="auto"/>
              <w:ind w:firstLine="480" w:firstLineChars="200"/>
              <w:rPr>
                <w:color w:val="auto"/>
                <w:lang w:val="zh-CN"/>
              </w:rPr>
            </w:pPr>
            <w:r>
              <w:rPr>
                <w:rFonts w:hint="eastAsia"/>
                <w:color w:val="auto"/>
              </w:rPr>
              <w:t>本项目位于融水县和睦镇，</w:t>
            </w:r>
            <w:r>
              <w:rPr>
                <w:rFonts w:hint="eastAsia"/>
                <w:color w:val="auto"/>
                <w:lang w:val="en-US" w:eastAsia="zh-CN"/>
              </w:rPr>
              <w:t>占</w:t>
            </w:r>
            <w:r>
              <w:rPr>
                <w:color w:val="auto"/>
                <w:lang w:val="zh-CN"/>
              </w:rPr>
              <w:t>地面积</w:t>
            </w:r>
            <w:r>
              <w:rPr>
                <w:rFonts w:hint="eastAsia"/>
                <w:color w:val="auto"/>
              </w:rPr>
              <w:t>为8776</w:t>
            </w:r>
            <w:r>
              <w:rPr>
                <w:color w:val="auto"/>
                <w:lang w:val="zh-CN"/>
              </w:rPr>
              <w:t>m</w:t>
            </w:r>
            <w:r>
              <w:rPr>
                <w:color w:val="auto"/>
                <w:vertAlign w:val="superscript"/>
                <w:lang w:val="zh-CN"/>
              </w:rPr>
              <w:t>2</w:t>
            </w:r>
            <w:r>
              <w:rPr>
                <w:color w:val="auto"/>
                <w:lang w:val="zh-CN"/>
              </w:rPr>
              <w:t>，</w:t>
            </w:r>
            <w:r>
              <w:rPr>
                <w:rFonts w:hint="eastAsia"/>
                <w:color w:val="auto"/>
                <w:lang w:val="en-US" w:eastAsia="zh-CN"/>
              </w:rPr>
              <w:t>占</w:t>
            </w:r>
            <w:r>
              <w:rPr>
                <w:color w:val="auto"/>
                <w:lang w:val="zh-CN"/>
              </w:rPr>
              <w:t>地类型为</w:t>
            </w:r>
            <w:r>
              <w:rPr>
                <w:rFonts w:hint="eastAsia"/>
                <w:color w:val="auto"/>
              </w:rPr>
              <w:t>旱地</w:t>
            </w:r>
            <w:r>
              <w:rPr>
                <w:rFonts w:hint="eastAsia"/>
                <w:color w:val="auto"/>
                <w:lang w:val="zh-CN"/>
              </w:rPr>
              <w:t>、</w:t>
            </w:r>
            <w:r>
              <w:rPr>
                <w:color w:val="auto"/>
                <w:lang w:val="zh-CN"/>
              </w:rPr>
              <w:t>园地，本项目</w:t>
            </w:r>
            <w:r>
              <w:rPr>
                <w:rFonts w:hint="eastAsia"/>
                <w:color w:val="auto"/>
                <w:lang w:val="en-US" w:eastAsia="zh-CN"/>
              </w:rPr>
              <w:t>占地所在区域</w:t>
            </w:r>
            <w:r>
              <w:rPr>
                <w:color w:val="auto"/>
                <w:lang w:val="zh-CN"/>
              </w:rPr>
              <w:t>已与广西壮族自治区国营伏虎华侨农场签订土地租赁合同，见</w:t>
            </w:r>
            <w:r>
              <w:rPr>
                <w:b/>
                <w:bCs/>
                <w:color w:val="auto"/>
                <w:lang w:val="zh-CN"/>
              </w:rPr>
              <w:t>附件5</w:t>
            </w:r>
            <w:r>
              <w:rPr>
                <w:rFonts w:hint="eastAsia"/>
                <w:color w:val="auto"/>
                <w:lang w:val="zh-CN"/>
              </w:rPr>
              <w:t>。</w:t>
            </w:r>
            <w:r>
              <w:rPr>
                <w:rFonts w:hint="eastAsia"/>
                <w:color w:val="auto"/>
              </w:rPr>
              <w:t>项目不新增用地，在原厂界范围内施工。</w:t>
            </w:r>
            <w:r>
              <w:rPr>
                <w:color w:val="auto"/>
                <w:lang w:val="zh-CN"/>
              </w:rPr>
              <w:t>项目所在区域为环境空气二类功能区，质量目标为《环境空气质量标准》（GB3095-2012）二级；区域内河流水环境质量目标为《地表水环境质量标准》（GB3838-2002）Ⅲ类；区域声环境质量目标为《声环境质量标准》（GB3096-2008）1类。</w:t>
            </w:r>
            <w:r>
              <w:rPr>
                <w:rFonts w:hint="eastAsia"/>
                <w:color w:val="auto"/>
              </w:rPr>
              <w:t>环境质量现状调查表明，项目区域的</w:t>
            </w:r>
            <w:r>
              <w:rPr>
                <w:color w:val="auto"/>
                <w:lang w:val="zh-CN"/>
              </w:rPr>
              <w:t>大气、地表水和声环境质量均能满足相应标准要求，项目正常运行生产不会导致区域环境质量等级的改变，项目建设不会对区域环境质量造成制约和影响。落实好施工期废气、固废、噪声、生活污水处理等措施后，项目的建设不会对周边环境保护目标造成明显不良影响，污染物能够得到有效地处理达标排放后，符合功能区划条件，本项目选址不会与环境功能区相冲突，选址合理。</w:t>
            </w:r>
          </w:p>
          <w:p w14:paraId="43559FC4">
            <w:pPr>
              <w:spacing w:line="360" w:lineRule="auto"/>
              <w:ind w:firstLine="480" w:firstLineChars="200"/>
              <w:rPr>
                <w:color w:val="auto"/>
              </w:rPr>
            </w:pPr>
            <w:r>
              <w:rPr>
                <w:color w:val="auto"/>
              </w:rPr>
              <w:t>本项目为</w:t>
            </w:r>
            <w:r>
              <w:rPr>
                <w:rFonts w:hint="eastAsia"/>
                <w:color w:val="auto"/>
              </w:rPr>
              <w:t>页岩气</w:t>
            </w:r>
            <w:r>
              <w:rPr>
                <w:color w:val="auto"/>
              </w:rPr>
              <w:t>勘探项目，属于(自然资规(2018)3号)中明确的“符合国家产业政策的能源开采”以及“《自然资源部农业农村部关于加强和改进永久基本农田保护工作的通知》(自然资规</w:t>
            </w:r>
            <w:r>
              <w:rPr>
                <w:rFonts w:hint="eastAsia"/>
                <w:color w:val="auto"/>
              </w:rPr>
              <w:t>〔</w:t>
            </w:r>
            <w:r>
              <w:rPr>
                <w:color w:val="auto"/>
              </w:rPr>
              <w:t>2019</w:t>
            </w:r>
            <w:r>
              <w:rPr>
                <w:rFonts w:hint="eastAsia"/>
                <w:color w:val="auto"/>
              </w:rPr>
              <w:t>〕</w:t>
            </w:r>
            <w:r>
              <w:rPr>
                <w:color w:val="auto"/>
              </w:rPr>
              <w:t>1号)”范畴，符合国家产业政策。</w:t>
            </w:r>
            <w:r>
              <w:rPr>
                <w:rFonts w:hint="eastAsia"/>
                <w:color w:val="auto"/>
              </w:rPr>
              <w:t>本项目探矿权所在区块属于空白区新设探矿权区块-柳北地区页岩气普查，广西柳州发电有限责任公司已取得中华人民共和国自然资源部颁发的矿产资源勘查许可证（证号:T1000002022091048001208），见</w:t>
            </w:r>
            <w:r>
              <w:rPr>
                <w:rFonts w:hint="eastAsia"/>
                <w:b/>
                <w:bCs/>
                <w:color w:val="auto"/>
              </w:rPr>
              <w:t>附件4</w:t>
            </w:r>
            <w:r>
              <w:rPr>
                <w:rFonts w:hint="eastAsia"/>
                <w:color w:val="auto"/>
              </w:rPr>
              <w:t>。本项目建设单位广西页岩气勘探开发有限公司已与广西柳州发电有限责任公司签订矿权委托协议，见</w:t>
            </w:r>
            <w:r>
              <w:rPr>
                <w:rFonts w:hint="eastAsia"/>
                <w:b/>
                <w:bCs/>
                <w:color w:val="auto"/>
              </w:rPr>
              <w:t>附件3</w:t>
            </w:r>
            <w:r>
              <w:rPr>
                <w:rFonts w:hint="eastAsia"/>
                <w:color w:val="auto"/>
              </w:rPr>
              <w:t>，根据协议“广西柳州发电有限责任公司委托广西页岩气勘探开发有限公司作为管理机构，负责广西柳城北区块页岩气勘查项目勘探开发管理工作”。根据柳州市自然资源和规划局出具《关于同意广西页岩气勘探开发有限公司使用位于融水县和睦镇巷口村临时用地的批复》，</w:t>
            </w:r>
            <w:r>
              <w:rPr>
                <w:color w:val="auto"/>
              </w:rPr>
              <w:t>临时用地手续</w:t>
            </w:r>
            <w:r>
              <w:rPr>
                <w:rFonts w:hint="eastAsia"/>
                <w:color w:val="auto"/>
              </w:rPr>
              <w:t>已办理，见</w:t>
            </w:r>
            <w:r>
              <w:rPr>
                <w:rFonts w:hint="eastAsia"/>
                <w:b/>
                <w:bCs/>
                <w:color w:val="auto"/>
              </w:rPr>
              <w:t>附件8</w:t>
            </w:r>
            <w:r>
              <w:rPr>
                <w:rFonts w:hint="eastAsia"/>
                <w:color w:val="auto"/>
              </w:rPr>
              <w:t>。根据融水苗族自治县自然资源和规划局出具《关于恳请确认广西柳城北区块页岩气桂融地4井勘探开发项目用地土地类型的函》的复函，本项目范围不涉及占用永久基本农田，不涉及占用融水县生态环境保护红线，未涉及占用融水县城镇开发边界，见</w:t>
            </w:r>
            <w:r>
              <w:rPr>
                <w:rFonts w:hint="eastAsia"/>
                <w:b/>
                <w:bCs/>
                <w:color w:val="auto"/>
              </w:rPr>
              <w:t>附件7</w:t>
            </w:r>
            <w:r>
              <w:rPr>
                <w:color w:val="auto"/>
              </w:rPr>
              <w:t>。项目用地符合相关规范政策要求。</w:t>
            </w:r>
          </w:p>
          <w:p w14:paraId="46DEF4A0">
            <w:pPr>
              <w:spacing w:line="360" w:lineRule="auto"/>
              <w:rPr>
                <w:b/>
                <w:bCs/>
                <w:color w:val="auto"/>
                <w:lang w:val="zh-CN"/>
              </w:rPr>
            </w:pPr>
            <w:r>
              <w:rPr>
                <w:rFonts w:hint="eastAsia"/>
                <w:b/>
                <w:bCs/>
                <w:color w:val="auto"/>
              </w:rPr>
              <w:t>3、</w:t>
            </w:r>
            <w:r>
              <w:rPr>
                <w:rFonts w:hint="eastAsia"/>
                <w:b/>
                <w:bCs/>
                <w:color w:val="auto"/>
                <w:lang w:val="zh-CN"/>
              </w:rPr>
              <w:t>环境制约性分析</w:t>
            </w:r>
          </w:p>
          <w:p w14:paraId="725B7078">
            <w:pPr>
              <w:spacing w:line="360" w:lineRule="auto"/>
              <w:ind w:firstLine="480" w:firstLineChars="200"/>
              <w:rPr>
                <w:color w:val="auto"/>
              </w:rPr>
            </w:pPr>
            <w:r>
              <w:rPr>
                <w:rFonts w:hint="eastAsia"/>
                <w:color w:val="auto"/>
                <w:lang w:val="zh-CN"/>
              </w:rPr>
              <w:t>本项目选址不在</w:t>
            </w:r>
            <w:r>
              <w:rPr>
                <w:rFonts w:hint="eastAsia"/>
                <w:color w:val="auto"/>
              </w:rPr>
              <w:t>城镇</w:t>
            </w:r>
            <w:r>
              <w:rPr>
                <w:rFonts w:hint="eastAsia"/>
                <w:color w:val="auto"/>
                <w:lang w:val="zh-CN"/>
              </w:rPr>
              <w:t>规划区范围内，与当地</w:t>
            </w:r>
            <w:r>
              <w:rPr>
                <w:rFonts w:hint="eastAsia"/>
                <w:color w:val="auto"/>
              </w:rPr>
              <w:t>城镇</w:t>
            </w:r>
            <w:r>
              <w:rPr>
                <w:rFonts w:hint="eastAsia"/>
                <w:color w:val="auto"/>
                <w:lang w:val="zh-CN"/>
              </w:rPr>
              <w:t>规划不冲突。</w:t>
            </w:r>
            <w:r>
              <w:rPr>
                <w:rFonts w:hint="eastAsia"/>
                <w:color w:val="auto"/>
              </w:rPr>
              <w:t>根据《广西“三线一单”数据共享应用平台建设项目智能研判报告》（见</w:t>
            </w:r>
            <w:r>
              <w:rPr>
                <w:rFonts w:hint="eastAsia"/>
                <w:b/>
                <w:bCs/>
                <w:color w:val="auto"/>
              </w:rPr>
              <w:t>附件6</w:t>
            </w:r>
            <w:r>
              <w:rPr>
                <w:rFonts w:hint="eastAsia"/>
                <w:color w:val="auto"/>
              </w:rPr>
              <w:t>）以及</w:t>
            </w:r>
            <w:r>
              <w:rPr>
                <w:color w:val="auto"/>
              </w:rPr>
              <w:t>现场调查</w:t>
            </w:r>
            <w:r>
              <w:rPr>
                <w:rFonts w:hint="eastAsia"/>
                <w:color w:val="auto"/>
              </w:rPr>
              <w:t>，项目不涉及饮用水源保护区，</w:t>
            </w:r>
            <w:r>
              <w:rPr>
                <w:rFonts w:hint="eastAsia"/>
                <w:color w:val="auto"/>
                <w:lang w:val="zh-CN"/>
              </w:rPr>
              <w:t>项目周边除水塘外，无邻近地表水体分布，即使发生泄漏事故也不会造成泄漏进入地表水系中，不易造成污染物的迅速扩散。</w:t>
            </w:r>
            <w:r>
              <w:rPr>
                <w:rFonts w:hint="eastAsia"/>
                <w:color w:val="auto"/>
              </w:rPr>
              <w:t>项目井场的污水沟和污水池及其它可能产生污水的地方进行防渗漏处理，避免污水渗入地下，污染地下水环境。</w:t>
            </w:r>
          </w:p>
          <w:p w14:paraId="38F69D56">
            <w:pPr>
              <w:spacing w:line="360" w:lineRule="auto"/>
              <w:ind w:firstLine="480" w:firstLineChars="200"/>
              <w:rPr>
                <w:color w:val="auto"/>
                <w:lang w:val="zh-CN"/>
              </w:rPr>
            </w:pPr>
            <w:r>
              <w:rPr>
                <w:rFonts w:hint="eastAsia"/>
                <w:color w:val="auto"/>
                <w:lang w:val="zh-CN"/>
              </w:rPr>
              <w:t>项目产生的危险废物主要为</w:t>
            </w:r>
            <w:r>
              <w:rPr>
                <w:rFonts w:hint="eastAsia"/>
                <w:color w:val="auto"/>
              </w:rPr>
              <w:t>废机油、含油抹布、废油桶</w:t>
            </w:r>
            <w:r>
              <w:rPr>
                <w:rFonts w:hint="eastAsia"/>
                <w:color w:val="auto"/>
                <w:lang w:val="zh-CN"/>
              </w:rPr>
              <w:t>等，收集后</w:t>
            </w:r>
            <w:r>
              <w:rPr>
                <w:rFonts w:hint="eastAsia"/>
                <w:color w:val="auto"/>
              </w:rPr>
              <w:t>暂存在危废暂存间中，并</w:t>
            </w:r>
            <w:r>
              <w:rPr>
                <w:rFonts w:hint="eastAsia"/>
                <w:color w:val="auto"/>
                <w:lang w:val="zh-CN"/>
              </w:rPr>
              <w:t>交相应危废资质单位处理，均得到妥善处置，对环境影响小。通过对井场区域大气环境、土壤环境、声环境</w:t>
            </w:r>
            <w:r>
              <w:rPr>
                <w:rFonts w:hint="eastAsia"/>
                <w:color w:val="auto"/>
              </w:rPr>
              <w:t>质量现状</w:t>
            </w:r>
            <w:r>
              <w:rPr>
                <w:rFonts w:hint="eastAsia"/>
                <w:color w:val="auto"/>
                <w:lang w:val="zh-CN"/>
              </w:rPr>
              <w:t>监测，不会制约本项目建设，总体上环境对本项目建设制约性小。</w:t>
            </w:r>
          </w:p>
          <w:p w14:paraId="67FEBBE4">
            <w:pPr>
              <w:spacing w:line="360" w:lineRule="auto"/>
              <w:ind w:firstLine="480" w:firstLineChars="200"/>
              <w:rPr>
                <w:color w:val="auto"/>
                <w:lang w:val="zh-CN"/>
              </w:rPr>
            </w:pPr>
            <w:r>
              <w:rPr>
                <w:rFonts w:hint="eastAsia"/>
                <w:color w:val="auto"/>
                <w:lang w:val="zh-CN"/>
              </w:rPr>
              <w:t>通过采取评价提出的技术经济可行的环保措施，根据本项目预测以及影响分析结果，本项目不改变区域环境功能，对周边居民的影响小，环境影响可接受。</w:t>
            </w:r>
          </w:p>
          <w:p w14:paraId="3EA3372C">
            <w:pPr>
              <w:spacing w:line="360" w:lineRule="auto"/>
              <w:ind w:firstLine="480" w:firstLineChars="200"/>
              <w:rPr>
                <w:rFonts w:ascii="宋体" w:hAnsi="宋体" w:cs="宋体"/>
                <w:bCs/>
                <w:color w:val="auto"/>
                <w:szCs w:val="21"/>
              </w:rPr>
            </w:pPr>
            <w:r>
              <w:rPr>
                <w:rFonts w:hint="eastAsia"/>
                <w:color w:val="auto"/>
                <w:lang w:val="zh-CN"/>
              </w:rPr>
              <w:t>综上所述，工程选址符合相关技术规范要求，且不属于环境敏感区、不涉及生态保护红线，在采取必要的环境保护措施和风险防范措施，对环境的影响可得到有效控制，从环境保护角度分析本项目选址合理。</w:t>
            </w:r>
          </w:p>
        </w:tc>
      </w:tr>
    </w:tbl>
    <w:p w14:paraId="08230A97">
      <w:pPr>
        <w:rPr>
          <w:color w:val="auto"/>
        </w:rPr>
        <w:sectPr>
          <w:pgSz w:w="11906" w:h="16838"/>
          <w:pgMar w:top="1417" w:right="1417" w:bottom="1417" w:left="1417" w:header="851" w:footer="992" w:gutter="0"/>
          <w:cols w:space="425" w:num="1"/>
          <w:docGrid w:type="lines" w:linePitch="312" w:charSpace="0"/>
        </w:sectPr>
      </w:pPr>
    </w:p>
    <w:p w14:paraId="4359FB20">
      <w:pPr>
        <w:pStyle w:val="2"/>
        <w:rPr>
          <w:color w:val="auto"/>
        </w:rPr>
      </w:pPr>
      <w:bookmarkStart w:id="29" w:name="_Toc18297"/>
      <w:r>
        <w:rPr>
          <w:rFonts w:hint="eastAsia"/>
          <w:color w:val="auto"/>
        </w:rPr>
        <w:t>五、主要生态环境保护措施</w:t>
      </w:r>
      <w:bookmarkEnd w:id="29"/>
    </w:p>
    <w:tbl>
      <w:tblPr>
        <w:tblStyle w:val="19"/>
        <w:tblW w:w="921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43"/>
        <w:gridCol w:w="8467"/>
      </w:tblGrid>
      <w:tr w14:paraId="072534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782" w:hRule="atLeast"/>
          <w:jc w:val="center"/>
        </w:trPr>
        <w:tc>
          <w:tcPr>
            <w:tcW w:w="753" w:type="dxa"/>
            <w:tcMar>
              <w:left w:w="28" w:type="dxa"/>
              <w:right w:w="28" w:type="dxa"/>
            </w:tcMar>
            <w:vAlign w:val="center"/>
          </w:tcPr>
          <w:p w14:paraId="6E03E445">
            <w:pPr>
              <w:adjustRightInd w:val="0"/>
              <w:snapToGrid w:val="0"/>
              <w:jc w:val="center"/>
              <w:rPr>
                <w:rFonts w:ascii="宋体" w:hAnsi="宋体"/>
                <w:bCs/>
                <w:color w:val="auto"/>
                <w:szCs w:val="21"/>
              </w:rPr>
            </w:pPr>
            <w:r>
              <w:rPr>
                <w:rFonts w:hint="eastAsia" w:ascii="宋体" w:hAnsi="宋体" w:cs="宋体"/>
                <w:bCs/>
                <w:color w:val="auto"/>
                <w:spacing w:val="10"/>
                <w:szCs w:val="21"/>
              </w:rPr>
              <w:t>施工期生态环境保护措施</w:t>
            </w:r>
          </w:p>
        </w:tc>
        <w:tc>
          <w:tcPr>
            <w:tcW w:w="8457" w:type="dxa"/>
          </w:tcPr>
          <w:p w14:paraId="26592F9E">
            <w:pPr>
              <w:spacing w:line="360" w:lineRule="auto"/>
              <w:rPr>
                <w:b/>
                <w:bCs/>
                <w:color w:val="auto"/>
              </w:rPr>
            </w:pPr>
            <w:r>
              <w:rPr>
                <w:rFonts w:hint="eastAsia"/>
                <w:b/>
                <w:bCs/>
                <w:color w:val="auto"/>
              </w:rPr>
              <w:t>1、生态环境保护措施</w:t>
            </w:r>
          </w:p>
          <w:p w14:paraId="1D5B797A">
            <w:pPr>
              <w:spacing w:line="360" w:lineRule="auto"/>
              <w:ind w:firstLine="480" w:firstLineChars="200"/>
              <w:rPr>
                <w:color w:val="auto"/>
              </w:rPr>
            </w:pPr>
            <w:r>
              <w:rPr>
                <w:rFonts w:hint="eastAsia"/>
                <w:color w:val="auto"/>
              </w:rPr>
              <w:t>改扩建后项目在</w:t>
            </w:r>
            <w:r>
              <w:rPr>
                <w:color w:val="auto"/>
              </w:rPr>
              <w:t>施工过程</w:t>
            </w:r>
            <w:r>
              <w:rPr>
                <w:rFonts w:hint="eastAsia"/>
                <w:color w:val="auto"/>
              </w:rPr>
              <w:t>中对</w:t>
            </w:r>
            <w:r>
              <w:rPr>
                <w:color w:val="auto"/>
              </w:rPr>
              <w:t>生态环境</w:t>
            </w:r>
            <w:r>
              <w:rPr>
                <w:rFonts w:hint="eastAsia"/>
                <w:color w:val="auto"/>
              </w:rPr>
              <w:t>的</w:t>
            </w:r>
            <w:r>
              <w:rPr>
                <w:color w:val="auto"/>
              </w:rPr>
              <w:t>影响主要表现在钻井、</w:t>
            </w:r>
            <w:r>
              <w:rPr>
                <w:rFonts w:hint="eastAsia"/>
                <w:color w:val="auto"/>
              </w:rPr>
              <w:t>储存改造、试采</w:t>
            </w:r>
            <w:r>
              <w:rPr>
                <w:color w:val="auto"/>
              </w:rPr>
              <w:t>阶段产排污对生态环境的影响以及临时</w:t>
            </w:r>
            <w:r>
              <w:rPr>
                <w:rFonts w:hint="eastAsia"/>
                <w:color w:val="auto"/>
                <w:lang w:val="en-US" w:eastAsia="zh-CN"/>
              </w:rPr>
              <w:t>占</w:t>
            </w:r>
            <w:r>
              <w:rPr>
                <w:color w:val="auto"/>
              </w:rPr>
              <w:t>地恢复等，根据项目所处不同阶段落实生态保护措施。</w:t>
            </w:r>
          </w:p>
          <w:p w14:paraId="566680A2">
            <w:pPr>
              <w:spacing w:line="360" w:lineRule="auto"/>
              <w:rPr>
                <w:b/>
                <w:bCs/>
                <w:color w:val="auto"/>
              </w:rPr>
            </w:pPr>
            <w:r>
              <w:rPr>
                <w:b/>
                <w:bCs/>
                <w:color w:val="auto"/>
              </w:rPr>
              <w:t>1.1钻井</w:t>
            </w:r>
            <w:r>
              <w:rPr>
                <w:rFonts w:hint="eastAsia"/>
                <w:b/>
                <w:bCs/>
                <w:color w:val="auto"/>
              </w:rPr>
              <w:t>、储存改造</w:t>
            </w:r>
            <w:r>
              <w:rPr>
                <w:b/>
                <w:bCs/>
                <w:color w:val="auto"/>
              </w:rPr>
              <w:t>以及</w:t>
            </w:r>
            <w:r>
              <w:rPr>
                <w:rFonts w:hint="eastAsia"/>
                <w:b/>
                <w:bCs/>
                <w:color w:val="auto"/>
              </w:rPr>
              <w:t>试采</w:t>
            </w:r>
            <w:r>
              <w:rPr>
                <w:b/>
                <w:bCs/>
                <w:color w:val="auto"/>
              </w:rPr>
              <w:t>工程阶段</w:t>
            </w:r>
          </w:p>
          <w:p w14:paraId="3561AFD4">
            <w:pPr>
              <w:spacing w:line="360" w:lineRule="auto"/>
              <w:ind w:firstLine="480" w:firstLineChars="200"/>
              <w:rPr>
                <w:color w:val="auto"/>
              </w:rPr>
            </w:pPr>
            <w:r>
              <w:rPr>
                <w:rFonts w:hint="eastAsia"/>
                <w:color w:val="auto"/>
              </w:rPr>
              <w:t>（1）</w:t>
            </w:r>
            <w:r>
              <w:rPr>
                <w:color w:val="auto"/>
              </w:rPr>
              <w:t>严格落实钻井“不落地”随钻处理工艺，及时收集处理</w:t>
            </w:r>
            <w:r>
              <w:rPr>
                <w:rFonts w:hint="eastAsia"/>
                <w:color w:val="auto"/>
              </w:rPr>
              <w:t>施工</w:t>
            </w:r>
            <w:r>
              <w:rPr>
                <w:color w:val="auto"/>
              </w:rPr>
              <w:t>过程中的污染物，废水、固废</w:t>
            </w:r>
            <w:r>
              <w:rPr>
                <w:rFonts w:hint="eastAsia"/>
                <w:color w:val="auto"/>
              </w:rPr>
              <w:t>，</w:t>
            </w:r>
            <w:r>
              <w:rPr>
                <w:color w:val="auto"/>
              </w:rPr>
              <w:t>做到现场不外排，减小对周边生态环境的影响。</w:t>
            </w:r>
          </w:p>
          <w:p w14:paraId="7FA31DD8">
            <w:pPr>
              <w:spacing w:line="360" w:lineRule="auto"/>
              <w:ind w:firstLine="480" w:firstLineChars="200"/>
              <w:rPr>
                <w:color w:val="auto"/>
              </w:rPr>
            </w:pPr>
            <w:r>
              <w:rPr>
                <w:rFonts w:hint="eastAsia"/>
                <w:color w:val="auto"/>
              </w:rPr>
              <w:t>（2）</w:t>
            </w:r>
            <w:r>
              <w:rPr>
                <w:color w:val="auto"/>
              </w:rPr>
              <w:t>根据施工阶段的不同，对不再使用的临时</w:t>
            </w:r>
            <w:r>
              <w:rPr>
                <w:rFonts w:hint="eastAsia"/>
                <w:color w:val="auto"/>
                <w:lang w:val="en-US" w:eastAsia="zh-CN"/>
              </w:rPr>
              <w:t>占</w:t>
            </w:r>
            <w:r>
              <w:rPr>
                <w:color w:val="auto"/>
              </w:rPr>
              <w:t>地及时采取复耕复种等生态恢复措施，减少临时</w:t>
            </w:r>
            <w:r>
              <w:rPr>
                <w:rFonts w:hint="eastAsia"/>
                <w:color w:val="auto"/>
                <w:lang w:val="en-US" w:eastAsia="zh-CN"/>
              </w:rPr>
              <w:t>占</w:t>
            </w:r>
            <w:r>
              <w:rPr>
                <w:color w:val="auto"/>
              </w:rPr>
              <w:t>地面积、缩短临时</w:t>
            </w:r>
            <w:r>
              <w:rPr>
                <w:rFonts w:hint="eastAsia"/>
                <w:color w:val="auto"/>
                <w:lang w:val="en-US" w:eastAsia="zh-CN"/>
              </w:rPr>
              <w:t>占</w:t>
            </w:r>
            <w:r>
              <w:rPr>
                <w:color w:val="auto"/>
              </w:rPr>
              <w:t>地周期。</w:t>
            </w:r>
          </w:p>
          <w:p w14:paraId="2FBCF2C3">
            <w:pPr>
              <w:spacing w:line="360" w:lineRule="auto"/>
              <w:rPr>
                <w:b/>
                <w:bCs/>
                <w:color w:val="auto"/>
              </w:rPr>
            </w:pPr>
            <w:r>
              <w:rPr>
                <w:b/>
                <w:bCs/>
                <w:color w:val="auto"/>
              </w:rPr>
              <w:t>1.2</w:t>
            </w:r>
            <w:r>
              <w:rPr>
                <w:rFonts w:hint="eastAsia"/>
                <w:b/>
                <w:bCs/>
                <w:color w:val="auto"/>
              </w:rPr>
              <w:t>试采</w:t>
            </w:r>
            <w:r>
              <w:rPr>
                <w:b/>
                <w:bCs/>
                <w:color w:val="auto"/>
              </w:rPr>
              <w:t>临时</w:t>
            </w:r>
            <w:r>
              <w:rPr>
                <w:rFonts w:hint="eastAsia"/>
                <w:b/>
                <w:bCs/>
                <w:color w:val="auto"/>
                <w:lang w:val="en-US" w:eastAsia="zh-CN"/>
              </w:rPr>
              <w:t>用</w:t>
            </w:r>
            <w:r>
              <w:rPr>
                <w:b/>
                <w:bCs/>
                <w:color w:val="auto"/>
              </w:rPr>
              <w:t>地恢复措施</w:t>
            </w:r>
          </w:p>
          <w:p w14:paraId="7EB9F016">
            <w:pPr>
              <w:spacing w:line="360" w:lineRule="auto"/>
              <w:ind w:firstLine="480" w:firstLineChars="200"/>
              <w:rPr>
                <w:color w:val="auto"/>
              </w:rPr>
            </w:pPr>
            <w:r>
              <w:rPr>
                <w:color w:val="auto"/>
              </w:rPr>
              <w:t>本项目</w:t>
            </w:r>
            <w:r>
              <w:rPr>
                <w:rFonts w:hint="eastAsia"/>
                <w:color w:val="auto"/>
              </w:rPr>
              <w:t>试采</w:t>
            </w:r>
            <w:r>
              <w:rPr>
                <w:color w:val="auto"/>
              </w:rPr>
              <w:t>任务完成后若作为生产井，后续生产井地面建设则另行设计和开展环评。若废弃，</w:t>
            </w:r>
            <w:r>
              <w:rPr>
                <w:rFonts w:hint="eastAsia"/>
                <w:color w:val="auto"/>
              </w:rPr>
              <w:t>试采</w:t>
            </w:r>
            <w:r>
              <w:rPr>
                <w:color w:val="auto"/>
              </w:rPr>
              <w:t>后将</w:t>
            </w:r>
            <w:r>
              <w:rPr>
                <w:rFonts w:hint="eastAsia"/>
                <w:color w:val="auto"/>
              </w:rPr>
              <w:t>进行</w:t>
            </w:r>
            <w:r>
              <w:rPr>
                <w:color w:val="auto"/>
              </w:rPr>
              <w:t>封井口作业，最终对临时</w:t>
            </w:r>
            <w:r>
              <w:rPr>
                <w:rFonts w:hint="eastAsia"/>
                <w:color w:val="auto"/>
                <w:lang w:val="en-US" w:eastAsia="zh-CN"/>
              </w:rPr>
              <w:t>用</w:t>
            </w:r>
            <w:r>
              <w:rPr>
                <w:color w:val="auto"/>
              </w:rPr>
              <w:t>地进行</w:t>
            </w:r>
            <w:r>
              <w:rPr>
                <w:rFonts w:hint="eastAsia"/>
                <w:color w:val="auto"/>
              </w:rPr>
              <w:t>复垦</w:t>
            </w:r>
            <w:r>
              <w:rPr>
                <w:color w:val="auto"/>
              </w:rPr>
              <w:t>恢复。</w:t>
            </w:r>
          </w:p>
          <w:p w14:paraId="3E3C869C">
            <w:pPr>
              <w:spacing w:line="360" w:lineRule="auto"/>
              <w:ind w:firstLine="480" w:firstLineChars="200"/>
              <w:rPr>
                <w:color w:val="auto"/>
              </w:rPr>
            </w:pPr>
            <w:r>
              <w:rPr>
                <w:rFonts w:hint="eastAsia"/>
                <w:color w:val="auto"/>
              </w:rPr>
              <w:t>（1）</w:t>
            </w:r>
            <w:r>
              <w:rPr>
                <w:color w:val="auto"/>
              </w:rPr>
              <w:t>井口封隔措施</w:t>
            </w:r>
          </w:p>
          <w:p w14:paraId="3304EA03">
            <w:pPr>
              <w:spacing w:line="360" w:lineRule="auto"/>
              <w:ind w:firstLine="480" w:firstLineChars="200"/>
              <w:rPr>
                <w:color w:val="auto"/>
              </w:rPr>
            </w:pPr>
            <w:r>
              <w:rPr>
                <w:color w:val="auto"/>
              </w:rPr>
              <w:t>油气井若测试无开采价值则封井：首先，利用钻井过程中套管及套管壁用水泥固封防止致密气窜入地层，同时在油管射孔段的上部注水泥形成水泥塞面封隔气层；其次，回填并做碉堡</w:t>
            </w:r>
            <w:r>
              <w:rPr>
                <w:rFonts w:hint="eastAsia"/>
                <w:color w:val="auto"/>
              </w:rPr>
              <w:t>（</w:t>
            </w:r>
            <w:r>
              <w:rPr>
                <w:color w:val="auto"/>
              </w:rPr>
              <w:t>边2m、高2.2m的三角形</w:t>
            </w:r>
            <w:r>
              <w:rPr>
                <w:rFonts w:hint="eastAsia"/>
                <w:color w:val="auto"/>
              </w:rPr>
              <w:t>）</w:t>
            </w:r>
            <w:r>
              <w:rPr>
                <w:color w:val="auto"/>
              </w:rPr>
              <w:t>和标识，设置醒目的警示标志。通过以上措施，可有效封隔地层产气，且压力很小，封隔措施有效可行，无环境隐患问题。</w:t>
            </w:r>
          </w:p>
          <w:p w14:paraId="5E9238AC">
            <w:pPr>
              <w:spacing w:line="360" w:lineRule="auto"/>
              <w:ind w:firstLine="480" w:firstLineChars="200"/>
              <w:rPr>
                <w:color w:val="auto"/>
              </w:rPr>
            </w:pPr>
            <w:r>
              <w:rPr>
                <w:rFonts w:hint="eastAsia"/>
                <w:color w:val="auto"/>
              </w:rPr>
              <w:t>（2）</w:t>
            </w:r>
            <w:r>
              <w:rPr>
                <w:color w:val="auto"/>
              </w:rPr>
              <w:t>临时</w:t>
            </w:r>
            <w:r>
              <w:rPr>
                <w:rFonts w:hint="eastAsia"/>
                <w:color w:val="auto"/>
                <w:lang w:val="en-US" w:eastAsia="zh-CN"/>
              </w:rPr>
              <w:t>用</w:t>
            </w:r>
            <w:r>
              <w:rPr>
                <w:color w:val="auto"/>
              </w:rPr>
              <w:t>地</w:t>
            </w:r>
            <w:r>
              <w:rPr>
                <w:rFonts w:hint="eastAsia"/>
                <w:color w:val="auto"/>
              </w:rPr>
              <w:t>复垦</w:t>
            </w:r>
            <w:r>
              <w:rPr>
                <w:color w:val="auto"/>
              </w:rPr>
              <w:t>措施</w:t>
            </w:r>
          </w:p>
          <w:p w14:paraId="2A95188B">
            <w:pPr>
              <w:spacing w:line="360" w:lineRule="auto"/>
              <w:ind w:firstLine="480" w:firstLineChars="200"/>
              <w:rPr>
                <w:color w:val="auto"/>
              </w:rPr>
            </w:pPr>
            <w:r>
              <w:rPr>
                <w:rFonts w:hint="eastAsia"/>
                <w:color w:val="auto"/>
              </w:rPr>
              <w:t>复垦工程的顺序大致是：硬化层拆除和运输→土地翻耕→表土回覆→土地培肥→种植绿肥（油菜）→种植玉米→种植果树→交还土地所有权人。</w:t>
            </w:r>
          </w:p>
          <w:p w14:paraId="34DB6237">
            <w:pPr>
              <w:spacing w:line="360" w:lineRule="auto"/>
              <w:ind w:firstLine="480" w:firstLineChars="200"/>
              <w:rPr>
                <w:color w:val="auto"/>
              </w:rPr>
            </w:pPr>
            <w:r>
              <w:rPr>
                <w:rFonts w:hint="eastAsia"/>
                <w:color w:val="auto"/>
              </w:rPr>
              <w:t>1）硬化层拆除</w:t>
            </w:r>
          </w:p>
          <w:p w14:paraId="5F53AA06">
            <w:pPr>
              <w:spacing w:line="360" w:lineRule="auto"/>
              <w:ind w:firstLine="480" w:firstLineChars="200"/>
              <w:rPr>
                <w:color w:val="auto"/>
              </w:rPr>
            </w:pPr>
            <w:r>
              <w:rPr>
                <w:rFonts w:hint="eastAsia"/>
                <w:color w:val="auto"/>
              </w:rPr>
              <w:t>临时用地使用完毕后，临时用地混凝土地面区域为硬化地面区域，复垦前需对这些区域地面混凝土建筑垃圾进行破除并运离现场。</w:t>
            </w:r>
          </w:p>
          <w:p w14:paraId="27AEA46A">
            <w:pPr>
              <w:spacing w:line="360" w:lineRule="auto"/>
              <w:ind w:firstLine="480" w:firstLineChars="200"/>
              <w:rPr>
                <w:color w:val="auto"/>
              </w:rPr>
            </w:pPr>
            <w:r>
              <w:rPr>
                <w:rFonts w:hint="eastAsia"/>
                <w:color w:val="auto"/>
              </w:rPr>
              <w:t>2）土地翻耕</w:t>
            </w:r>
          </w:p>
          <w:p w14:paraId="71E63020">
            <w:pPr>
              <w:spacing w:line="360" w:lineRule="auto"/>
              <w:ind w:firstLine="480" w:firstLineChars="200"/>
              <w:rPr>
                <w:color w:val="auto"/>
              </w:rPr>
            </w:pPr>
            <w:r>
              <w:rPr>
                <w:rFonts w:hint="eastAsia"/>
                <w:color w:val="auto"/>
              </w:rPr>
              <w:t>为了使复垦的土地达到可利用状态，复垦区域需采用机械深耕 30cm，使被压实板结的土层变为松土，从而增加土壤孔隙度，促进土壤潜在养分转化为有效养分和促使农作物根系的伸展。</w:t>
            </w:r>
          </w:p>
          <w:p w14:paraId="26D12F9E">
            <w:pPr>
              <w:spacing w:line="360" w:lineRule="auto"/>
              <w:ind w:firstLine="480" w:firstLineChars="200"/>
              <w:rPr>
                <w:color w:val="auto"/>
              </w:rPr>
            </w:pPr>
            <w:r>
              <w:rPr>
                <w:rFonts w:hint="eastAsia"/>
                <w:color w:val="auto"/>
              </w:rPr>
              <w:t>3）表土回覆</w:t>
            </w:r>
          </w:p>
          <w:p w14:paraId="421C7AC5">
            <w:pPr>
              <w:spacing w:line="360" w:lineRule="auto"/>
              <w:ind w:firstLine="480" w:firstLineChars="200"/>
              <w:rPr>
                <w:color w:val="auto"/>
              </w:rPr>
            </w:pPr>
            <w:r>
              <w:rPr>
                <w:rFonts w:hint="eastAsia"/>
                <w:color w:val="auto"/>
              </w:rPr>
              <w:t>为了提高复垦区的农作物种植能力及其生长能力，本方案设计在临时用地使用后将对复垦区域进行回填表土，缩短土壤的熟化期，促进农作物的生长。</w:t>
            </w:r>
          </w:p>
          <w:p w14:paraId="599E9E26">
            <w:pPr>
              <w:spacing w:line="360" w:lineRule="auto"/>
              <w:ind w:firstLine="480" w:firstLineChars="200"/>
              <w:rPr>
                <w:color w:val="auto"/>
              </w:rPr>
            </w:pPr>
            <w:r>
              <w:rPr>
                <w:rFonts w:hint="eastAsia"/>
                <w:color w:val="auto"/>
              </w:rPr>
              <w:t>4）种植绿肥</w:t>
            </w:r>
          </w:p>
          <w:p w14:paraId="3525F5B1">
            <w:pPr>
              <w:spacing w:line="360" w:lineRule="auto"/>
              <w:ind w:firstLine="480" w:firstLineChars="200"/>
              <w:rPr>
                <w:color w:val="auto"/>
              </w:rPr>
            </w:pPr>
            <w:r>
              <w:rPr>
                <w:rFonts w:hint="eastAsia"/>
                <w:color w:val="auto"/>
              </w:rPr>
              <w:t>本方案复垦为旱地区域实行旱生农作物+绿肥压青（旱生农作物可选玉米、红薯、叶子类蔬菜等，本方案以玉米为例做预算），为使复垦土壤达到最优的生产力，每年每亩增施商品有机肥500kg，将缩短土壤的熟化期，迅速恢复重构土壤的肥力。绿肥选用油菜，到绿肥盛开至谢花期时再压青。种植作物前需对土地进行翻耕，种植后加强管理，要做到病虫害早发现、早防治，避免病虫害滋生蔓延。</w:t>
            </w:r>
          </w:p>
          <w:p w14:paraId="0C4F51A2">
            <w:pPr>
              <w:spacing w:line="360" w:lineRule="auto"/>
              <w:ind w:firstLine="480" w:firstLineChars="200"/>
              <w:rPr>
                <w:color w:val="auto"/>
              </w:rPr>
            </w:pPr>
            <w:r>
              <w:rPr>
                <w:rFonts w:hint="eastAsia"/>
                <w:color w:val="auto"/>
              </w:rPr>
              <w:t>5）种植果树</w:t>
            </w:r>
          </w:p>
          <w:p w14:paraId="59FB6E85">
            <w:pPr>
              <w:spacing w:line="360" w:lineRule="auto"/>
              <w:ind w:firstLine="480" w:firstLineChars="200"/>
              <w:rPr>
                <w:color w:val="auto"/>
              </w:rPr>
            </w:pPr>
            <w:r>
              <w:rPr>
                <w:rFonts w:hint="eastAsia"/>
                <w:color w:val="auto"/>
              </w:rPr>
              <w:t>复垦为果园地块选择种植李子树，以坑栽的方式种植李子树苗，种植密度为3.0m（行距）×4.0m（株距），即每公顷种植833株，坑栽规格为0.5×0.5×0.5m，并对树苗种植坑施加商品有机肥1kg作为基肥，即55.5kg/亩，在管护期间对每株果树施加高浓度复合肥1kg/株，即55.5kg/亩，管护期为三年，种植后加强管理，要做到病虫害早发现、早防治，避免病虫害滋生蔓延。</w:t>
            </w:r>
          </w:p>
          <w:p w14:paraId="1DCBC6C6">
            <w:pPr>
              <w:spacing w:line="360" w:lineRule="auto"/>
              <w:ind w:firstLine="480" w:firstLineChars="200"/>
              <w:rPr>
                <w:color w:val="auto"/>
              </w:rPr>
            </w:pPr>
            <w:r>
              <w:rPr>
                <w:rFonts w:hint="eastAsia"/>
                <w:color w:val="auto"/>
              </w:rPr>
              <w:t>6）交还土地所有权人</w:t>
            </w:r>
          </w:p>
          <w:p w14:paraId="2D956755">
            <w:pPr>
              <w:spacing w:line="360" w:lineRule="auto"/>
              <w:ind w:firstLine="480" w:firstLineChars="200"/>
              <w:rPr>
                <w:color w:val="auto"/>
              </w:rPr>
            </w:pPr>
            <w:r>
              <w:rPr>
                <w:rFonts w:hint="eastAsia"/>
                <w:color w:val="auto"/>
              </w:rPr>
              <w:t>临时用地土地所有权人为融水苗族自治县和睦镇巷口村广西壮族自治区国营伏虎华侨农场，权属清楚无争议，临时用地复垦工程结束后应将土地归还给土地权属人。</w:t>
            </w:r>
          </w:p>
          <w:p w14:paraId="006D64CB">
            <w:pPr>
              <w:spacing w:line="360" w:lineRule="auto"/>
              <w:rPr>
                <w:b/>
                <w:bCs/>
                <w:color w:val="auto"/>
              </w:rPr>
            </w:pPr>
            <w:r>
              <w:rPr>
                <w:b/>
                <w:bCs/>
                <w:color w:val="auto"/>
              </w:rPr>
              <w:t>2</w:t>
            </w:r>
            <w:r>
              <w:rPr>
                <w:rFonts w:hint="eastAsia"/>
                <w:b/>
                <w:bCs/>
                <w:color w:val="auto"/>
              </w:rPr>
              <w:t>、</w:t>
            </w:r>
            <w:r>
              <w:rPr>
                <w:b/>
                <w:bCs/>
                <w:color w:val="auto"/>
              </w:rPr>
              <w:t>钻井</w:t>
            </w:r>
            <w:r>
              <w:rPr>
                <w:rFonts w:hint="eastAsia"/>
                <w:b/>
                <w:bCs/>
                <w:color w:val="auto"/>
              </w:rPr>
              <w:t>、储存改造</w:t>
            </w:r>
            <w:r>
              <w:rPr>
                <w:b/>
                <w:bCs/>
                <w:color w:val="auto"/>
              </w:rPr>
              <w:t>及</w:t>
            </w:r>
            <w:r>
              <w:rPr>
                <w:rFonts w:hint="eastAsia"/>
                <w:b/>
                <w:bCs/>
                <w:color w:val="auto"/>
              </w:rPr>
              <w:t>试采</w:t>
            </w:r>
            <w:r>
              <w:rPr>
                <w:b/>
                <w:bCs/>
                <w:color w:val="auto"/>
              </w:rPr>
              <w:t>工程环保措施及可行性分析</w:t>
            </w:r>
          </w:p>
          <w:p w14:paraId="7FC06E46">
            <w:pPr>
              <w:spacing w:line="360" w:lineRule="auto"/>
              <w:rPr>
                <w:b/>
                <w:bCs/>
                <w:color w:val="auto"/>
              </w:rPr>
            </w:pPr>
            <w:r>
              <w:rPr>
                <w:b/>
                <w:bCs/>
                <w:color w:val="auto"/>
              </w:rPr>
              <w:t>2</w:t>
            </w:r>
            <w:r>
              <w:rPr>
                <w:rFonts w:hint="eastAsia"/>
                <w:b/>
                <w:bCs/>
                <w:color w:val="auto"/>
              </w:rPr>
              <w:t>.1废</w:t>
            </w:r>
            <w:r>
              <w:rPr>
                <w:b/>
                <w:bCs/>
                <w:color w:val="auto"/>
              </w:rPr>
              <w:t>水污染防治措施</w:t>
            </w:r>
          </w:p>
          <w:p w14:paraId="14536BEB">
            <w:pPr>
              <w:spacing w:line="360" w:lineRule="auto"/>
              <w:ind w:firstLine="480" w:firstLineChars="200"/>
              <w:rPr>
                <w:color w:val="auto"/>
              </w:rPr>
            </w:pPr>
            <w:r>
              <w:rPr>
                <w:rFonts w:hint="eastAsia"/>
                <w:color w:val="auto"/>
              </w:rPr>
              <w:t>（1）钻井废水污染防治措施</w:t>
            </w:r>
          </w:p>
          <w:p w14:paraId="5F5FD862">
            <w:pPr>
              <w:spacing w:line="360" w:lineRule="auto"/>
              <w:ind w:firstLine="480" w:firstLineChars="200"/>
              <w:rPr>
                <w:color w:val="auto"/>
              </w:rPr>
            </w:pPr>
            <w:r>
              <w:rPr>
                <w:rFonts w:hint="eastAsia"/>
                <w:color w:val="auto"/>
              </w:rPr>
              <w:t>1）施工单位应对废水收集进行设计，严禁乱排污染环境。</w:t>
            </w:r>
          </w:p>
          <w:p w14:paraId="7AFD0269">
            <w:pPr>
              <w:spacing w:line="360" w:lineRule="auto"/>
              <w:ind w:firstLine="480" w:firstLineChars="200"/>
              <w:rPr>
                <w:color w:val="auto"/>
              </w:rPr>
            </w:pPr>
            <w:r>
              <w:rPr>
                <w:rFonts w:hint="eastAsia"/>
                <w:color w:val="auto"/>
              </w:rPr>
              <w:t>2）钻井采用无毒无害的钻井液，避免对浅层地下水的污染。</w:t>
            </w:r>
          </w:p>
          <w:p w14:paraId="57527C0A">
            <w:pPr>
              <w:spacing w:line="360" w:lineRule="auto"/>
              <w:ind w:firstLine="480" w:firstLineChars="200"/>
              <w:rPr>
                <w:color w:val="auto"/>
              </w:rPr>
            </w:pPr>
            <w:r>
              <w:rPr>
                <w:rFonts w:hint="eastAsia"/>
                <w:color w:val="auto"/>
              </w:rPr>
              <w:t>3）钻井废水排至泥浆循环系统，经固液分离后产生的滤液回用于钻井用水，不外排。</w:t>
            </w:r>
          </w:p>
          <w:p w14:paraId="126D7C41">
            <w:pPr>
              <w:spacing w:line="360" w:lineRule="auto"/>
              <w:ind w:firstLine="480" w:firstLineChars="200"/>
              <w:rPr>
                <w:color w:val="auto"/>
              </w:rPr>
            </w:pPr>
            <w:r>
              <w:rPr>
                <w:rFonts w:hint="eastAsia"/>
                <w:color w:val="auto"/>
              </w:rPr>
              <w:t>4）钻井废水循环使用过程中应严格操作程序，提高泥浆循环利用率，减少钻井液的跑冒滴漏，减少废钻井液产生量。</w:t>
            </w:r>
          </w:p>
          <w:p w14:paraId="0D447D51">
            <w:pPr>
              <w:spacing w:line="360" w:lineRule="auto"/>
              <w:ind w:firstLine="480" w:firstLineChars="200"/>
              <w:rPr>
                <w:color w:val="auto"/>
              </w:rPr>
            </w:pPr>
            <w:r>
              <w:rPr>
                <w:rFonts w:hint="eastAsia"/>
                <w:color w:val="auto"/>
              </w:rPr>
              <w:t>5）施工前泥浆池四周及底部采用水泥硬化，作业过程中敷设防渗布，泥浆池边沿高出地面0.5m。避免钻井废水对土壤和地下水造成影响。</w:t>
            </w:r>
          </w:p>
          <w:p w14:paraId="17884CA4">
            <w:pPr>
              <w:spacing w:line="360" w:lineRule="auto"/>
              <w:ind w:firstLine="480" w:firstLineChars="200"/>
              <w:rPr>
                <w:color w:val="auto"/>
              </w:rPr>
            </w:pPr>
            <w:r>
              <w:rPr>
                <w:rFonts w:hint="eastAsia"/>
                <w:color w:val="auto"/>
              </w:rPr>
              <w:t>6）本项目钻井采用“泥浆不落地”工艺，钻井废水全部排入固液分离设备，循环利用。根据钻井经验，钻井用水95%循环利用，除损耗外，剩余钻井废水进入“泥浆不落地”工艺处理，分离上清液，可回用于配浆作业。</w:t>
            </w:r>
          </w:p>
          <w:p w14:paraId="053CC2DC">
            <w:pPr>
              <w:spacing w:line="360" w:lineRule="auto"/>
              <w:ind w:firstLine="480" w:firstLineChars="200"/>
              <w:rPr>
                <w:color w:val="auto"/>
              </w:rPr>
            </w:pPr>
            <w:r>
              <w:rPr>
                <w:rFonts w:hint="eastAsia"/>
                <w:color w:val="auto"/>
              </w:rPr>
              <w:t>（2）储层改造废水污染防治措施</w:t>
            </w:r>
          </w:p>
          <w:p w14:paraId="0AEF24B2">
            <w:pPr>
              <w:spacing w:line="360" w:lineRule="auto"/>
              <w:ind w:firstLine="480" w:firstLineChars="200"/>
              <w:rPr>
                <w:color w:val="auto"/>
              </w:rPr>
            </w:pPr>
            <w:r>
              <w:rPr>
                <w:rFonts w:hint="eastAsia"/>
                <w:color w:val="auto"/>
              </w:rPr>
              <w:t>1）项目将在开工前与污水处理单位签订协议，不能回用时定期通过罐车运输压裂返排液至污水处理单位进行处理。</w:t>
            </w:r>
          </w:p>
          <w:p w14:paraId="7238D438">
            <w:pPr>
              <w:spacing w:line="360" w:lineRule="auto"/>
              <w:ind w:firstLine="480" w:firstLineChars="200"/>
              <w:rPr>
                <w:color w:val="auto"/>
              </w:rPr>
            </w:pPr>
            <w:r>
              <w:rPr>
                <w:rFonts w:hint="eastAsia"/>
                <w:color w:val="auto"/>
              </w:rPr>
              <w:t>2）配制压裂液时，严禁液体外溢、滴漏等现象对井场场地的污染；在承接压裂返排液时，用容器盛接，避免压裂返排液洒、滴至井场地面；添加药品后，不能将盛装药品的桶倒放，以免残余药品外流。</w:t>
            </w:r>
          </w:p>
          <w:p w14:paraId="7BC68FDE">
            <w:pPr>
              <w:spacing w:line="360" w:lineRule="auto"/>
              <w:ind w:firstLine="480" w:firstLineChars="200"/>
              <w:rPr>
                <w:color w:val="auto"/>
              </w:rPr>
            </w:pPr>
            <w:r>
              <w:rPr>
                <w:rFonts w:hint="eastAsia"/>
                <w:color w:val="auto"/>
              </w:rPr>
              <w:t>3）在配置压裂液的循环管区以及储存盐酸罐区等其他易污染的地方铺设阻拦防渗膜进行防渗处理。</w:t>
            </w:r>
          </w:p>
          <w:p w14:paraId="62F0FC9A">
            <w:pPr>
              <w:spacing w:line="360" w:lineRule="auto"/>
              <w:ind w:firstLine="480" w:firstLineChars="200"/>
              <w:rPr>
                <w:color w:val="auto"/>
              </w:rPr>
            </w:pPr>
            <w:r>
              <w:rPr>
                <w:rFonts w:hint="eastAsia"/>
                <w:color w:val="auto"/>
              </w:rPr>
              <w:t>（</w:t>
            </w:r>
            <w:r>
              <w:rPr>
                <w:color w:val="auto"/>
              </w:rPr>
              <w:t>3</w:t>
            </w:r>
            <w:r>
              <w:rPr>
                <w:rFonts w:hint="eastAsia"/>
                <w:color w:val="auto"/>
              </w:rPr>
              <w:t>）生活污水处理方案</w:t>
            </w:r>
          </w:p>
          <w:p w14:paraId="521795A8">
            <w:pPr>
              <w:spacing w:line="360" w:lineRule="auto"/>
              <w:ind w:firstLine="480" w:firstLineChars="200"/>
              <w:rPr>
                <w:color w:val="auto"/>
              </w:rPr>
            </w:pPr>
            <w:r>
              <w:rPr>
                <w:rFonts w:hint="eastAsia"/>
                <w:color w:val="auto"/>
              </w:rPr>
              <w:t>钻井工程属于施工期，人员少时间短，产生的生活污水水量小，水质较为简单，施工现场设置有环保生态厕所，项目在开工前与污水处理单位签订协议，生活污水经环保厕所收集处置后外运污水处理单位处置，不外排，对地表水环境影响小。</w:t>
            </w:r>
          </w:p>
          <w:p w14:paraId="6DD53594">
            <w:pPr>
              <w:spacing w:line="360" w:lineRule="auto"/>
              <w:ind w:firstLine="480" w:firstLineChars="200"/>
              <w:rPr>
                <w:color w:val="auto"/>
              </w:rPr>
            </w:pPr>
            <w:r>
              <w:rPr>
                <w:rFonts w:hint="eastAsia"/>
                <w:color w:val="auto"/>
              </w:rPr>
              <w:t>（</w:t>
            </w:r>
            <w:r>
              <w:rPr>
                <w:color w:val="auto"/>
              </w:rPr>
              <w:t>4</w:t>
            </w:r>
            <w:r>
              <w:rPr>
                <w:rFonts w:hint="eastAsia"/>
                <w:color w:val="auto"/>
              </w:rPr>
              <w:t>）废水处置方案可行性分析</w:t>
            </w:r>
          </w:p>
          <w:p w14:paraId="27757005">
            <w:pPr>
              <w:spacing w:line="360" w:lineRule="auto"/>
              <w:ind w:firstLine="480" w:firstLineChars="200"/>
              <w:rPr>
                <w:color w:val="auto"/>
              </w:rPr>
            </w:pPr>
            <w:r>
              <w:rPr>
                <w:rFonts w:hint="eastAsia"/>
                <w:color w:val="auto"/>
              </w:rPr>
              <w:t>项目“泥浆不落地”工艺即随钻随治工艺，工艺流程见下图。钻井过程中产生的钻井废水被收集至钻机配套的循环系统，利用振动筛、除砂器、除泥器、离心机等设备将固液进行分离，分离得到的固相</w:t>
            </w:r>
            <w:r>
              <w:rPr>
                <w:rFonts w:hint="eastAsia"/>
                <w:color w:val="auto"/>
                <w:lang w:val="en-US" w:eastAsia="zh-CN"/>
              </w:rPr>
              <w:t>暂存</w:t>
            </w:r>
            <w:r>
              <w:rPr>
                <w:rFonts w:hint="eastAsia"/>
                <w:color w:val="auto"/>
              </w:rPr>
              <w:t>，</w:t>
            </w:r>
            <w:r>
              <w:rPr>
                <w:rFonts w:hint="eastAsia"/>
                <w:color w:val="auto"/>
                <w:lang w:val="en-US" w:eastAsia="zh-CN"/>
              </w:rPr>
              <w:t>后由钻井队回用利用，</w:t>
            </w:r>
            <w:r>
              <w:rPr>
                <w:rFonts w:hint="eastAsia"/>
                <w:color w:val="auto"/>
              </w:rPr>
              <w:t>分离得到</w:t>
            </w:r>
            <w:r>
              <w:rPr>
                <w:rFonts w:hint="eastAsia"/>
                <w:color w:val="auto"/>
                <w:lang w:val="en-US" w:eastAsia="zh-CN"/>
              </w:rPr>
              <w:t>的</w:t>
            </w:r>
            <w:r>
              <w:rPr>
                <w:rFonts w:hint="eastAsia"/>
                <w:color w:val="auto"/>
              </w:rPr>
              <w:t>液相</w:t>
            </w:r>
            <w:r>
              <w:rPr>
                <w:rFonts w:hint="eastAsia"/>
                <w:color w:val="auto"/>
                <w:lang w:val="en-US" w:eastAsia="zh-CN"/>
              </w:rPr>
              <w:t>回用于钻井用水</w:t>
            </w:r>
            <w:r>
              <w:rPr>
                <w:rFonts w:hint="eastAsia"/>
                <w:color w:val="auto"/>
              </w:rPr>
              <w:t>。</w:t>
            </w:r>
          </w:p>
          <w:p w14:paraId="5F573007">
            <w:pPr>
              <w:spacing w:line="360" w:lineRule="auto"/>
              <w:jc w:val="center"/>
              <w:rPr>
                <w:rFonts w:hint="eastAsia" w:eastAsia="宋体"/>
                <w:color w:val="auto"/>
                <w:lang w:eastAsia="zh-CN"/>
              </w:rPr>
            </w:pPr>
            <w:r>
              <w:rPr>
                <w:rFonts w:hint="eastAsia" w:eastAsia="宋体"/>
                <w:color w:val="auto"/>
                <w:lang w:eastAsia="zh-CN"/>
              </w:rPr>
              <w:drawing>
                <wp:inline distT="0" distB="0" distL="114300" distR="114300">
                  <wp:extent cx="5232400" cy="2609850"/>
                  <wp:effectExtent l="0" t="0" r="6350" b="0"/>
                  <wp:docPr id="3" name="图片 3" descr="图 “泥浆不落地”工艺原理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 “泥浆不落地”工艺原理示意图"/>
                          <pic:cNvPicPr>
                            <a:picLocks noChangeAspect="1"/>
                          </pic:cNvPicPr>
                        </pic:nvPicPr>
                        <pic:blipFill>
                          <a:blip r:embed="rId23"/>
                          <a:stretch>
                            <a:fillRect/>
                          </a:stretch>
                        </pic:blipFill>
                        <pic:spPr>
                          <a:xfrm>
                            <a:off x="0" y="0"/>
                            <a:ext cx="5232400" cy="2609850"/>
                          </a:xfrm>
                          <a:prstGeom prst="rect">
                            <a:avLst/>
                          </a:prstGeom>
                        </pic:spPr>
                      </pic:pic>
                    </a:graphicData>
                  </a:graphic>
                </wp:inline>
              </w:drawing>
            </w:r>
          </w:p>
          <w:p w14:paraId="2EDA6FEF">
            <w:pPr>
              <w:spacing w:line="360" w:lineRule="auto"/>
              <w:jc w:val="center"/>
              <w:rPr>
                <w:b/>
                <w:bCs/>
                <w:color w:val="auto"/>
              </w:rPr>
            </w:pPr>
            <w:r>
              <w:rPr>
                <w:rFonts w:hint="eastAsia"/>
                <w:b/>
                <w:bCs/>
                <w:color w:val="auto"/>
              </w:rPr>
              <w:t>图5-1 “泥浆不落地”工艺原理示意图</w:t>
            </w:r>
          </w:p>
          <w:p w14:paraId="0D04F32D">
            <w:pPr>
              <w:spacing w:line="360" w:lineRule="auto"/>
              <w:ind w:firstLine="480" w:firstLineChars="200"/>
              <w:rPr>
                <w:color w:val="auto"/>
              </w:rPr>
            </w:pPr>
            <w:r>
              <w:rPr>
                <w:rFonts w:hint="eastAsia"/>
                <w:color w:val="auto"/>
              </w:rPr>
              <w:t>（</w:t>
            </w:r>
            <w:r>
              <w:rPr>
                <w:color w:val="auto"/>
              </w:rPr>
              <w:t>5</w:t>
            </w:r>
            <w:r>
              <w:rPr>
                <w:rFonts w:hint="eastAsia"/>
                <w:color w:val="auto"/>
              </w:rPr>
              <w:t>）废水收集及可行性分析</w:t>
            </w:r>
          </w:p>
          <w:p w14:paraId="11F1C68A">
            <w:pPr>
              <w:spacing w:line="360" w:lineRule="auto"/>
              <w:ind w:firstLine="480" w:firstLineChars="200"/>
              <w:rPr>
                <w:color w:val="auto"/>
              </w:rPr>
            </w:pPr>
            <w:r>
              <w:rPr>
                <w:color w:val="auto"/>
              </w:rPr>
              <w:t>钻井期间各类钻井作业</w:t>
            </w:r>
            <w:r>
              <w:rPr>
                <w:rFonts w:hint="eastAsia"/>
                <w:color w:val="auto"/>
              </w:rPr>
              <w:t>循环水</w:t>
            </w:r>
            <w:r>
              <w:rPr>
                <w:color w:val="auto"/>
              </w:rPr>
              <w:t>在</w:t>
            </w:r>
            <w:r>
              <w:rPr>
                <w:rFonts w:hint="eastAsia"/>
                <w:color w:val="auto"/>
              </w:rPr>
              <w:t>循环罐、储备罐</w:t>
            </w:r>
            <w:r>
              <w:rPr>
                <w:color w:val="auto"/>
              </w:rPr>
              <w:t>内暂存</w:t>
            </w:r>
            <w:r>
              <w:rPr>
                <w:rFonts w:hint="eastAsia"/>
                <w:color w:val="auto"/>
              </w:rPr>
              <w:t>。</w:t>
            </w:r>
            <w:r>
              <w:rPr>
                <w:color w:val="auto"/>
              </w:rPr>
              <w:t>钻井废水</w:t>
            </w:r>
            <w:r>
              <w:rPr>
                <w:rFonts w:hint="eastAsia"/>
                <w:color w:val="auto"/>
              </w:rPr>
              <w:t>产生量为4480.36m</w:t>
            </w:r>
            <w:r>
              <w:rPr>
                <w:rFonts w:hint="eastAsia"/>
                <w:color w:val="auto"/>
                <w:vertAlign w:val="superscript"/>
              </w:rPr>
              <w:t>3</w:t>
            </w:r>
            <w:r>
              <w:rPr>
                <w:rFonts w:hint="eastAsia"/>
                <w:color w:val="auto"/>
              </w:rPr>
              <w:t>，全部进入泥浆循环系统进行固液分离，产生的水基泥浆全部由钻井队回收利用，滤液全部回用于钻井用水；完成一口井洗井产生</w:t>
            </w:r>
            <w:r>
              <w:rPr>
                <w:rFonts w:hint="eastAsia"/>
                <w:color w:val="auto"/>
                <w:lang w:val="en-US" w:eastAsia="zh-CN"/>
              </w:rPr>
              <w:t>的</w:t>
            </w:r>
            <w:r>
              <w:rPr>
                <w:rFonts w:hint="eastAsia"/>
                <w:color w:val="auto"/>
              </w:rPr>
              <w:t>洗井废水量为180m</w:t>
            </w:r>
            <w:r>
              <w:rPr>
                <w:rFonts w:hint="eastAsia"/>
                <w:color w:val="auto"/>
                <w:vertAlign w:val="superscript"/>
              </w:rPr>
              <w:t>3</w:t>
            </w:r>
            <w:r>
              <w:rPr>
                <w:rFonts w:hint="eastAsia"/>
                <w:color w:val="auto"/>
                <w:vertAlign w:val="baseline"/>
                <w:lang w:eastAsia="zh-CN"/>
              </w:rPr>
              <w:t>，</w:t>
            </w:r>
            <w:r>
              <w:rPr>
                <w:rFonts w:hint="eastAsia"/>
                <w:color w:val="auto"/>
              </w:rPr>
              <w:t>收集于污水池</w:t>
            </w:r>
            <w:r>
              <w:rPr>
                <w:rFonts w:hint="eastAsia"/>
                <w:color w:val="auto"/>
                <w:lang w:eastAsia="zh-CN"/>
              </w:rPr>
              <w:t>，</w:t>
            </w:r>
            <w:r>
              <w:rPr>
                <w:rFonts w:hint="eastAsia"/>
                <w:color w:val="auto"/>
                <w:lang w:val="en-US" w:eastAsia="zh-CN"/>
              </w:rPr>
              <w:t>后回用于洗井用水</w:t>
            </w:r>
            <w:r>
              <w:rPr>
                <w:rFonts w:hint="eastAsia"/>
                <w:color w:val="auto"/>
              </w:rPr>
              <w:t>；场地初期雨水产生量为154.00</w:t>
            </w:r>
            <w:r>
              <w:rPr>
                <w:color w:val="auto"/>
              </w:rPr>
              <w:t>m</w:t>
            </w:r>
            <w:r>
              <w:rPr>
                <w:color w:val="auto"/>
                <w:vertAlign w:val="superscript"/>
              </w:rPr>
              <w:t>3</w:t>
            </w:r>
            <w:r>
              <w:rPr>
                <w:rFonts w:hint="eastAsia"/>
                <w:color w:val="auto"/>
              </w:rPr>
              <w:t>/次，收集后暂存于集液池，集液池容量为200</w:t>
            </w:r>
            <w:r>
              <w:rPr>
                <w:color w:val="auto"/>
              </w:rPr>
              <w:t>m</w:t>
            </w:r>
            <w:r>
              <w:rPr>
                <w:color w:val="auto"/>
                <w:vertAlign w:val="superscript"/>
              </w:rPr>
              <w:t>3</w:t>
            </w:r>
            <w:r>
              <w:rPr>
                <w:rFonts w:hint="eastAsia"/>
                <w:color w:val="auto"/>
              </w:rPr>
              <w:t>，定期泵往污水池；则一次进入污水池最大的废水量为</w:t>
            </w:r>
            <w:r>
              <w:rPr>
                <w:rFonts w:hint="eastAsia"/>
                <w:color w:val="auto"/>
                <w:lang w:val="en-US" w:eastAsia="zh-CN"/>
              </w:rPr>
              <w:t>180</w:t>
            </w:r>
            <w:r>
              <w:rPr>
                <w:color w:val="auto"/>
              </w:rPr>
              <w:t>m</w:t>
            </w:r>
            <w:r>
              <w:rPr>
                <w:color w:val="auto"/>
                <w:vertAlign w:val="superscript"/>
              </w:rPr>
              <w:t>3</w:t>
            </w:r>
            <w:r>
              <w:rPr>
                <w:color w:val="auto"/>
              </w:rPr>
              <w:t>，</w:t>
            </w:r>
            <w:r>
              <w:rPr>
                <w:rFonts w:hint="eastAsia"/>
                <w:color w:val="auto"/>
              </w:rPr>
              <w:t>污水池最大容积为300</w:t>
            </w:r>
            <w:r>
              <w:rPr>
                <w:color w:val="auto"/>
              </w:rPr>
              <w:t>m</w:t>
            </w:r>
            <w:r>
              <w:rPr>
                <w:color w:val="auto"/>
                <w:vertAlign w:val="superscript"/>
              </w:rPr>
              <w:t>3</w:t>
            </w:r>
            <w:r>
              <w:rPr>
                <w:rFonts w:hint="eastAsia"/>
                <w:color w:val="auto"/>
              </w:rPr>
              <w:t>，能够容纳一定量的废水，将用于压裂液配置。试压废水产生量为120m</w:t>
            </w:r>
            <w:r>
              <w:rPr>
                <w:rFonts w:hint="eastAsia"/>
                <w:color w:val="auto"/>
                <w:vertAlign w:val="superscript"/>
              </w:rPr>
              <w:t>3</w:t>
            </w:r>
            <w:r>
              <w:rPr>
                <w:rFonts w:hint="eastAsia"/>
                <w:color w:val="auto"/>
              </w:rPr>
              <w:t>，暂存在储备罐中，用于洒水降尘，</w:t>
            </w:r>
            <w:r>
              <w:rPr>
                <w:color w:val="auto"/>
              </w:rPr>
              <w:t>若发生事故或调配不及的情况，可临时暂存于井场的</w:t>
            </w:r>
            <w:r>
              <w:rPr>
                <w:rFonts w:hint="eastAsia"/>
                <w:color w:val="auto"/>
              </w:rPr>
              <w:t>污水池</w:t>
            </w:r>
            <w:r>
              <w:rPr>
                <w:color w:val="auto"/>
              </w:rPr>
              <w:t>中，可有效满足钻井期间废水的贮存需要，避免废水外溢污染事故。</w:t>
            </w:r>
          </w:p>
          <w:p w14:paraId="035A50A9">
            <w:pPr>
              <w:spacing w:line="360" w:lineRule="auto"/>
              <w:ind w:firstLine="480" w:firstLineChars="200"/>
              <w:rPr>
                <w:color w:val="auto"/>
              </w:rPr>
            </w:pPr>
            <w:r>
              <w:rPr>
                <w:rFonts w:hint="eastAsia"/>
                <w:color w:val="auto"/>
              </w:rPr>
              <w:t>（5）废水转运管理要求</w:t>
            </w:r>
          </w:p>
          <w:p w14:paraId="3AD52389">
            <w:pPr>
              <w:spacing w:line="360" w:lineRule="auto"/>
              <w:ind w:firstLine="480" w:firstLineChars="200"/>
              <w:rPr>
                <w:color w:val="auto"/>
              </w:rPr>
            </w:pPr>
            <w:r>
              <w:rPr>
                <w:color w:val="auto"/>
              </w:rPr>
              <w:t>项目提出以下废水转运的管理措施为：</w:t>
            </w:r>
          </w:p>
          <w:p w14:paraId="1DC104D4">
            <w:pPr>
              <w:spacing w:line="360" w:lineRule="auto"/>
              <w:ind w:firstLine="480" w:firstLineChars="200"/>
              <w:rPr>
                <w:color w:val="auto"/>
              </w:rPr>
            </w:pPr>
            <w:r>
              <w:rPr>
                <w:rFonts w:hint="eastAsia"/>
                <w:color w:val="auto"/>
              </w:rPr>
              <w:t>1）</w:t>
            </w:r>
            <w:r>
              <w:rPr>
                <w:color w:val="auto"/>
              </w:rPr>
              <w:t>废水转运时采取罐车密闭输送</w:t>
            </w:r>
            <w:r>
              <w:rPr>
                <w:rFonts w:hint="eastAsia"/>
                <w:color w:val="auto"/>
              </w:rPr>
              <w:t>，</w:t>
            </w:r>
            <w:r>
              <w:rPr>
                <w:color w:val="auto"/>
              </w:rPr>
              <w:t>做好转运台账，严格实施交接清单制度</w:t>
            </w:r>
            <w:r>
              <w:rPr>
                <w:rFonts w:hint="eastAsia"/>
                <w:color w:val="auto"/>
              </w:rPr>
              <w:t>。</w:t>
            </w:r>
          </w:p>
          <w:p w14:paraId="10E30C7D">
            <w:pPr>
              <w:spacing w:line="360" w:lineRule="auto"/>
              <w:ind w:firstLine="480" w:firstLineChars="200"/>
              <w:rPr>
                <w:color w:val="auto"/>
              </w:rPr>
            </w:pPr>
            <w:r>
              <w:rPr>
                <w:rFonts w:hint="eastAsia"/>
                <w:color w:val="auto"/>
              </w:rPr>
              <w:t>2）</w:t>
            </w:r>
            <w:r>
              <w:rPr>
                <w:color w:val="auto"/>
              </w:rPr>
              <w:t>运输过程中应当严格根据已经选定的转运路线进行转运，不得擅自更改运输路线，从而增加环境风险。</w:t>
            </w:r>
          </w:p>
          <w:p w14:paraId="7162D838">
            <w:pPr>
              <w:spacing w:line="360" w:lineRule="auto"/>
              <w:ind w:firstLine="480" w:firstLineChars="200"/>
              <w:rPr>
                <w:color w:val="auto"/>
              </w:rPr>
            </w:pPr>
            <w:r>
              <w:rPr>
                <w:rFonts w:hint="eastAsia"/>
                <w:color w:val="auto"/>
              </w:rPr>
              <w:t>3）</w:t>
            </w:r>
            <w:r>
              <w:rPr>
                <w:color w:val="auto"/>
              </w:rPr>
              <w:t>废水承运单位在开展运输工作之前，应对运输人员进行相关安全环保知识培训，废水运输车辆、装卸工具必须符合安全环保要求，装卸和运输废水过程中不得溢出和渗漏。严禁任意倾倒、排放或向第三方转移废水。</w:t>
            </w:r>
          </w:p>
          <w:p w14:paraId="780DE11D">
            <w:pPr>
              <w:spacing w:line="360" w:lineRule="auto"/>
              <w:ind w:firstLine="480" w:firstLineChars="200"/>
              <w:rPr>
                <w:color w:val="auto"/>
              </w:rPr>
            </w:pPr>
            <w:r>
              <w:rPr>
                <w:rFonts w:hint="eastAsia"/>
                <w:color w:val="auto"/>
              </w:rPr>
              <w:t>4）</w:t>
            </w:r>
            <w:r>
              <w:rPr>
                <w:color w:val="auto"/>
              </w:rPr>
              <w:t>废水承运人员进入井场装卸废水，必须遵守</w:t>
            </w:r>
            <w:r>
              <w:rPr>
                <w:rFonts w:hint="eastAsia"/>
                <w:color w:val="auto"/>
              </w:rPr>
              <w:t>接纳单位</w:t>
            </w:r>
            <w:r>
              <w:rPr>
                <w:color w:val="auto"/>
              </w:rPr>
              <w:t>的有关安全环保管理规定，并服从井站值班人员的管理，不得擅自进入生产装置区和操作井场设备设施。</w:t>
            </w:r>
          </w:p>
          <w:p w14:paraId="478210A4">
            <w:pPr>
              <w:spacing w:line="360" w:lineRule="auto"/>
              <w:ind w:firstLine="480" w:firstLineChars="200"/>
              <w:rPr>
                <w:color w:val="auto"/>
              </w:rPr>
            </w:pPr>
            <w:r>
              <w:rPr>
                <w:rFonts w:hint="eastAsia"/>
                <w:color w:val="auto"/>
              </w:rPr>
              <w:t>5）</w:t>
            </w:r>
            <w:r>
              <w:rPr>
                <w:color w:val="auto"/>
              </w:rPr>
              <w:t>废水车辆运输严格执行签认制度。签认单复印件报属地管理单位安全部门和承运单位备查，保存期不得少于二年。</w:t>
            </w:r>
          </w:p>
          <w:p w14:paraId="63C54E33">
            <w:pPr>
              <w:spacing w:line="360" w:lineRule="auto"/>
              <w:ind w:firstLine="480" w:firstLineChars="200"/>
              <w:rPr>
                <w:color w:val="auto"/>
              </w:rPr>
            </w:pPr>
            <w:r>
              <w:rPr>
                <w:rFonts w:hint="eastAsia"/>
                <w:color w:val="auto"/>
              </w:rPr>
              <w:t>6）</w:t>
            </w:r>
            <w:r>
              <w:rPr>
                <w:color w:val="auto"/>
              </w:rPr>
              <w:t>尽量避免在雨天和大雾天转运。</w:t>
            </w:r>
          </w:p>
          <w:p w14:paraId="2355E693">
            <w:pPr>
              <w:spacing w:line="360" w:lineRule="auto"/>
              <w:ind w:firstLine="480" w:firstLineChars="200"/>
              <w:rPr>
                <w:color w:val="auto"/>
              </w:rPr>
            </w:pPr>
            <w:r>
              <w:rPr>
                <w:rFonts w:hint="eastAsia"/>
                <w:color w:val="auto"/>
              </w:rPr>
              <w:t>7）</w:t>
            </w:r>
            <w:r>
              <w:rPr>
                <w:color w:val="auto"/>
              </w:rPr>
              <w:t>根据废水处置期间周边其他废水接纳单位处置情况，尽量优先选择邻近的废水接纳单位进行转运，减小运输途中中发生意外的风险。</w:t>
            </w:r>
          </w:p>
          <w:p w14:paraId="317B6C65">
            <w:pPr>
              <w:spacing w:line="360" w:lineRule="auto"/>
              <w:ind w:firstLine="480" w:firstLineChars="200"/>
              <w:rPr>
                <w:color w:val="auto"/>
              </w:rPr>
            </w:pPr>
            <w:r>
              <w:rPr>
                <w:rFonts w:hint="eastAsia"/>
                <w:color w:val="auto"/>
              </w:rPr>
              <w:t>8）</w:t>
            </w:r>
            <w:r>
              <w:rPr>
                <w:color w:val="auto"/>
              </w:rPr>
              <w:t>废水转运前应及时通知当地生态环境局，以便生态环境部门监督管理</w:t>
            </w:r>
            <w:r>
              <w:rPr>
                <w:rFonts w:hint="eastAsia"/>
                <w:color w:val="auto"/>
              </w:rPr>
              <w:t>。</w:t>
            </w:r>
          </w:p>
          <w:p w14:paraId="66FA341C">
            <w:pPr>
              <w:spacing w:line="360" w:lineRule="auto"/>
              <w:ind w:firstLine="480" w:firstLineChars="200"/>
              <w:rPr>
                <w:color w:val="auto"/>
              </w:rPr>
            </w:pPr>
            <w:r>
              <w:rPr>
                <w:rFonts w:hint="eastAsia"/>
                <w:color w:val="auto"/>
              </w:rPr>
              <w:t>（6）依托污水处理单位可行性分析</w:t>
            </w:r>
          </w:p>
          <w:p w14:paraId="27ADF2B6">
            <w:pPr>
              <w:spacing w:line="360" w:lineRule="auto"/>
              <w:ind w:firstLine="480" w:firstLineChars="200"/>
              <w:rPr>
                <w:color w:val="auto"/>
              </w:rPr>
            </w:pPr>
            <w:r>
              <w:rPr>
                <w:rFonts w:hint="eastAsia"/>
                <w:color w:val="auto"/>
              </w:rPr>
              <w:t>本项目在开工前与污水处理单位签订协议，该污水处理单位需有能力处理项目产生的生产废水。</w:t>
            </w:r>
          </w:p>
          <w:p w14:paraId="5744F01B">
            <w:pPr>
              <w:spacing w:line="360" w:lineRule="auto"/>
              <w:rPr>
                <w:b/>
                <w:bCs/>
                <w:color w:val="auto"/>
                <w:spacing w:val="9"/>
                <w:szCs w:val="23"/>
              </w:rPr>
            </w:pPr>
            <w:r>
              <w:rPr>
                <w:b/>
                <w:bCs/>
                <w:color w:val="auto"/>
                <w:spacing w:val="9"/>
                <w:szCs w:val="23"/>
              </w:rPr>
              <w:t>2</w:t>
            </w:r>
            <w:r>
              <w:rPr>
                <w:rFonts w:hint="eastAsia"/>
                <w:b/>
                <w:bCs/>
                <w:color w:val="auto"/>
                <w:spacing w:val="9"/>
                <w:szCs w:val="23"/>
              </w:rPr>
              <w:t>.2废气污染防治措施</w:t>
            </w:r>
          </w:p>
          <w:p w14:paraId="0ABC1A4C">
            <w:pPr>
              <w:spacing w:line="360" w:lineRule="auto"/>
              <w:ind w:firstLine="516" w:firstLineChars="200"/>
              <w:rPr>
                <w:color w:val="auto"/>
                <w:spacing w:val="9"/>
                <w:szCs w:val="23"/>
              </w:rPr>
            </w:pPr>
            <w:r>
              <w:rPr>
                <w:rFonts w:hint="eastAsia"/>
                <w:color w:val="auto"/>
                <w:spacing w:val="9"/>
                <w:szCs w:val="23"/>
              </w:rPr>
              <w:t>（1）柴油发电机组废气</w:t>
            </w:r>
          </w:p>
          <w:p w14:paraId="6D498AF5">
            <w:pPr>
              <w:spacing w:line="360" w:lineRule="auto"/>
              <w:ind w:firstLine="516" w:firstLineChars="200"/>
              <w:rPr>
                <w:color w:val="auto"/>
                <w:spacing w:val="9"/>
                <w:szCs w:val="23"/>
              </w:rPr>
            </w:pPr>
            <w:r>
              <w:rPr>
                <w:color w:val="auto"/>
                <w:spacing w:val="9"/>
                <w:szCs w:val="23"/>
              </w:rPr>
              <w:t>项目柴油机及发电机产生的大气污染物浓度低，污染物排放量小，且柴油发电机组为成套产品，通过定期对柴油发电机组进行维护保养，使用合格的轻质环保型柴油</w:t>
            </w:r>
            <w:r>
              <w:rPr>
                <w:rFonts w:hint="eastAsia"/>
                <w:color w:val="auto"/>
                <w:spacing w:val="9"/>
                <w:szCs w:val="23"/>
              </w:rPr>
              <w:t>，</w:t>
            </w:r>
            <w:r>
              <w:rPr>
                <w:color w:val="auto"/>
                <w:spacing w:val="9"/>
                <w:szCs w:val="23"/>
              </w:rPr>
              <w:t>柴油发电机组排放的废气通过大气自由扩散后，对区域大气环境影响小。</w:t>
            </w:r>
          </w:p>
          <w:p w14:paraId="3964BF6E">
            <w:pPr>
              <w:spacing w:line="360" w:lineRule="auto"/>
              <w:ind w:firstLine="480" w:firstLineChars="200"/>
              <w:rPr>
                <w:color w:val="auto"/>
              </w:rPr>
            </w:pPr>
            <w:r>
              <w:rPr>
                <w:rFonts w:hint="eastAsia"/>
                <w:color w:val="auto"/>
              </w:rPr>
              <w:t>（2）</w:t>
            </w:r>
            <w:r>
              <w:rPr>
                <w:color w:val="auto"/>
              </w:rPr>
              <w:t>测试放喷废气</w:t>
            </w:r>
          </w:p>
          <w:p w14:paraId="6910C47D">
            <w:pPr>
              <w:spacing w:line="360" w:lineRule="auto"/>
              <w:ind w:firstLine="480" w:firstLineChars="200"/>
              <w:rPr>
                <w:color w:val="auto"/>
              </w:rPr>
            </w:pPr>
            <w:r>
              <w:rPr>
                <w:color w:val="auto"/>
              </w:rPr>
              <w:t>放喷废气来自测试放喷过程中</w:t>
            </w:r>
            <w:r>
              <w:rPr>
                <w:rFonts w:hint="eastAsia"/>
                <w:color w:val="auto"/>
              </w:rPr>
              <w:t>页岩气</w:t>
            </w:r>
            <w:r>
              <w:rPr>
                <w:color w:val="auto"/>
              </w:rPr>
              <w:t>采用空中灼烧降低废气的毒性，放喷废气通过燃烧后进行排放，</w:t>
            </w:r>
            <w:r>
              <w:rPr>
                <w:rFonts w:hint="eastAsia"/>
                <w:color w:val="auto"/>
              </w:rPr>
              <w:t>单井每次测试放喷时间约1~2天，单次测试放喷时间约4~6h</w:t>
            </w:r>
            <w:r>
              <w:rPr>
                <w:color w:val="auto"/>
              </w:rPr>
              <w:t>。本项目气井为不含硫化氢井，</w:t>
            </w:r>
            <w:r>
              <w:rPr>
                <w:rFonts w:hint="eastAsia"/>
                <w:color w:val="auto"/>
              </w:rPr>
              <w:t>页岩气</w:t>
            </w:r>
            <w:r>
              <w:rPr>
                <w:color w:val="auto"/>
              </w:rPr>
              <w:t>中的主要污染物为烃类</w:t>
            </w:r>
            <w:r>
              <w:rPr>
                <w:rFonts w:hint="eastAsia"/>
                <w:color w:val="auto"/>
              </w:rPr>
              <w:t>，</w:t>
            </w:r>
            <w:r>
              <w:rPr>
                <w:color w:val="auto"/>
              </w:rPr>
              <w:t>燃烧后主要污染物为NO</w:t>
            </w:r>
            <w:r>
              <w:rPr>
                <w:color w:val="auto"/>
                <w:vertAlign w:val="subscript"/>
              </w:rPr>
              <w:t>x</w:t>
            </w:r>
            <w:r>
              <w:rPr>
                <w:color w:val="auto"/>
              </w:rPr>
              <w:t>、CO</w:t>
            </w:r>
            <w:r>
              <w:rPr>
                <w:color w:val="auto"/>
                <w:vertAlign w:val="subscript"/>
              </w:rPr>
              <w:t>2</w:t>
            </w:r>
            <w:r>
              <w:rPr>
                <w:color w:val="auto"/>
              </w:rPr>
              <w:t>、H</w:t>
            </w:r>
            <w:r>
              <w:rPr>
                <w:color w:val="auto"/>
                <w:vertAlign w:val="subscript"/>
              </w:rPr>
              <w:t>2</w:t>
            </w:r>
            <w:r>
              <w:rPr>
                <w:color w:val="auto"/>
              </w:rPr>
              <w:t>O。故在严格执行《石油天然气钻井、开发、储运、防火防爆安全生产技术规程》</w:t>
            </w:r>
            <w:r>
              <w:rPr>
                <w:rFonts w:hint="eastAsia"/>
                <w:color w:val="auto"/>
              </w:rPr>
              <w:t>（</w:t>
            </w:r>
            <w:r>
              <w:rPr>
                <w:color w:val="auto"/>
              </w:rPr>
              <w:t>SY5225-2012</w:t>
            </w:r>
            <w:r>
              <w:rPr>
                <w:rFonts w:hint="eastAsia"/>
                <w:color w:val="auto"/>
              </w:rPr>
              <w:t>）</w:t>
            </w:r>
            <w:r>
              <w:rPr>
                <w:color w:val="auto"/>
              </w:rPr>
              <w:t>关于放喷池选址要求及放喷撤离要求的前提下，项目测试放喷废气对周边环境产生的影响可接受，采取的措施能满足环保要求。</w:t>
            </w:r>
          </w:p>
          <w:p w14:paraId="434ECDF8">
            <w:pPr>
              <w:spacing w:line="360" w:lineRule="auto"/>
              <w:rPr>
                <w:b/>
                <w:bCs/>
                <w:color w:val="auto"/>
              </w:rPr>
            </w:pPr>
            <w:r>
              <w:rPr>
                <w:b/>
                <w:bCs/>
                <w:color w:val="auto"/>
              </w:rPr>
              <w:t>2</w:t>
            </w:r>
            <w:r>
              <w:rPr>
                <w:rFonts w:hint="eastAsia"/>
                <w:b/>
                <w:bCs/>
                <w:color w:val="auto"/>
              </w:rPr>
              <w:t>.3噪声污染防治措施</w:t>
            </w:r>
          </w:p>
          <w:p w14:paraId="414085C6">
            <w:pPr>
              <w:spacing w:line="360" w:lineRule="auto"/>
              <w:ind w:firstLine="480" w:firstLineChars="200"/>
              <w:rPr>
                <w:color w:val="auto"/>
              </w:rPr>
            </w:pPr>
            <w:r>
              <w:rPr>
                <w:rFonts w:hint="eastAsia"/>
                <w:color w:val="auto"/>
              </w:rPr>
              <w:t>（1）施工单位必须选用符合国家标准的施工机具和运输车辆，尽量选用低噪声的施工机械和工艺，在钻井设备选型时选取高效低噪声设备，设备基础采用减振阻尼材料敷设。</w:t>
            </w:r>
          </w:p>
          <w:p w14:paraId="6358DF3C">
            <w:pPr>
              <w:spacing w:line="360" w:lineRule="auto"/>
              <w:ind w:firstLine="480" w:firstLineChars="200"/>
              <w:rPr>
                <w:color w:val="auto"/>
              </w:rPr>
            </w:pPr>
            <w:r>
              <w:rPr>
                <w:rFonts w:hint="eastAsia"/>
                <w:color w:val="auto"/>
              </w:rPr>
              <w:t>（2）合理布局，降低噪声影响：将发电机等高噪声设备尽量靠近场地中间布置，并将材料堆放间等布置在发电机外围，通过增加衰减距离和建筑隔声，降低高噪声设备的噪声影响范围。</w:t>
            </w:r>
          </w:p>
          <w:p w14:paraId="6378E69F">
            <w:pPr>
              <w:spacing w:line="360" w:lineRule="auto"/>
              <w:ind w:firstLine="480" w:firstLineChars="200"/>
              <w:rPr>
                <w:color w:val="auto"/>
              </w:rPr>
            </w:pPr>
            <w:r>
              <w:rPr>
                <w:rFonts w:hint="eastAsia"/>
                <w:color w:val="auto"/>
              </w:rPr>
              <w:t>（3）加强各类施工设备的维护和保养，保持其良好的工况，以便从根本上降低噪声源强设。</w:t>
            </w:r>
          </w:p>
          <w:p w14:paraId="30345C32">
            <w:pPr>
              <w:spacing w:line="360" w:lineRule="auto"/>
              <w:ind w:firstLine="480" w:firstLineChars="200"/>
              <w:rPr>
                <w:color w:val="auto"/>
              </w:rPr>
            </w:pPr>
            <w:r>
              <w:rPr>
                <w:rFonts w:hint="eastAsia"/>
                <w:color w:val="auto"/>
              </w:rPr>
              <w:t>（4）柴油机布置在专用发电机房内，发电机房内部设置隔声材料（隔声棉、隔声板）作为内衬。</w:t>
            </w:r>
          </w:p>
          <w:p w14:paraId="63C1BC5C">
            <w:pPr>
              <w:spacing w:line="360" w:lineRule="auto"/>
              <w:ind w:firstLine="480" w:firstLineChars="200"/>
              <w:rPr>
                <w:color w:val="auto"/>
              </w:rPr>
            </w:pPr>
            <w:r>
              <w:rPr>
                <w:rFonts w:hint="eastAsia"/>
                <w:color w:val="auto"/>
              </w:rPr>
              <w:t>（5）测试放喷时产生的高压气流噪声源强为100dB（A），持续时间短，通过放喷池放喷，可以降低一定的噪声，测试放喷噪声影响是暂时的。施工过程若实际施工噪声较大，造成扰民现象，建设单位应在开钻前与当地村委会、居民提前沟通，做好宣传、解释及安抚工作，以取得农户谅解，避免环保纠纷和投诉。</w:t>
            </w:r>
          </w:p>
          <w:p w14:paraId="1A63F93B">
            <w:pPr>
              <w:spacing w:line="360" w:lineRule="auto"/>
              <w:rPr>
                <w:b/>
                <w:bCs/>
                <w:color w:val="auto"/>
              </w:rPr>
            </w:pPr>
            <w:r>
              <w:rPr>
                <w:b/>
                <w:bCs/>
                <w:color w:val="auto"/>
              </w:rPr>
              <w:t>2</w:t>
            </w:r>
            <w:r>
              <w:rPr>
                <w:rFonts w:hint="eastAsia"/>
                <w:b/>
                <w:bCs/>
                <w:color w:val="auto"/>
              </w:rPr>
              <w:t>.4固废污染防治措施</w:t>
            </w:r>
          </w:p>
          <w:p w14:paraId="085CFDD1">
            <w:pPr>
              <w:spacing w:line="360" w:lineRule="auto"/>
              <w:ind w:firstLine="480" w:firstLineChars="200"/>
              <w:rPr>
                <w:color w:val="auto"/>
              </w:rPr>
            </w:pPr>
            <w:r>
              <w:rPr>
                <w:rFonts w:hint="eastAsia"/>
                <w:color w:val="auto"/>
              </w:rPr>
              <w:t>（1）一般工业固体废物</w:t>
            </w:r>
          </w:p>
          <w:p w14:paraId="7281E2EF">
            <w:pPr>
              <w:spacing w:line="360" w:lineRule="auto"/>
              <w:ind w:firstLine="480" w:firstLineChars="200"/>
              <w:rPr>
                <w:color w:val="auto"/>
              </w:rPr>
            </w:pPr>
            <w:r>
              <w:rPr>
                <w:rFonts w:hint="eastAsia"/>
                <w:color w:val="auto"/>
              </w:rPr>
              <w:t>本项目钻井作业产生一般工业固体废物主要有水基钻井岩屑、剩余水基泥浆、泥渣、生活垃圾等。钻井过程中产生的水基岩屑采用“泥浆不落地”工艺即随钻随处置治理原则，水基岩屑暂存在清洁化操作平台岩屑暂存区，剩余水基泥浆由钻井队回收，随钻井队用于后续钻井工程。水基岩屑产生量为657.29t，完成导管、一开、二开开次所用天数为150天，则日均产生水基岩屑4.38t；在钻井过程中清水和水基钻井液罐、压井水泥罐等的清掏会产生泥渣，泥渣最大产生量为120t，整个钻井周期均有泥渣产生，则日均泥渣产生量为0.36t；清洁化操作平台岩屑暂存区面积为50m</w:t>
            </w:r>
            <w:r>
              <w:rPr>
                <w:rFonts w:hint="eastAsia"/>
                <w:color w:val="auto"/>
                <w:vertAlign w:val="superscript"/>
              </w:rPr>
              <w:t>2</w:t>
            </w:r>
            <w:r>
              <w:rPr>
                <w:rFonts w:hint="eastAsia"/>
                <w:color w:val="auto"/>
              </w:rPr>
              <w:t>，岩屑暂存区最大容纳量为42t，岩屑暂存区能够容纳每天产出的水基岩屑、泥渣，当超出最大容纳量，建设单位需根据场内堆存情况及时安排外运处置，两周运送一次，确保场内有富余足够的堆存能力。</w:t>
            </w:r>
          </w:p>
          <w:p w14:paraId="7BEBEAE0">
            <w:pPr>
              <w:spacing w:line="360" w:lineRule="auto"/>
              <w:ind w:firstLine="480" w:firstLineChars="200"/>
              <w:rPr>
                <w:color w:val="auto"/>
              </w:rPr>
            </w:pPr>
            <w:r>
              <w:rPr>
                <w:rFonts w:hint="eastAsia"/>
                <w:color w:val="auto"/>
              </w:rPr>
              <w:t>废弃包装物产生总量为1.48t，暂存在垃圾池中，定期由物资公司回收处置。垃圾池占地面积7m</w:t>
            </w:r>
            <w:r>
              <w:rPr>
                <w:rFonts w:hint="eastAsia"/>
                <w:color w:val="auto"/>
                <w:vertAlign w:val="superscript"/>
              </w:rPr>
              <w:t>2</w:t>
            </w:r>
            <w:r>
              <w:rPr>
                <w:rFonts w:hint="eastAsia"/>
                <w:color w:val="auto"/>
              </w:rPr>
              <w:t>，容积约2t，可满足废弃包装物、生活垃圾的储存要求。岩屑暂存区、垃圾池需满足《一般工业固体废物贮存和填埋污染控制标准》（GB18599-2020）的要求采取防渗措施。此外，建设单位需按照《一般工业固体废物管理台账制定指南（试行）》（生态环境部公告2021年第82号）建立一般工业固体废物台账。为减少固废运输风险，遵循就近处置原则，本项目产生的水基岩屑等固体废物外委周边制砖厂家等进行资源化利用。</w:t>
            </w:r>
          </w:p>
          <w:p w14:paraId="249E7D8D">
            <w:pPr>
              <w:spacing w:line="360" w:lineRule="auto"/>
              <w:ind w:firstLine="480" w:firstLineChars="200"/>
              <w:rPr>
                <w:color w:val="auto"/>
              </w:rPr>
            </w:pPr>
            <w:r>
              <w:rPr>
                <w:rFonts w:hint="eastAsia"/>
                <w:color w:val="auto"/>
              </w:rPr>
              <w:t>（2）危险废物</w:t>
            </w:r>
          </w:p>
          <w:p w14:paraId="6F434C88">
            <w:pPr>
              <w:spacing w:line="360" w:lineRule="auto"/>
              <w:ind w:firstLine="480" w:firstLineChars="200"/>
              <w:rPr>
                <w:color w:val="auto"/>
              </w:rPr>
            </w:pPr>
            <w:r>
              <w:rPr>
                <w:color w:val="auto"/>
                <w:lang w:val="zh-CN"/>
              </w:rPr>
              <w:t>根据</w:t>
            </w:r>
            <w:r>
              <w:rPr>
                <w:rFonts w:hint="eastAsia"/>
                <w:color w:val="auto"/>
                <w:lang w:val="zh-CN"/>
              </w:rPr>
              <w:t>《危险废物贮存污染控制标准》（GB18597-2023）</w:t>
            </w:r>
            <w:r>
              <w:rPr>
                <w:color w:val="auto"/>
                <w:lang w:val="zh-CN"/>
              </w:rPr>
              <w:t>相关要求建设废物贮存设施，并按照《环境保护图形标志－固体废物贮存(处置)场》(GB15562.2-1995)</w:t>
            </w:r>
            <w:r>
              <w:rPr>
                <w:rFonts w:hint="eastAsia"/>
                <w:color w:val="auto"/>
              </w:rPr>
              <w:t>及修改单</w:t>
            </w:r>
            <w:r>
              <w:rPr>
                <w:color w:val="auto"/>
                <w:lang w:val="zh-CN"/>
              </w:rPr>
              <w:t>设立专用标志。</w:t>
            </w:r>
            <w:r>
              <w:rPr>
                <w:rFonts w:hint="eastAsia"/>
                <w:color w:val="auto"/>
              </w:rPr>
              <w:t>建设单位在井场西侧</w:t>
            </w:r>
            <w:r>
              <w:rPr>
                <w:color w:val="auto"/>
                <w:lang w:val="zh-CN"/>
              </w:rPr>
              <w:t>设置</w:t>
            </w:r>
            <w:r>
              <w:rPr>
                <w:rFonts w:hint="eastAsia"/>
                <w:color w:val="auto"/>
              </w:rPr>
              <w:t>#1危废暂存间</w:t>
            </w:r>
            <w:r>
              <w:rPr>
                <w:color w:val="auto"/>
                <w:lang w:val="zh-CN"/>
              </w:rPr>
              <w:t>，占地面积约</w:t>
            </w:r>
            <w:r>
              <w:rPr>
                <w:rFonts w:hint="eastAsia"/>
                <w:color w:val="auto"/>
              </w:rPr>
              <w:t>10</w:t>
            </w:r>
            <w:r>
              <w:rPr>
                <w:color w:val="auto"/>
                <w:lang w:val="zh-CN"/>
              </w:rPr>
              <w:t>m</w:t>
            </w:r>
            <w:r>
              <w:rPr>
                <w:color w:val="auto"/>
                <w:vertAlign w:val="superscript"/>
                <w:lang w:val="zh-CN"/>
              </w:rPr>
              <w:t>2</w:t>
            </w:r>
            <w:r>
              <w:rPr>
                <w:rFonts w:hint="eastAsia"/>
                <w:color w:val="auto"/>
              </w:rPr>
              <w:t>，主要收集废机油、含油抹布、废油桶等危险废物，定期由有危废资质单位负责清运处理。当钻井三开开次时，在岩屑暂存区西侧建立#2危废暂存间，占地面积为40m</w:t>
            </w:r>
            <w:r>
              <w:rPr>
                <w:rFonts w:hint="eastAsia"/>
                <w:color w:val="auto"/>
                <w:vertAlign w:val="superscript"/>
              </w:rPr>
              <w:t>2</w:t>
            </w:r>
            <w:r>
              <w:rPr>
                <w:rFonts w:hint="eastAsia"/>
                <w:color w:val="auto"/>
              </w:rPr>
              <w:t>，用于暂存油基岩屑和剩余油基泥浆，</w:t>
            </w:r>
            <w:r>
              <w:rPr>
                <w:rFonts w:hint="eastAsia"/>
                <w:color w:val="auto"/>
                <w:kern w:val="28"/>
                <w:szCs w:val="21"/>
              </w:rPr>
              <w:t>项目开工前与有资质的处理单位签订协议，定期</w:t>
            </w:r>
            <w:r>
              <w:rPr>
                <w:rFonts w:hint="eastAsia"/>
                <w:color w:val="auto"/>
                <w:szCs w:val="21"/>
              </w:rPr>
              <w:t>交危废资质单位拉运处置。</w:t>
            </w:r>
            <w:r>
              <w:rPr>
                <w:rFonts w:hint="eastAsia"/>
                <w:color w:val="auto"/>
              </w:rPr>
              <w:t>钻井三开开次所用天数为60天，油基岩屑和剩余油基泥浆产生最大量分别为996.60t和720t，则日均产生油基岩屑和剩余油基泥浆的量分别为16.61t和12t。</w:t>
            </w:r>
          </w:p>
          <w:p w14:paraId="03DBF419">
            <w:pPr>
              <w:spacing w:line="360" w:lineRule="auto"/>
              <w:jc w:val="center"/>
              <w:rPr>
                <w:b/>
                <w:bCs/>
                <w:color w:val="auto"/>
                <w:lang w:val="zh-CN"/>
              </w:rPr>
            </w:pPr>
            <w:r>
              <w:rPr>
                <w:rFonts w:hint="eastAsia"/>
                <w:b/>
                <w:bCs/>
                <w:color w:val="auto"/>
                <w:lang w:val="zh-CN"/>
              </w:rPr>
              <w:t>表</w:t>
            </w:r>
            <w:r>
              <w:rPr>
                <w:rFonts w:hint="eastAsia"/>
                <w:b/>
                <w:bCs/>
                <w:color w:val="auto"/>
              </w:rPr>
              <w:t xml:space="preserve">5-1 </w:t>
            </w:r>
            <w:r>
              <w:rPr>
                <w:rFonts w:hint="eastAsia"/>
                <w:b/>
                <w:bCs/>
                <w:color w:val="auto"/>
                <w:lang w:val="zh-CN"/>
              </w:rPr>
              <w:t>危险废物贮存场所（设施）基本情况表</w:t>
            </w:r>
          </w:p>
          <w:tbl>
            <w:tblPr>
              <w:tblStyle w:val="19"/>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4"/>
              <w:gridCol w:w="1097"/>
              <w:gridCol w:w="941"/>
              <w:gridCol w:w="968"/>
              <w:gridCol w:w="770"/>
              <w:gridCol w:w="767"/>
              <w:gridCol w:w="2303"/>
              <w:gridCol w:w="911"/>
            </w:tblGrid>
            <w:tr w14:paraId="3BC759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blHeader/>
                <w:jc w:val="center"/>
              </w:trPr>
              <w:tc>
                <w:tcPr>
                  <w:tcW w:w="294" w:type="pct"/>
                  <w:vAlign w:val="center"/>
                </w:tcPr>
                <w:p w14:paraId="28300BC5">
                  <w:pPr>
                    <w:jc w:val="center"/>
                    <w:rPr>
                      <w:b/>
                      <w:bCs/>
                      <w:color w:val="auto"/>
                      <w:sz w:val="21"/>
                      <w:szCs w:val="21"/>
                    </w:rPr>
                  </w:pPr>
                  <w:r>
                    <w:rPr>
                      <w:b/>
                      <w:bCs/>
                      <w:color w:val="auto"/>
                      <w:sz w:val="21"/>
                      <w:szCs w:val="21"/>
                    </w:rPr>
                    <w:t>序号</w:t>
                  </w:r>
                </w:p>
              </w:tc>
              <w:tc>
                <w:tcPr>
                  <w:tcW w:w="666" w:type="pct"/>
                  <w:vAlign w:val="center"/>
                </w:tcPr>
                <w:p w14:paraId="5640503E">
                  <w:pPr>
                    <w:jc w:val="center"/>
                    <w:rPr>
                      <w:b/>
                      <w:bCs/>
                      <w:color w:val="auto"/>
                      <w:sz w:val="21"/>
                      <w:szCs w:val="21"/>
                    </w:rPr>
                  </w:pPr>
                  <w:r>
                    <w:rPr>
                      <w:b/>
                      <w:bCs/>
                      <w:color w:val="auto"/>
                      <w:sz w:val="21"/>
                      <w:szCs w:val="21"/>
                    </w:rPr>
                    <w:t>贮存场所（设施）名称</w:t>
                  </w:r>
                </w:p>
              </w:tc>
              <w:tc>
                <w:tcPr>
                  <w:tcW w:w="571" w:type="pct"/>
                  <w:vAlign w:val="center"/>
                </w:tcPr>
                <w:p w14:paraId="7C5345E4">
                  <w:pPr>
                    <w:jc w:val="center"/>
                    <w:rPr>
                      <w:b/>
                      <w:bCs/>
                      <w:color w:val="auto"/>
                      <w:sz w:val="21"/>
                      <w:szCs w:val="21"/>
                    </w:rPr>
                  </w:pPr>
                  <w:r>
                    <w:rPr>
                      <w:b/>
                      <w:bCs/>
                      <w:color w:val="auto"/>
                      <w:sz w:val="21"/>
                      <w:szCs w:val="21"/>
                    </w:rPr>
                    <w:t>危险废物名称</w:t>
                  </w:r>
                </w:p>
              </w:tc>
              <w:tc>
                <w:tcPr>
                  <w:tcW w:w="587" w:type="pct"/>
                  <w:vAlign w:val="center"/>
                </w:tcPr>
                <w:p w14:paraId="21AD4732">
                  <w:pPr>
                    <w:jc w:val="center"/>
                    <w:rPr>
                      <w:b/>
                      <w:bCs/>
                      <w:color w:val="auto"/>
                      <w:sz w:val="21"/>
                      <w:szCs w:val="21"/>
                    </w:rPr>
                  </w:pPr>
                  <w:r>
                    <w:rPr>
                      <w:b/>
                      <w:bCs/>
                      <w:color w:val="auto"/>
                      <w:sz w:val="21"/>
                      <w:szCs w:val="21"/>
                    </w:rPr>
                    <w:t>危险废物类别</w:t>
                  </w:r>
                </w:p>
              </w:tc>
              <w:tc>
                <w:tcPr>
                  <w:tcW w:w="467" w:type="pct"/>
                  <w:vAlign w:val="center"/>
                </w:tcPr>
                <w:p w14:paraId="0F911D50">
                  <w:pPr>
                    <w:jc w:val="center"/>
                    <w:rPr>
                      <w:b/>
                      <w:bCs/>
                      <w:color w:val="auto"/>
                      <w:sz w:val="21"/>
                      <w:szCs w:val="21"/>
                    </w:rPr>
                  </w:pPr>
                  <w:r>
                    <w:rPr>
                      <w:b/>
                      <w:bCs/>
                      <w:color w:val="auto"/>
                      <w:sz w:val="21"/>
                      <w:szCs w:val="21"/>
                    </w:rPr>
                    <w:t>位置</w:t>
                  </w:r>
                </w:p>
              </w:tc>
              <w:tc>
                <w:tcPr>
                  <w:tcW w:w="465" w:type="pct"/>
                  <w:vAlign w:val="center"/>
                </w:tcPr>
                <w:p w14:paraId="4D1E38DD">
                  <w:pPr>
                    <w:jc w:val="center"/>
                    <w:rPr>
                      <w:b/>
                      <w:bCs/>
                      <w:color w:val="auto"/>
                      <w:sz w:val="21"/>
                      <w:szCs w:val="21"/>
                    </w:rPr>
                  </w:pPr>
                  <w:r>
                    <w:rPr>
                      <w:b/>
                      <w:bCs/>
                      <w:color w:val="auto"/>
                      <w:sz w:val="21"/>
                      <w:szCs w:val="21"/>
                    </w:rPr>
                    <w:t>占地面积</w:t>
                  </w:r>
                </w:p>
              </w:tc>
              <w:tc>
                <w:tcPr>
                  <w:tcW w:w="1394" w:type="pct"/>
                  <w:vAlign w:val="center"/>
                </w:tcPr>
                <w:p w14:paraId="1B7855F9">
                  <w:pPr>
                    <w:jc w:val="center"/>
                    <w:rPr>
                      <w:b/>
                      <w:bCs/>
                      <w:color w:val="auto"/>
                      <w:sz w:val="21"/>
                      <w:szCs w:val="21"/>
                    </w:rPr>
                  </w:pPr>
                  <w:r>
                    <w:rPr>
                      <w:b/>
                      <w:bCs/>
                      <w:color w:val="auto"/>
                      <w:sz w:val="21"/>
                      <w:szCs w:val="21"/>
                    </w:rPr>
                    <w:t>贮存方式</w:t>
                  </w:r>
                </w:p>
              </w:tc>
              <w:tc>
                <w:tcPr>
                  <w:tcW w:w="552" w:type="pct"/>
                  <w:vAlign w:val="center"/>
                </w:tcPr>
                <w:p w14:paraId="7286E335">
                  <w:pPr>
                    <w:jc w:val="center"/>
                    <w:rPr>
                      <w:b/>
                      <w:bCs/>
                      <w:color w:val="auto"/>
                      <w:sz w:val="21"/>
                      <w:szCs w:val="21"/>
                    </w:rPr>
                  </w:pPr>
                  <w:r>
                    <w:rPr>
                      <w:rFonts w:hint="eastAsia"/>
                      <w:b/>
                      <w:bCs/>
                      <w:color w:val="auto"/>
                      <w:sz w:val="21"/>
                      <w:szCs w:val="21"/>
                    </w:rPr>
                    <w:t>存储量</w:t>
                  </w:r>
                </w:p>
              </w:tc>
            </w:tr>
            <w:tr w14:paraId="3AEDF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 w:hRule="atLeast"/>
                <w:jc w:val="center"/>
              </w:trPr>
              <w:tc>
                <w:tcPr>
                  <w:tcW w:w="294" w:type="pct"/>
                  <w:vAlign w:val="center"/>
                </w:tcPr>
                <w:p w14:paraId="69C03C1D">
                  <w:pPr>
                    <w:jc w:val="center"/>
                    <w:rPr>
                      <w:color w:val="auto"/>
                      <w:sz w:val="21"/>
                      <w:szCs w:val="21"/>
                    </w:rPr>
                  </w:pPr>
                  <w:r>
                    <w:rPr>
                      <w:color w:val="auto"/>
                      <w:sz w:val="21"/>
                      <w:szCs w:val="21"/>
                    </w:rPr>
                    <w:t>1</w:t>
                  </w:r>
                </w:p>
              </w:tc>
              <w:tc>
                <w:tcPr>
                  <w:tcW w:w="666" w:type="pct"/>
                  <w:vMerge w:val="restart"/>
                  <w:vAlign w:val="center"/>
                </w:tcPr>
                <w:p w14:paraId="0ECF177A">
                  <w:pPr>
                    <w:jc w:val="center"/>
                    <w:rPr>
                      <w:color w:val="auto"/>
                      <w:sz w:val="21"/>
                      <w:szCs w:val="21"/>
                    </w:rPr>
                  </w:pPr>
                  <w:r>
                    <w:rPr>
                      <w:rFonts w:hint="eastAsia"/>
                      <w:color w:val="auto"/>
                      <w:sz w:val="21"/>
                      <w:szCs w:val="21"/>
                    </w:rPr>
                    <w:t>#1危废暂存间</w:t>
                  </w:r>
                </w:p>
              </w:tc>
              <w:tc>
                <w:tcPr>
                  <w:tcW w:w="571" w:type="pct"/>
                  <w:vAlign w:val="center"/>
                </w:tcPr>
                <w:p w14:paraId="39C46F39">
                  <w:pPr>
                    <w:jc w:val="center"/>
                    <w:rPr>
                      <w:color w:val="auto"/>
                      <w:sz w:val="21"/>
                      <w:szCs w:val="21"/>
                    </w:rPr>
                  </w:pPr>
                  <w:r>
                    <w:rPr>
                      <w:color w:val="auto"/>
                      <w:sz w:val="21"/>
                      <w:szCs w:val="21"/>
                    </w:rPr>
                    <w:t>废机油</w:t>
                  </w:r>
                </w:p>
              </w:tc>
              <w:tc>
                <w:tcPr>
                  <w:tcW w:w="587" w:type="pct"/>
                  <w:vAlign w:val="center"/>
                </w:tcPr>
                <w:p w14:paraId="3FEBB79F">
                  <w:pPr>
                    <w:jc w:val="center"/>
                    <w:rPr>
                      <w:color w:val="auto"/>
                      <w:sz w:val="21"/>
                      <w:szCs w:val="21"/>
                    </w:rPr>
                  </w:pPr>
                  <w:r>
                    <w:rPr>
                      <w:rFonts w:hint="eastAsia"/>
                      <w:color w:val="auto"/>
                      <w:sz w:val="21"/>
                      <w:szCs w:val="21"/>
                    </w:rPr>
                    <w:t>HW08</w:t>
                  </w:r>
                </w:p>
              </w:tc>
              <w:tc>
                <w:tcPr>
                  <w:tcW w:w="467" w:type="pct"/>
                  <w:vMerge w:val="restart"/>
                  <w:vAlign w:val="center"/>
                </w:tcPr>
                <w:p w14:paraId="50F02767">
                  <w:pPr>
                    <w:jc w:val="center"/>
                    <w:rPr>
                      <w:color w:val="auto"/>
                      <w:sz w:val="21"/>
                      <w:szCs w:val="21"/>
                    </w:rPr>
                  </w:pPr>
                  <w:r>
                    <w:rPr>
                      <w:rFonts w:hint="eastAsia"/>
                      <w:color w:val="auto"/>
                      <w:sz w:val="21"/>
                      <w:szCs w:val="21"/>
                    </w:rPr>
                    <w:t>井场西侧</w:t>
                  </w:r>
                </w:p>
              </w:tc>
              <w:tc>
                <w:tcPr>
                  <w:tcW w:w="465" w:type="pct"/>
                  <w:vMerge w:val="restart"/>
                  <w:vAlign w:val="center"/>
                </w:tcPr>
                <w:p w14:paraId="28246FB0">
                  <w:pPr>
                    <w:jc w:val="center"/>
                    <w:rPr>
                      <w:color w:val="auto"/>
                      <w:sz w:val="21"/>
                      <w:szCs w:val="21"/>
                    </w:rPr>
                  </w:pPr>
                  <w:r>
                    <w:rPr>
                      <w:rFonts w:hint="eastAsia"/>
                      <w:color w:val="auto"/>
                      <w:sz w:val="21"/>
                      <w:szCs w:val="21"/>
                    </w:rPr>
                    <w:t>10</w:t>
                  </w:r>
                  <w:r>
                    <w:rPr>
                      <w:color w:val="auto"/>
                      <w:sz w:val="21"/>
                      <w:szCs w:val="21"/>
                    </w:rPr>
                    <w:t>m</w:t>
                  </w:r>
                  <w:r>
                    <w:rPr>
                      <w:color w:val="auto"/>
                      <w:sz w:val="21"/>
                      <w:szCs w:val="21"/>
                      <w:vertAlign w:val="superscript"/>
                    </w:rPr>
                    <w:t>2</w:t>
                  </w:r>
                </w:p>
              </w:tc>
              <w:tc>
                <w:tcPr>
                  <w:tcW w:w="1394" w:type="pct"/>
                  <w:vMerge w:val="restart"/>
                  <w:vAlign w:val="center"/>
                </w:tcPr>
                <w:p w14:paraId="18DD818A">
                  <w:pPr>
                    <w:jc w:val="center"/>
                    <w:rPr>
                      <w:color w:val="auto"/>
                      <w:sz w:val="21"/>
                      <w:szCs w:val="21"/>
                    </w:rPr>
                  </w:pPr>
                  <w:r>
                    <w:rPr>
                      <w:color w:val="auto"/>
                      <w:sz w:val="21"/>
                      <w:szCs w:val="21"/>
                    </w:rPr>
                    <w:t>密闭包装后</w:t>
                  </w:r>
                  <w:r>
                    <w:rPr>
                      <w:rFonts w:hint="eastAsia"/>
                      <w:color w:val="auto"/>
                      <w:sz w:val="21"/>
                      <w:szCs w:val="21"/>
                    </w:rPr>
                    <w:t>，</w:t>
                  </w:r>
                  <w:r>
                    <w:rPr>
                      <w:color w:val="auto"/>
                      <w:sz w:val="21"/>
                      <w:szCs w:val="21"/>
                    </w:rPr>
                    <w:t>分类存放</w:t>
                  </w:r>
                </w:p>
              </w:tc>
              <w:tc>
                <w:tcPr>
                  <w:tcW w:w="552" w:type="pct"/>
                  <w:vAlign w:val="center"/>
                </w:tcPr>
                <w:p w14:paraId="04BF535E">
                  <w:pPr>
                    <w:jc w:val="center"/>
                    <w:rPr>
                      <w:color w:val="auto"/>
                      <w:sz w:val="21"/>
                      <w:szCs w:val="21"/>
                    </w:rPr>
                  </w:pPr>
                  <w:r>
                    <w:rPr>
                      <w:rFonts w:hint="eastAsia"/>
                      <w:color w:val="auto"/>
                      <w:sz w:val="21"/>
                      <w:szCs w:val="21"/>
                    </w:rPr>
                    <w:t>3</w:t>
                  </w:r>
                  <w:r>
                    <w:rPr>
                      <w:rFonts w:hint="eastAsia"/>
                      <w:b/>
                      <w:bCs/>
                      <w:color w:val="auto"/>
                      <w:sz w:val="21"/>
                      <w:szCs w:val="21"/>
                    </w:rPr>
                    <w:t>t</w:t>
                  </w:r>
                </w:p>
              </w:tc>
            </w:tr>
            <w:tr w14:paraId="72B15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4" w:type="pct"/>
                  <w:vAlign w:val="center"/>
                </w:tcPr>
                <w:p w14:paraId="55CA7512">
                  <w:pPr>
                    <w:jc w:val="center"/>
                    <w:rPr>
                      <w:color w:val="auto"/>
                      <w:sz w:val="21"/>
                      <w:szCs w:val="21"/>
                    </w:rPr>
                  </w:pPr>
                  <w:r>
                    <w:rPr>
                      <w:rFonts w:hint="eastAsia"/>
                      <w:color w:val="auto"/>
                      <w:sz w:val="21"/>
                      <w:szCs w:val="21"/>
                    </w:rPr>
                    <w:t>2</w:t>
                  </w:r>
                </w:p>
              </w:tc>
              <w:tc>
                <w:tcPr>
                  <w:tcW w:w="666" w:type="pct"/>
                  <w:vMerge w:val="continue"/>
                  <w:vAlign w:val="center"/>
                </w:tcPr>
                <w:p w14:paraId="52FA1CD0">
                  <w:pPr>
                    <w:jc w:val="center"/>
                    <w:rPr>
                      <w:color w:val="auto"/>
                      <w:sz w:val="21"/>
                      <w:szCs w:val="21"/>
                    </w:rPr>
                  </w:pPr>
                </w:p>
              </w:tc>
              <w:tc>
                <w:tcPr>
                  <w:tcW w:w="571" w:type="pct"/>
                  <w:vAlign w:val="center"/>
                </w:tcPr>
                <w:p w14:paraId="60303944">
                  <w:pPr>
                    <w:jc w:val="center"/>
                    <w:rPr>
                      <w:color w:val="auto"/>
                      <w:sz w:val="21"/>
                      <w:szCs w:val="21"/>
                    </w:rPr>
                  </w:pPr>
                  <w:r>
                    <w:rPr>
                      <w:rFonts w:hint="eastAsia"/>
                      <w:color w:val="auto"/>
                      <w:sz w:val="21"/>
                      <w:szCs w:val="21"/>
                    </w:rPr>
                    <w:t>含矿物油废物</w:t>
                  </w:r>
                </w:p>
              </w:tc>
              <w:tc>
                <w:tcPr>
                  <w:tcW w:w="587" w:type="pct"/>
                  <w:vAlign w:val="center"/>
                </w:tcPr>
                <w:p w14:paraId="3511E083">
                  <w:pPr>
                    <w:jc w:val="center"/>
                    <w:rPr>
                      <w:color w:val="auto"/>
                      <w:sz w:val="21"/>
                      <w:szCs w:val="21"/>
                    </w:rPr>
                  </w:pPr>
                  <w:r>
                    <w:rPr>
                      <w:rFonts w:hint="eastAsia"/>
                      <w:color w:val="auto"/>
                      <w:sz w:val="21"/>
                      <w:szCs w:val="21"/>
                    </w:rPr>
                    <w:t>HW49</w:t>
                  </w:r>
                </w:p>
              </w:tc>
              <w:tc>
                <w:tcPr>
                  <w:tcW w:w="467" w:type="pct"/>
                  <w:vMerge w:val="continue"/>
                  <w:vAlign w:val="center"/>
                </w:tcPr>
                <w:p w14:paraId="09DED045">
                  <w:pPr>
                    <w:jc w:val="center"/>
                    <w:rPr>
                      <w:color w:val="auto"/>
                      <w:sz w:val="21"/>
                      <w:szCs w:val="21"/>
                    </w:rPr>
                  </w:pPr>
                </w:p>
              </w:tc>
              <w:tc>
                <w:tcPr>
                  <w:tcW w:w="465" w:type="pct"/>
                  <w:vMerge w:val="continue"/>
                  <w:vAlign w:val="center"/>
                </w:tcPr>
                <w:p w14:paraId="43E88FE7">
                  <w:pPr>
                    <w:jc w:val="center"/>
                    <w:rPr>
                      <w:color w:val="auto"/>
                      <w:sz w:val="21"/>
                      <w:szCs w:val="21"/>
                    </w:rPr>
                  </w:pPr>
                </w:p>
              </w:tc>
              <w:tc>
                <w:tcPr>
                  <w:tcW w:w="1394" w:type="pct"/>
                  <w:vMerge w:val="continue"/>
                  <w:vAlign w:val="center"/>
                </w:tcPr>
                <w:p w14:paraId="4BE56A88">
                  <w:pPr>
                    <w:jc w:val="center"/>
                    <w:rPr>
                      <w:color w:val="auto"/>
                      <w:sz w:val="21"/>
                      <w:szCs w:val="21"/>
                    </w:rPr>
                  </w:pPr>
                </w:p>
              </w:tc>
              <w:tc>
                <w:tcPr>
                  <w:tcW w:w="552" w:type="pct"/>
                  <w:vAlign w:val="center"/>
                </w:tcPr>
                <w:p w14:paraId="3B34C689">
                  <w:pPr>
                    <w:jc w:val="center"/>
                    <w:rPr>
                      <w:color w:val="auto"/>
                      <w:sz w:val="21"/>
                      <w:szCs w:val="21"/>
                    </w:rPr>
                  </w:pPr>
                  <w:r>
                    <w:rPr>
                      <w:rFonts w:hint="eastAsia"/>
                      <w:color w:val="auto"/>
                      <w:sz w:val="21"/>
                      <w:szCs w:val="21"/>
                    </w:rPr>
                    <w:t>1.2</w:t>
                  </w:r>
                  <w:r>
                    <w:rPr>
                      <w:rFonts w:hint="eastAsia"/>
                      <w:b/>
                      <w:bCs/>
                      <w:color w:val="auto"/>
                      <w:sz w:val="21"/>
                      <w:szCs w:val="21"/>
                    </w:rPr>
                    <w:t>t</w:t>
                  </w:r>
                </w:p>
              </w:tc>
            </w:tr>
            <w:tr w14:paraId="5184EA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5" w:hRule="atLeast"/>
                <w:jc w:val="center"/>
              </w:trPr>
              <w:tc>
                <w:tcPr>
                  <w:tcW w:w="294" w:type="pct"/>
                  <w:vAlign w:val="center"/>
                </w:tcPr>
                <w:p w14:paraId="1910F0C9">
                  <w:pPr>
                    <w:jc w:val="center"/>
                    <w:rPr>
                      <w:color w:val="auto"/>
                      <w:sz w:val="21"/>
                      <w:szCs w:val="21"/>
                    </w:rPr>
                  </w:pPr>
                  <w:r>
                    <w:rPr>
                      <w:rFonts w:hint="eastAsia"/>
                      <w:color w:val="auto"/>
                      <w:sz w:val="21"/>
                      <w:szCs w:val="21"/>
                    </w:rPr>
                    <w:t>3</w:t>
                  </w:r>
                </w:p>
              </w:tc>
              <w:tc>
                <w:tcPr>
                  <w:tcW w:w="666" w:type="pct"/>
                  <w:vMerge w:val="continue"/>
                  <w:vAlign w:val="center"/>
                </w:tcPr>
                <w:p w14:paraId="39F1FF0D">
                  <w:pPr>
                    <w:jc w:val="center"/>
                    <w:rPr>
                      <w:color w:val="auto"/>
                      <w:sz w:val="21"/>
                      <w:szCs w:val="21"/>
                    </w:rPr>
                  </w:pPr>
                </w:p>
              </w:tc>
              <w:tc>
                <w:tcPr>
                  <w:tcW w:w="571" w:type="pct"/>
                  <w:vAlign w:val="center"/>
                </w:tcPr>
                <w:p w14:paraId="13D259C3">
                  <w:pPr>
                    <w:jc w:val="center"/>
                    <w:rPr>
                      <w:color w:val="auto"/>
                      <w:sz w:val="21"/>
                      <w:szCs w:val="21"/>
                    </w:rPr>
                  </w:pPr>
                  <w:r>
                    <w:rPr>
                      <w:rFonts w:hint="eastAsia"/>
                      <w:color w:val="auto"/>
                      <w:sz w:val="21"/>
                      <w:szCs w:val="21"/>
                    </w:rPr>
                    <w:t>沾染毒性的废包装材料</w:t>
                  </w:r>
                </w:p>
              </w:tc>
              <w:tc>
                <w:tcPr>
                  <w:tcW w:w="587" w:type="pct"/>
                  <w:vAlign w:val="center"/>
                </w:tcPr>
                <w:p w14:paraId="07CA3E9F">
                  <w:pPr>
                    <w:jc w:val="center"/>
                    <w:rPr>
                      <w:color w:val="auto"/>
                      <w:sz w:val="21"/>
                      <w:szCs w:val="21"/>
                    </w:rPr>
                  </w:pPr>
                  <w:r>
                    <w:rPr>
                      <w:rFonts w:hint="eastAsia"/>
                      <w:color w:val="auto"/>
                      <w:sz w:val="21"/>
                      <w:szCs w:val="21"/>
                    </w:rPr>
                    <w:t>HW08</w:t>
                  </w:r>
                </w:p>
              </w:tc>
              <w:tc>
                <w:tcPr>
                  <w:tcW w:w="467" w:type="pct"/>
                  <w:vMerge w:val="continue"/>
                  <w:vAlign w:val="center"/>
                </w:tcPr>
                <w:p w14:paraId="74D116C0">
                  <w:pPr>
                    <w:jc w:val="center"/>
                    <w:rPr>
                      <w:color w:val="auto"/>
                      <w:sz w:val="21"/>
                      <w:szCs w:val="21"/>
                    </w:rPr>
                  </w:pPr>
                </w:p>
              </w:tc>
              <w:tc>
                <w:tcPr>
                  <w:tcW w:w="465" w:type="pct"/>
                  <w:vMerge w:val="continue"/>
                  <w:vAlign w:val="center"/>
                </w:tcPr>
                <w:p w14:paraId="1462BE69">
                  <w:pPr>
                    <w:jc w:val="center"/>
                    <w:rPr>
                      <w:color w:val="auto"/>
                      <w:sz w:val="21"/>
                      <w:szCs w:val="21"/>
                    </w:rPr>
                  </w:pPr>
                </w:p>
              </w:tc>
              <w:tc>
                <w:tcPr>
                  <w:tcW w:w="1394" w:type="pct"/>
                  <w:vMerge w:val="continue"/>
                  <w:vAlign w:val="center"/>
                </w:tcPr>
                <w:p w14:paraId="2B2F82F6">
                  <w:pPr>
                    <w:jc w:val="center"/>
                    <w:rPr>
                      <w:color w:val="auto"/>
                      <w:sz w:val="21"/>
                      <w:szCs w:val="21"/>
                    </w:rPr>
                  </w:pPr>
                </w:p>
              </w:tc>
              <w:tc>
                <w:tcPr>
                  <w:tcW w:w="552" w:type="pct"/>
                  <w:vAlign w:val="center"/>
                </w:tcPr>
                <w:p w14:paraId="58BFCF6A">
                  <w:pPr>
                    <w:jc w:val="center"/>
                    <w:rPr>
                      <w:color w:val="auto"/>
                      <w:sz w:val="21"/>
                      <w:szCs w:val="21"/>
                    </w:rPr>
                  </w:pPr>
                  <w:r>
                    <w:rPr>
                      <w:rFonts w:hint="eastAsia"/>
                      <w:color w:val="auto"/>
                      <w:sz w:val="21"/>
                      <w:szCs w:val="21"/>
                    </w:rPr>
                    <w:t>0.2</w:t>
                  </w:r>
                  <w:r>
                    <w:rPr>
                      <w:rFonts w:hint="eastAsia"/>
                      <w:b/>
                      <w:bCs/>
                      <w:color w:val="auto"/>
                      <w:sz w:val="21"/>
                      <w:szCs w:val="21"/>
                    </w:rPr>
                    <w:t>t</w:t>
                  </w:r>
                </w:p>
              </w:tc>
            </w:tr>
            <w:tr w14:paraId="5AD92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447" w:type="pct"/>
                  <w:gridSpan w:val="7"/>
                  <w:vAlign w:val="center"/>
                </w:tcPr>
                <w:p w14:paraId="731B83CC">
                  <w:pPr>
                    <w:jc w:val="center"/>
                    <w:rPr>
                      <w:color w:val="auto"/>
                      <w:sz w:val="21"/>
                      <w:szCs w:val="21"/>
                    </w:rPr>
                  </w:pPr>
                  <w:r>
                    <w:rPr>
                      <w:rFonts w:hint="eastAsia"/>
                      <w:color w:val="auto"/>
                      <w:sz w:val="21"/>
                      <w:szCs w:val="21"/>
                    </w:rPr>
                    <w:t>合计</w:t>
                  </w:r>
                </w:p>
              </w:tc>
              <w:tc>
                <w:tcPr>
                  <w:tcW w:w="552" w:type="pct"/>
                  <w:vAlign w:val="center"/>
                </w:tcPr>
                <w:p w14:paraId="019C0E31">
                  <w:pPr>
                    <w:jc w:val="center"/>
                    <w:rPr>
                      <w:color w:val="auto"/>
                      <w:sz w:val="21"/>
                      <w:szCs w:val="21"/>
                    </w:rPr>
                  </w:pPr>
                  <w:r>
                    <w:rPr>
                      <w:rFonts w:hint="eastAsia"/>
                      <w:color w:val="auto"/>
                      <w:sz w:val="21"/>
                      <w:szCs w:val="21"/>
                    </w:rPr>
                    <w:t>4.4</w:t>
                  </w:r>
                  <w:r>
                    <w:rPr>
                      <w:rFonts w:hint="eastAsia"/>
                      <w:b/>
                      <w:bCs/>
                      <w:color w:val="auto"/>
                      <w:sz w:val="21"/>
                      <w:szCs w:val="21"/>
                    </w:rPr>
                    <w:t>t</w:t>
                  </w:r>
                </w:p>
              </w:tc>
            </w:tr>
            <w:tr w14:paraId="3EF7A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4" w:type="pct"/>
                  <w:vAlign w:val="center"/>
                </w:tcPr>
                <w:p w14:paraId="056A216D">
                  <w:pPr>
                    <w:jc w:val="center"/>
                    <w:rPr>
                      <w:color w:val="auto"/>
                      <w:sz w:val="21"/>
                      <w:szCs w:val="21"/>
                    </w:rPr>
                  </w:pPr>
                  <w:r>
                    <w:rPr>
                      <w:rFonts w:hint="eastAsia"/>
                      <w:color w:val="auto"/>
                      <w:sz w:val="21"/>
                      <w:szCs w:val="21"/>
                    </w:rPr>
                    <w:t>4</w:t>
                  </w:r>
                </w:p>
              </w:tc>
              <w:tc>
                <w:tcPr>
                  <w:tcW w:w="666" w:type="pct"/>
                  <w:vMerge w:val="restart"/>
                  <w:vAlign w:val="center"/>
                </w:tcPr>
                <w:p w14:paraId="64F1AB69">
                  <w:pPr>
                    <w:jc w:val="center"/>
                    <w:rPr>
                      <w:color w:val="auto"/>
                      <w:sz w:val="21"/>
                      <w:szCs w:val="21"/>
                    </w:rPr>
                  </w:pPr>
                  <w:r>
                    <w:rPr>
                      <w:rFonts w:hint="eastAsia"/>
                      <w:color w:val="auto"/>
                      <w:sz w:val="21"/>
                      <w:szCs w:val="21"/>
                    </w:rPr>
                    <w:t>#2危废暂存间</w:t>
                  </w:r>
                </w:p>
              </w:tc>
              <w:tc>
                <w:tcPr>
                  <w:tcW w:w="571" w:type="pct"/>
                  <w:vAlign w:val="center"/>
                </w:tcPr>
                <w:p w14:paraId="540D3197">
                  <w:pPr>
                    <w:jc w:val="center"/>
                    <w:rPr>
                      <w:color w:val="auto"/>
                      <w:sz w:val="21"/>
                      <w:szCs w:val="21"/>
                    </w:rPr>
                  </w:pPr>
                  <w:r>
                    <w:rPr>
                      <w:rFonts w:hint="eastAsia"/>
                      <w:color w:val="auto"/>
                      <w:sz w:val="21"/>
                      <w:szCs w:val="21"/>
                    </w:rPr>
                    <w:t>油基岩屑</w:t>
                  </w:r>
                </w:p>
              </w:tc>
              <w:tc>
                <w:tcPr>
                  <w:tcW w:w="587" w:type="pct"/>
                  <w:vAlign w:val="center"/>
                </w:tcPr>
                <w:p w14:paraId="034421BD">
                  <w:pPr>
                    <w:jc w:val="center"/>
                    <w:rPr>
                      <w:color w:val="auto"/>
                      <w:sz w:val="21"/>
                      <w:szCs w:val="21"/>
                    </w:rPr>
                  </w:pPr>
                  <w:r>
                    <w:rPr>
                      <w:rFonts w:hint="eastAsia"/>
                      <w:color w:val="auto"/>
                      <w:sz w:val="21"/>
                      <w:szCs w:val="21"/>
                    </w:rPr>
                    <w:t>HW08</w:t>
                  </w:r>
                </w:p>
              </w:tc>
              <w:tc>
                <w:tcPr>
                  <w:tcW w:w="467" w:type="pct"/>
                  <w:vMerge w:val="restart"/>
                  <w:vAlign w:val="center"/>
                </w:tcPr>
                <w:p w14:paraId="23C0D62D">
                  <w:pPr>
                    <w:jc w:val="center"/>
                    <w:rPr>
                      <w:color w:val="auto"/>
                      <w:sz w:val="21"/>
                      <w:szCs w:val="21"/>
                    </w:rPr>
                  </w:pPr>
                  <w:r>
                    <w:rPr>
                      <w:rFonts w:hint="eastAsia"/>
                      <w:color w:val="auto"/>
                      <w:sz w:val="21"/>
                      <w:szCs w:val="21"/>
                    </w:rPr>
                    <w:t>岩屑暂存区西侧</w:t>
                  </w:r>
                </w:p>
              </w:tc>
              <w:tc>
                <w:tcPr>
                  <w:tcW w:w="465" w:type="pct"/>
                  <w:vMerge w:val="restart"/>
                  <w:vAlign w:val="center"/>
                </w:tcPr>
                <w:p w14:paraId="48895732">
                  <w:pPr>
                    <w:jc w:val="center"/>
                    <w:rPr>
                      <w:color w:val="auto"/>
                      <w:sz w:val="21"/>
                      <w:szCs w:val="21"/>
                    </w:rPr>
                  </w:pPr>
                  <w:r>
                    <w:rPr>
                      <w:rFonts w:hint="eastAsia"/>
                      <w:color w:val="auto"/>
                      <w:sz w:val="21"/>
                      <w:szCs w:val="21"/>
                    </w:rPr>
                    <w:t>40m</w:t>
                  </w:r>
                  <w:r>
                    <w:rPr>
                      <w:rFonts w:hint="eastAsia"/>
                      <w:color w:val="auto"/>
                      <w:sz w:val="21"/>
                      <w:szCs w:val="21"/>
                      <w:vertAlign w:val="superscript"/>
                    </w:rPr>
                    <w:t>2</w:t>
                  </w:r>
                </w:p>
              </w:tc>
              <w:tc>
                <w:tcPr>
                  <w:tcW w:w="1394" w:type="pct"/>
                  <w:vMerge w:val="restart"/>
                  <w:vAlign w:val="center"/>
                </w:tcPr>
                <w:p w14:paraId="20A39E12">
                  <w:pPr>
                    <w:jc w:val="center"/>
                    <w:rPr>
                      <w:color w:val="auto"/>
                      <w:sz w:val="21"/>
                      <w:szCs w:val="21"/>
                    </w:rPr>
                  </w:pPr>
                  <w:r>
                    <w:rPr>
                      <w:rFonts w:hint="eastAsia"/>
                      <w:color w:val="auto"/>
                      <w:sz w:val="21"/>
                      <w:szCs w:val="21"/>
                    </w:rPr>
                    <w:t>油基岩由储存桶或储存袋收集，剩余油基泥浆由储存桶收集，</w:t>
                  </w:r>
                  <w:r>
                    <w:rPr>
                      <w:color w:val="auto"/>
                      <w:sz w:val="21"/>
                      <w:szCs w:val="21"/>
                    </w:rPr>
                    <w:t>分类存放</w:t>
                  </w:r>
                </w:p>
              </w:tc>
              <w:tc>
                <w:tcPr>
                  <w:tcW w:w="552" w:type="pct"/>
                  <w:vAlign w:val="center"/>
                </w:tcPr>
                <w:p w14:paraId="1452F2FC">
                  <w:pPr>
                    <w:jc w:val="center"/>
                    <w:rPr>
                      <w:color w:val="auto"/>
                      <w:sz w:val="21"/>
                      <w:szCs w:val="21"/>
                    </w:rPr>
                  </w:pPr>
                  <w:r>
                    <w:rPr>
                      <w:rFonts w:hint="eastAsia"/>
                      <w:color w:val="auto"/>
                      <w:sz w:val="21"/>
                      <w:szCs w:val="21"/>
                    </w:rPr>
                    <w:t>16.61t/d</w:t>
                  </w:r>
                </w:p>
              </w:tc>
            </w:tr>
            <w:tr w14:paraId="72CFDF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94" w:type="pct"/>
                  <w:vAlign w:val="center"/>
                </w:tcPr>
                <w:p w14:paraId="25007FF1">
                  <w:pPr>
                    <w:jc w:val="center"/>
                    <w:rPr>
                      <w:color w:val="auto"/>
                      <w:sz w:val="21"/>
                      <w:szCs w:val="21"/>
                    </w:rPr>
                  </w:pPr>
                  <w:r>
                    <w:rPr>
                      <w:rFonts w:hint="eastAsia"/>
                      <w:color w:val="auto"/>
                      <w:sz w:val="21"/>
                      <w:szCs w:val="21"/>
                    </w:rPr>
                    <w:t>5</w:t>
                  </w:r>
                </w:p>
              </w:tc>
              <w:tc>
                <w:tcPr>
                  <w:tcW w:w="666" w:type="pct"/>
                  <w:vMerge w:val="continue"/>
                  <w:vAlign w:val="center"/>
                </w:tcPr>
                <w:p w14:paraId="6959018E">
                  <w:pPr>
                    <w:jc w:val="center"/>
                    <w:rPr>
                      <w:color w:val="auto"/>
                      <w:sz w:val="21"/>
                      <w:szCs w:val="21"/>
                    </w:rPr>
                  </w:pPr>
                </w:p>
              </w:tc>
              <w:tc>
                <w:tcPr>
                  <w:tcW w:w="571" w:type="pct"/>
                  <w:vAlign w:val="center"/>
                </w:tcPr>
                <w:p w14:paraId="7EEA3ECF">
                  <w:pPr>
                    <w:jc w:val="center"/>
                    <w:rPr>
                      <w:color w:val="auto"/>
                      <w:sz w:val="21"/>
                      <w:szCs w:val="21"/>
                    </w:rPr>
                  </w:pPr>
                  <w:r>
                    <w:rPr>
                      <w:rFonts w:hint="eastAsia"/>
                      <w:color w:val="auto"/>
                      <w:sz w:val="21"/>
                      <w:szCs w:val="21"/>
                    </w:rPr>
                    <w:t>剩余油基泥浆</w:t>
                  </w:r>
                </w:p>
              </w:tc>
              <w:tc>
                <w:tcPr>
                  <w:tcW w:w="587" w:type="pct"/>
                  <w:vAlign w:val="center"/>
                </w:tcPr>
                <w:p w14:paraId="31E812AC">
                  <w:pPr>
                    <w:jc w:val="center"/>
                    <w:rPr>
                      <w:color w:val="auto"/>
                      <w:sz w:val="21"/>
                      <w:szCs w:val="21"/>
                    </w:rPr>
                  </w:pPr>
                  <w:r>
                    <w:rPr>
                      <w:rFonts w:hint="eastAsia"/>
                      <w:color w:val="auto"/>
                      <w:sz w:val="21"/>
                      <w:szCs w:val="21"/>
                    </w:rPr>
                    <w:t>HW08</w:t>
                  </w:r>
                </w:p>
              </w:tc>
              <w:tc>
                <w:tcPr>
                  <w:tcW w:w="467" w:type="pct"/>
                  <w:vMerge w:val="continue"/>
                  <w:vAlign w:val="center"/>
                </w:tcPr>
                <w:p w14:paraId="55335085">
                  <w:pPr>
                    <w:jc w:val="center"/>
                    <w:rPr>
                      <w:color w:val="auto"/>
                      <w:sz w:val="21"/>
                      <w:szCs w:val="21"/>
                    </w:rPr>
                  </w:pPr>
                </w:p>
              </w:tc>
              <w:tc>
                <w:tcPr>
                  <w:tcW w:w="465" w:type="pct"/>
                  <w:vMerge w:val="continue"/>
                  <w:vAlign w:val="center"/>
                </w:tcPr>
                <w:p w14:paraId="1181589B">
                  <w:pPr>
                    <w:jc w:val="center"/>
                    <w:rPr>
                      <w:color w:val="auto"/>
                      <w:sz w:val="21"/>
                      <w:szCs w:val="21"/>
                    </w:rPr>
                  </w:pPr>
                </w:p>
              </w:tc>
              <w:tc>
                <w:tcPr>
                  <w:tcW w:w="1394" w:type="pct"/>
                  <w:vMerge w:val="continue"/>
                  <w:vAlign w:val="center"/>
                </w:tcPr>
                <w:p w14:paraId="7E924B02">
                  <w:pPr>
                    <w:jc w:val="center"/>
                    <w:rPr>
                      <w:color w:val="auto"/>
                      <w:sz w:val="21"/>
                      <w:szCs w:val="21"/>
                    </w:rPr>
                  </w:pPr>
                </w:p>
              </w:tc>
              <w:tc>
                <w:tcPr>
                  <w:tcW w:w="552" w:type="pct"/>
                  <w:vAlign w:val="center"/>
                </w:tcPr>
                <w:p w14:paraId="638DDF45">
                  <w:pPr>
                    <w:jc w:val="center"/>
                    <w:rPr>
                      <w:color w:val="auto"/>
                      <w:sz w:val="21"/>
                      <w:szCs w:val="21"/>
                    </w:rPr>
                  </w:pPr>
                  <w:r>
                    <w:rPr>
                      <w:rFonts w:hint="eastAsia"/>
                      <w:color w:val="auto"/>
                      <w:sz w:val="21"/>
                      <w:szCs w:val="21"/>
                    </w:rPr>
                    <w:t>12t/d</w:t>
                  </w:r>
                </w:p>
              </w:tc>
            </w:tr>
          </w:tbl>
          <w:p w14:paraId="6FCD961D">
            <w:pPr>
              <w:spacing w:line="360" w:lineRule="auto"/>
              <w:ind w:firstLine="480" w:firstLineChars="200"/>
              <w:rPr>
                <w:color w:val="auto"/>
                <w:lang w:val="zh-CN"/>
              </w:rPr>
            </w:pPr>
            <w:r>
              <w:rPr>
                <w:rFonts w:hint="eastAsia"/>
                <w:color w:val="auto"/>
              </w:rPr>
              <w:t>根据</w:t>
            </w:r>
            <w:r>
              <w:rPr>
                <w:color w:val="auto"/>
                <w:lang w:val="zh-CN"/>
              </w:rPr>
              <w:t>《危险废物贮存污染控制标准》（</w:t>
            </w:r>
            <w:r>
              <w:rPr>
                <w:rFonts w:hint="eastAsia"/>
                <w:color w:val="auto"/>
                <w:lang w:val="zh-CN"/>
              </w:rPr>
              <w:t>GB18597-2023</w:t>
            </w:r>
            <w:r>
              <w:rPr>
                <w:color w:val="auto"/>
                <w:lang w:val="zh-CN"/>
              </w:rPr>
              <w:t>）</w:t>
            </w:r>
            <w:r>
              <w:rPr>
                <w:rFonts w:hint="eastAsia"/>
                <w:color w:val="auto"/>
              </w:rPr>
              <w:t>危废暂存间</w:t>
            </w:r>
            <w:r>
              <w:rPr>
                <w:color w:val="auto"/>
                <w:lang w:val="zh-CN"/>
              </w:rPr>
              <w:t>应采取以下措施：</w:t>
            </w:r>
          </w:p>
          <w:p w14:paraId="3D04C9DA">
            <w:pPr>
              <w:spacing w:line="360" w:lineRule="auto"/>
              <w:ind w:firstLine="480" w:firstLineChars="200"/>
              <w:rPr>
                <w:color w:val="auto"/>
                <w:lang w:val="zh-CN"/>
              </w:rPr>
            </w:pPr>
            <w:r>
              <w:rPr>
                <w:rFonts w:hint="eastAsia"/>
                <w:color w:val="auto"/>
              </w:rPr>
              <w:t>1）</w:t>
            </w:r>
            <w:r>
              <w:rPr>
                <w:color w:val="auto"/>
                <w:lang w:val="zh-CN"/>
              </w:rPr>
              <w:t>贮存点应采取防风、防雨、防晒和防止危险废物流失、扬散等措施。</w:t>
            </w:r>
          </w:p>
          <w:p w14:paraId="7BC078A6">
            <w:pPr>
              <w:spacing w:line="360" w:lineRule="auto"/>
              <w:ind w:firstLine="480" w:firstLineChars="200"/>
              <w:rPr>
                <w:color w:val="auto"/>
                <w:lang w:val="zh-CN"/>
              </w:rPr>
            </w:pPr>
            <w:r>
              <w:rPr>
                <w:rFonts w:hint="eastAsia"/>
                <w:color w:val="auto"/>
              </w:rPr>
              <w:t>2）</w:t>
            </w:r>
            <w:r>
              <w:rPr>
                <w:color w:val="auto"/>
                <w:lang w:val="zh-CN"/>
              </w:rPr>
              <w:t>危废暂存间设立危险废物警示标志，由专人进行管理并做好了危险废物排放量及处置记录。按相关要求张贴对应标签，包括危废类别、主要成分、危险情况、安全措施、数量等内容。</w:t>
            </w:r>
          </w:p>
          <w:p w14:paraId="21E16AF2">
            <w:pPr>
              <w:spacing w:line="360" w:lineRule="auto"/>
              <w:ind w:firstLine="480" w:firstLineChars="200"/>
              <w:rPr>
                <w:color w:val="auto"/>
                <w:lang w:val="zh-CN"/>
              </w:rPr>
            </w:pPr>
            <w:r>
              <w:rPr>
                <w:rFonts w:hint="eastAsia"/>
                <w:color w:val="auto"/>
              </w:rPr>
              <w:t>3）</w:t>
            </w:r>
            <w:r>
              <w:rPr>
                <w:color w:val="auto"/>
                <w:lang w:val="zh-CN"/>
              </w:rPr>
              <w:t>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-7cm/s），或至少2mm厚高密度聚乙烯膜等人工防渗材料（渗透系数不大于10-10 cm/s），或其他防渗性能等效的材料。</w:t>
            </w:r>
          </w:p>
          <w:p w14:paraId="2ABDDC69">
            <w:pPr>
              <w:spacing w:line="360" w:lineRule="auto"/>
              <w:ind w:firstLine="480" w:firstLineChars="200"/>
              <w:rPr>
                <w:color w:val="auto"/>
                <w:lang w:val="zh-CN"/>
              </w:rPr>
            </w:pPr>
            <w:r>
              <w:rPr>
                <w:rFonts w:hint="eastAsia"/>
                <w:color w:val="auto"/>
              </w:rPr>
              <w:t>4）</w:t>
            </w:r>
            <w:r>
              <w:rPr>
                <w:color w:val="auto"/>
                <w:lang w:val="zh-CN"/>
              </w:rPr>
              <w:t>废</w:t>
            </w:r>
            <w:r>
              <w:rPr>
                <w:color w:val="auto"/>
              </w:rPr>
              <w:t>机</w:t>
            </w:r>
            <w:r>
              <w:rPr>
                <w:color w:val="auto"/>
                <w:lang w:val="zh-CN"/>
              </w:rPr>
              <w:t>油、</w:t>
            </w:r>
            <w:r>
              <w:rPr>
                <w:color w:val="auto"/>
              </w:rPr>
              <w:t>含油抹布等</w:t>
            </w:r>
            <w:r>
              <w:rPr>
                <w:color w:val="auto"/>
                <w:lang w:val="zh-CN"/>
              </w:rPr>
              <w:t>采用专用的容器分区存放，并定期检查容器是否泄漏。</w:t>
            </w:r>
          </w:p>
          <w:p w14:paraId="610F0679">
            <w:pPr>
              <w:spacing w:line="360" w:lineRule="auto"/>
              <w:ind w:firstLine="480" w:firstLineChars="200"/>
              <w:rPr>
                <w:color w:val="auto"/>
              </w:rPr>
            </w:pPr>
            <w:r>
              <w:rPr>
                <w:color w:val="auto"/>
              </w:rPr>
              <w:t>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产生危险废物的单位已经取得排污许可证的，执行排污许可管理制度的规定。对危险废物的容器和包装物以及收集、贮存、运输、利用、处置危险废物的设施、场所，按照《环境保护图形标志-固体废物储存（处置）场》（GB15562.2-1995）</w:t>
            </w:r>
            <w:r>
              <w:rPr>
                <w:rFonts w:hint="eastAsia"/>
                <w:color w:val="auto"/>
              </w:rPr>
              <w:t>及修改单</w:t>
            </w:r>
            <w:r>
              <w:rPr>
                <w:color w:val="auto"/>
              </w:rPr>
              <w:t>的要求设立规范的标识牌。禁止将</w:t>
            </w:r>
            <w:r>
              <w:rPr>
                <w:rFonts w:hint="eastAsia"/>
                <w:color w:val="auto"/>
              </w:rPr>
              <w:t>危险废物</w:t>
            </w:r>
            <w:r>
              <w:rPr>
                <w:color w:val="auto"/>
              </w:rPr>
              <w:t>与其他废物、生活垃圾混装。将</w:t>
            </w:r>
            <w:r>
              <w:rPr>
                <w:rFonts w:hint="eastAsia"/>
                <w:color w:val="auto"/>
              </w:rPr>
              <w:t>危险废物</w:t>
            </w:r>
            <w:r>
              <w:rPr>
                <w:color w:val="auto"/>
              </w:rPr>
              <w:t>与其他废物、生活垃圾混装的，应当按照</w:t>
            </w:r>
            <w:r>
              <w:rPr>
                <w:rFonts w:hint="eastAsia"/>
                <w:color w:val="auto"/>
              </w:rPr>
              <w:t>危险废物</w:t>
            </w:r>
            <w:r>
              <w:rPr>
                <w:color w:val="auto"/>
              </w:rPr>
              <w:t>处理。</w:t>
            </w:r>
          </w:p>
          <w:p w14:paraId="18784539">
            <w:pPr>
              <w:spacing w:line="360" w:lineRule="auto"/>
              <w:rPr>
                <w:b/>
                <w:bCs/>
                <w:color w:val="auto"/>
              </w:rPr>
            </w:pPr>
            <w:r>
              <w:rPr>
                <w:b/>
                <w:bCs/>
                <w:color w:val="auto"/>
              </w:rPr>
              <w:t>2</w:t>
            </w:r>
            <w:r>
              <w:rPr>
                <w:rFonts w:hint="eastAsia"/>
                <w:b/>
                <w:bCs/>
                <w:color w:val="auto"/>
              </w:rPr>
              <w:t>.5地下水、土壤保护措施</w:t>
            </w:r>
          </w:p>
          <w:p w14:paraId="59045972">
            <w:pPr>
              <w:spacing w:line="360" w:lineRule="auto"/>
              <w:ind w:firstLine="480" w:firstLineChars="200"/>
              <w:rPr>
                <w:color w:val="auto"/>
              </w:rPr>
            </w:pPr>
            <w:r>
              <w:rPr>
                <w:rFonts w:hint="eastAsia"/>
                <w:color w:val="auto"/>
              </w:rPr>
              <w:t>根据本工程建设对地下水、土壤环境影响的特点，建议本项目地下水、土壤环境保护措施按照“源头控制、分区防控、污染监控、应急响应”相结合的原则，从污染物的产生、入渗、扩散、应急响应等方面进行控制。</w:t>
            </w:r>
          </w:p>
          <w:p w14:paraId="16E85E08">
            <w:pPr>
              <w:spacing w:line="360" w:lineRule="auto"/>
              <w:ind w:firstLine="480" w:firstLineChars="200"/>
              <w:rPr>
                <w:color w:val="auto"/>
              </w:rPr>
            </w:pPr>
            <w:r>
              <w:rPr>
                <w:rFonts w:hint="eastAsia"/>
                <w:color w:val="auto"/>
              </w:rPr>
              <w:t>（1）源头控制措施</w:t>
            </w:r>
          </w:p>
          <w:p w14:paraId="6B6C16CB">
            <w:pPr>
              <w:spacing w:line="360" w:lineRule="auto"/>
              <w:ind w:firstLine="480" w:firstLineChars="200"/>
              <w:rPr>
                <w:color w:val="auto"/>
              </w:rPr>
            </w:pPr>
            <w:r>
              <w:rPr>
                <w:rFonts w:hint="eastAsia"/>
                <w:color w:val="auto"/>
              </w:rPr>
              <w:t>源头控制主要包括实施清洁生产及各类废物循环利用，减少污染物的排放量；在工艺、管道、设备、污水储存及处理构筑物采取相应措施，防止和降低污染物跑、冒、滴、漏，将污染物泄漏的环境风险事故降到最低限度。</w:t>
            </w:r>
          </w:p>
          <w:p w14:paraId="2CB36B4C">
            <w:pPr>
              <w:spacing w:line="360" w:lineRule="auto"/>
              <w:ind w:firstLine="480" w:firstLineChars="200"/>
              <w:rPr>
                <w:color w:val="auto"/>
              </w:rPr>
            </w:pPr>
            <w:r>
              <w:rPr>
                <w:rFonts w:hint="eastAsia"/>
                <w:color w:val="auto"/>
              </w:rPr>
              <w:t>采取先进的钻井方案和钻井液体系，对钻井过程中可能发生的泥浆漏失的情况，采用强钻方式快速钻穿漏失层达到固井层位。选用合理泥浆密度，实现近平衡压力钻井，降低泥浆环空压耗，降低泥浆激动压力，从而降低井筒中泥浆动压力，减小泥浆漏失量。工程导管段利用清水钻井液迅速钻进，在套管的保护下能有效地保护浅层地下水。选用清洁泥浆体系进行钻探，在钻遇含水层时采取边打边下套管的方式，避免穿透含水层。此外，在钻井、压裂过程中应加强监控，防止泥浆、压裂液的扩散污染等。</w:t>
            </w:r>
          </w:p>
          <w:p w14:paraId="7A281EB1">
            <w:pPr>
              <w:spacing w:line="360" w:lineRule="auto"/>
              <w:ind w:firstLine="480" w:firstLineChars="200"/>
              <w:rPr>
                <w:color w:val="auto"/>
              </w:rPr>
            </w:pPr>
            <w:r>
              <w:rPr>
                <w:rFonts w:hint="eastAsia"/>
                <w:color w:val="auto"/>
              </w:rPr>
              <w:t>钻进过程中保持平衡操作，同时对钻进过程中的钻井液漏失进行实时监控。一旦发现漏失，立即采取堵漏防控措施，减少漏失量。井场储备足够的堵漏剂，堵漏剂的选取应考虑清洁、无毒、对人体无害，环境污染轻的种类，建议采用水泥堵漏。</w:t>
            </w:r>
          </w:p>
          <w:p w14:paraId="702E7591">
            <w:pPr>
              <w:spacing w:line="360" w:lineRule="auto"/>
              <w:ind w:firstLine="480" w:firstLineChars="200"/>
              <w:rPr>
                <w:color w:val="auto"/>
              </w:rPr>
            </w:pPr>
            <w:r>
              <w:rPr>
                <w:rFonts w:hint="eastAsia"/>
                <w:color w:val="auto"/>
              </w:rPr>
              <w:t>每个钻井结束后的固井作业可有效封隔地层与套管之间的环空，防治污染地下水。固井作业应提高固井质量，建议采用双凝水泥浆体系固井，可有效防止因为井漏事故造成的地下水环境污染。</w:t>
            </w:r>
          </w:p>
          <w:p w14:paraId="416132E3">
            <w:pPr>
              <w:spacing w:line="360" w:lineRule="auto"/>
              <w:ind w:firstLine="480" w:firstLineChars="200"/>
              <w:rPr>
                <w:color w:val="auto"/>
              </w:rPr>
            </w:pPr>
            <w:r>
              <w:rPr>
                <w:rFonts w:hint="eastAsia"/>
                <w:color w:val="auto"/>
              </w:rPr>
              <w:t>作业用药品、材料集中放置在防渗漏地面，防止对土壤、地下水的污染。</w:t>
            </w:r>
          </w:p>
          <w:p w14:paraId="48EA0801">
            <w:pPr>
              <w:spacing w:line="360" w:lineRule="auto"/>
              <w:ind w:firstLine="480" w:firstLineChars="200"/>
              <w:rPr>
                <w:color w:val="auto"/>
              </w:rPr>
            </w:pPr>
            <w:r>
              <w:rPr>
                <w:rFonts w:hint="eastAsia"/>
                <w:color w:val="auto"/>
              </w:rPr>
              <w:t>钻井过程中应加强钻井废水管理，防止出现废水渗漏、外溢或池垮塌等事故。</w:t>
            </w:r>
          </w:p>
          <w:p w14:paraId="5541EA86">
            <w:pPr>
              <w:spacing w:line="360" w:lineRule="auto"/>
              <w:ind w:firstLine="480" w:firstLineChars="200"/>
              <w:rPr>
                <w:color w:val="auto"/>
              </w:rPr>
            </w:pPr>
            <w:r>
              <w:rPr>
                <w:rFonts w:hint="eastAsia"/>
                <w:color w:val="auto"/>
              </w:rPr>
              <w:t>加强岩屑、废泥浆及其他固体废弃物收集、运输及暂存、处置等过程的环境管理，严格按有关技术规范和规定落实各项防范措施，确保不对地下水造成污染，防止产生新的环境问题，确保废钻井泥浆循环使用。</w:t>
            </w:r>
          </w:p>
          <w:p w14:paraId="5CCF008D">
            <w:pPr>
              <w:spacing w:line="360" w:lineRule="auto"/>
              <w:ind w:firstLine="480" w:firstLineChars="200"/>
              <w:rPr>
                <w:color w:val="auto"/>
              </w:rPr>
            </w:pPr>
            <w:r>
              <w:rPr>
                <w:rFonts w:hint="eastAsia"/>
                <w:color w:val="auto"/>
              </w:rPr>
              <w:t>井场水池的选址避免地质灾害易发区域及影响区域，钻井期间施工人员应加强暴雨季节水池内水位观测，并及时转运废水，确保水池有足够的富余容量;池体高度应至少高出地面30cm，四周应设置截排水沟，防止地面径流进入水池中;暴雨季节加强池体周围挡土墙及边坡巡查，防止边坡失稳及挡土墙失效等导致池体垮塌发生废水外溢等事故。</w:t>
            </w:r>
          </w:p>
          <w:p w14:paraId="0C551451">
            <w:pPr>
              <w:spacing w:line="360" w:lineRule="auto"/>
              <w:ind w:firstLine="480" w:firstLineChars="200"/>
              <w:rPr>
                <w:color w:val="auto"/>
              </w:rPr>
            </w:pPr>
            <w:r>
              <w:rPr>
                <w:rFonts w:hint="eastAsia"/>
                <w:color w:val="auto"/>
              </w:rPr>
              <w:t>（2）分区防渗控制措施</w:t>
            </w:r>
          </w:p>
          <w:p w14:paraId="36F91AE7">
            <w:pPr>
              <w:spacing w:line="360" w:lineRule="auto"/>
              <w:ind w:firstLine="480" w:firstLineChars="200"/>
              <w:rPr>
                <w:color w:val="auto"/>
              </w:rPr>
            </w:pPr>
            <w:r>
              <w:rPr>
                <w:rFonts w:hint="eastAsia"/>
                <w:color w:val="auto"/>
              </w:rPr>
              <w:t>对本项目各建设工程单元可能泄漏污染物的地面进行防渗处理，可有效防治污染物渗入地下，并及时地将泄漏、渗漏的污染物收集并进行集中处理。本项目通过将加强井场防渗等级，避免污染物入渗；采取了分区防渗措施。根据工程各功能单元可能产生污染的地区，划分为重点防渗区、一般防渗区、简单防渗区。重点防渗区为#1危废暂存间、#2危废暂存区和盐酸罐区；一般防渗区为对地下水环境有污染的物料或污染物泄漏后，不能及时发现和处理的区域或部位，项目废水污染主要为悬浮物、COD、石油类，其中石油类属于持久性污染物，所在区域天然包气带防污性能为中等。一般防渗区包括井场区域、放喷池、油罐区、发电机房基础和循环罐区、泥浆泵基础、污水池、清洁化操作平台岩屑暂存区、清洁化操作平台区域，防渗应满足等效黏土防渗层Mb≥1.5m，K≤1×10</w:t>
            </w:r>
            <w:r>
              <w:rPr>
                <w:rFonts w:hint="eastAsia"/>
                <w:color w:val="auto"/>
                <w:vertAlign w:val="superscript"/>
              </w:rPr>
              <w:t>-7</w:t>
            </w:r>
            <w:r>
              <w:rPr>
                <w:rFonts w:hint="eastAsia"/>
                <w:color w:val="auto"/>
              </w:rPr>
              <w:t>cm/s。其余为简单防渗区。</w:t>
            </w:r>
          </w:p>
          <w:p w14:paraId="0D89E198">
            <w:pPr>
              <w:spacing w:line="360" w:lineRule="auto"/>
              <w:ind w:firstLine="480" w:firstLineChars="200"/>
              <w:rPr>
                <w:color w:val="auto"/>
              </w:rPr>
            </w:pPr>
            <w:r>
              <w:rPr>
                <w:rFonts w:hint="eastAsia"/>
                <w:color w:val="auto"/>
              </w:rPr>
              <w:t>以上防渗措施均按相关要求和规定执行。池体建设完毕后，用清水进行试漏，在无渗漏的前提下方可投入使用。工程采取以上措施后，在一定程度上可以切断地下水的污染途径，措施有效可行。项目地下水污染分区防渗方案见下表。</w:t>
            </w:r>
          </w:p>
          <w:p w14:paraId="7DA0373E">
            <w:pPr>
              <w:spacing w:line="360" w:lineRule="auto"/>
              <w:jc w:val="center"/>
              <w:rPr>
                <w:b/>
                <w:bCs/>
                <w:color w:val="auto"/>
                <w:lang w:val="zh-CN"/>
              </w:rPr>
            </w:pPr>
            <w:r>
              <w:rPr>
                <w:rFonts w:hint="eastAsia"/>
                <w:b/>
                <w:bCs/>
                <w:color w:val="auto"/>
              </w:rPr>
              <w:t xml:space="preserve">表5-2 </w:t>
            </w:r>
            <w:r>
              <w:rPr>
                <w:b/>
                <w:bCs/>
                <w:color w:val="auto"/>
                <w:lang w:val="zh-CN"/>
              </w:rPr>
              <w:t>厂区分区防渗情况一览表</w:t>
            </w:r>
          </w:p>
          <w:tbl>
            <w:tblPr>
              <w:tblStyle w:val="20"/>
              <w:tblW w:w="82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5"/>
              <w:gridCol w:w="3696"/>
              <w:gridCol w:w="3050"/>
            </w:tblGrid>
            <w:tr w14:paraId="7E055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06743A1E">
                  <w:pPr>
                    <w:jc w:val="center"/>
                    <w:rPr>
                      <w:b/>
                      <w:bCs/>
                      <w:color w:val="auto"/>
                      <w:sz w:val="21"/>
                      <w:szCs w:val="21"/>
                    </w:rPr>
                  </w:pPr>
                  <w:r>
                    <w:rPr>
                      <w:rFonts w:hint="eastAsia"/>
                      <w:b/>
                      <w:bCs/>
                      <w:color w:val="auto"/>
                      <w:sz w:val="21"/>
                      <w:szCs w:val="21"/>
                    </w:rPr>
                    <w:t>类别</w:t>
                  </w:r>
                </w:p>
              </w:tc>
              <w:tc>
                <w:tcPr>
                  <w:tcW w:w="3696" w:type="dxa"/>
                  <w:vAlign w:val="center"/>
                </w:tcPr>
                <w:p w14:paraId="33E6364A">
                  <w:pPr>
                    <w:jc w:val="center"/>
                    <w:rPr>
                      <w:b/>
                      <w:bCs/>
                      <w:color w:val="auto"/>
                      <w:sz w:val="21"/>
                      <w:szCs w:val="21"/>
                    </w:rPr>
                  </w:pPr>
                  <w:r>
                    <w:rPr>
                      <w:rFonts w:hint="eastAsia"/>
                      <w:b/>
                      <w:bCs/>
                      <w:color w:val="auto"/>
                      <w:sz w:val="21"/>
                      <w:szCs w:val="21"/>
                    </w:rPr>
                    <w:t>控制区</w:t>
                  </w:r>
                </w:p>
              </w:tc>
              <w:tc>
                <w:tcPr>
                  <w:tcW w:w="3050" w:type="dxa"/>
                  <w:vAlign w:val="center"/>
                </w:tcPr>
                <w:p w14:paraId="21BD80DD">
                  <w:pPr>
                    <w:jc w:val="center"/>
                    <w:rPr>
                      <w:b/>
                      <w:bCs/>
                      <w:color w:val="auto"/>
                      <w:sz w:val="21"/>
                      <w:szCs w:val="21"/>
                      <w:lang w:val="zh-CN"/>
                    </w:rPr>
                  </w:pPr>
                  <w:r>
                    <w:rPr>
                      <w:rFonts w:hint="eastAsia"/>
                      <w:b/>
                      <w:bCs/>
                      <w:color w:val="auto"/>
                      <w:sz w:val="21"/>
                      <w:szCs w:val="21"/>
                    </w:rPr>
                    <w:t>防渗要求</w:t>
                  </w:r>
                </w:p>
              </w:tc>
            </w:tr>
            <w:tr w14:paraId="7780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2E2CAB5B">
                  <w:pPr>
                    <w:jc w:val="center"/>
                    <w:rPr>
                      <w:color w:val="auto"/>
                      <w:sz w:val="21"/>
                      <w:szCs w:val="21"/>
                      <w:lang w:val="zh-CN"/>
                    </w:rPr>
                  </w:pPr>
                  <w:r>
                    <w:rPr>
                      <w:rFonts w:hint="eastAsia"/>
                      <w:color w:val="auto"/>
                      <w:sz w:val="21"/>
                      <w:szCs w:val="21"/>
                    </w:rPr>
                    <w:t>重点防渗区</w:t>
                  </w:r>
                </w:p>
              </w:tc>
              <w:tc>
                <w:tcPr>
                  <w:tcW w:w="3696" w:type="dxa"/>
                  <w:vAlign w:val="center"/>
                </w:tcPr>
                <w:p w14:paraId="5EB0BAC2">
                  <w:pPr>
                    <w:jc w:val="center"/>
                    <w:rPr>
                      <w:color w:val="auto"/>
                      <w:sz w:val="21"/>
                      <w:szCs w:val="21"/>
                    </w:rPr>
                  </w:pPr>
                  <w:r>
                    <w:rPr>
                      <w:rFonts w:hint="eastAsia"/>
                      <w:color w:val="auto"/>
                      <w:sz w:val="21"/>
                      <w:szCs w:val="21"/>
                    </w:rPr>
                    <w:t>#1危废暂存间、#2危废暂存间、盐酸罐区</w:t>
                  </w:r>
                </w:p>
              </w:tc>
              <w:tc>
                <w:tcPr>
                  <w:tcW w:w="3050" w:type="dxa"/>
                  <w:vAlign w:val="center"/>
                </w:tcPr>
                <w:p w14:paraId="31E69F78">
                  <w:pPr>
                    <w:jc w:val="center"/>
                    <w:rPr>
                      <w:color w:val="auto"/>
                      <w:sz w:val="21"/>
                      <w:szCs w:val="21"/>
                      <w:lang w:val="zh-CN"/>
                    </w:rPr>
                  </w:pPr>
                  <w:r>
                    <w:rPr>
                      <w:rFonts w:hint="eastAsia"/>
                      <w:color w:val="auto"/>
                      <w:sz w:val="21"/>
                      <w:szCs w:val="21"/>
                    </w:rPr>
                    <w:t>满足《环境影响评价技术导则-地下水环境》（HJ610-2016）表7中的要求：等效黏土防渗层Mb≥6.0m，K≤1×10</w:t>
                  </w:r>
                  <w:r>
                    <w:rPr>
                      <w:rFonts w:hint="eastAsia"/>
                      <w:color w:val="auto"/>
                      <w:sz w:val="21"/>
                      <w:szCs w:val="21"/>
                      <w:vertAlign w:val="superscript"/>
                    </w:rPr>
                    <w:t>-10</w:t>
                  </w:r>
                  <w:r>
                    <w:rPr>
                      <w:rFonts w:hint="eastAsia"/>
                      <w:color w:val="auto"/>
                      <w:sz w:val="21"/>
                      <w:szCs w:val="21"/>
                    </w:rPr>
                    <w:t>cm/s</w:t>
                  </w:r>
                </w:p>
              </w:tc>
            </w:tr>
            <w:tr w14:paraId="0B11B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1B6A82BE">
                  <w:pPr>
                    <w:jc w:val="center"/>
                    <w:rPr>
                      <w:color w:val="auto"/>
                      <w:sz w:val="21"/>
                      <w:szCs w:val="21"/>
                      <w:lang w:val="zh-CN"/>
                    </w:rPr>
                  </w:pPr>
                  <w:r>
                    <w:rPr>
                      <w:rFonts w:hint="eastAsia"/>
                      <w:color w:val="auto"/>
                      <w:sz w:val="21"/>
                      <w:szCs w:val="21"/>
                    </w:rPr>
                    <w:t>一般防渗区</w:t>
                  </w:r>
                </w:p>
              </w:tc>
              <w:tc>
                <w:tcPr>
                  <w:tcW w:w="3696" w:type="dxa"/>
                  <w:vAlign w:val="center"/>
                </w:tcPr>
                <w:p w14:paraId="60267B2E">
                  <w:pPr>
                    <w:jc w:val="center"/>
                    <w:rPr>
                      <w:color w:val="auto"/>
                      <w:sz w:val="21"/>
                      <w:szCs w:val="21"/>
                      <w:lang w:val="zh-CN"/>
                    </w:rPr>
                  </w:pPr>
                  <w:r>
                    <w:rPr>
                      <w:rFonts w:hint="eastAsia"/>
                      <w:color w:val="auto"/>
                      <w:sz w:val="21"/>
                      <w:szCs w:val="21"/>
                    </w:rPr>
                    <w:t>方井、钻井基础区域、放喷池、油罐区、发电机房基础和循环罐区、污水池、清洁操作化平台岩屑暂存区、清洁化操作平台、井场平台、清污分流区域。</w:t>
                  </w:r>
                </w:p>
              </w:tc>
              <w:tc>
                <w:tcPr>
                  <w:tcW w:w="3050" w:type="dxa"/>
                  <w:vAlign w:val="center"/>
                </w:tcPr>
                <w:p w14:paraId="3F506A7A">
                  <w:pPr>
                    <w:jc w:val="center"/>
                    <w:rPr>
                      <w:color w:val="auto"/>
                      <w:sz w:val="21"/>
                      <w:szCs w:val="21"/>
                      <w:lang w:val="zh-CN"/>
                    </w:rPr>
                  </w:pPr>
                  <w:r>
                    <w:rPr>
                      <w:rFonts w:hint="eastAsia"/>
                      <w:color w:val="auto"/>
                      <w:sz w:val="21"/>
                      <w:szCs w:val="21"/>
                    </w:rPr>
                    <w:t>满足《环境影响评价技术导则-地下水环境》（HJ610-2016）表7中的要求：等效粘土防渗层MB≥1.5m，K≤1×10</w:t>
                  </w:r>
                  <w:r>
                    <w:rPr>
                      <w:rFonts w:hint="eastAsia"/>
                      <w:color w:val="auto"/>
                      <w:sz w:val="21"/>
                      <w:szCs w:val="21"/>
                      <w:vertAlign w:val="superscript"/>
                    </w:rPr>
                    <w:t>-7</w:t>
                  </w:r>
                  <w:r>
                    <w:rPr>
                      <w:rFonts w:hint="eastAsia"/>
                      <w:color w:val="auto"/>
                      <w:sz w:val="21"/>
                      <w:szCs w:val="21"/>
                    </w:rPr>
                    <w:t>cm/s</w:t>
                  </w:r>
                </w:p>
              </w:tc>
            </w:tr>
            <w:tr w14:paraId="35BA3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95" w:type="dxa"/>
                  <w:vAlign w:val="center"/>
                </w:tcPr>
                <w:p w14:paraId="40C7B410">
                  <w:pPr>
                    <w:jc w:val="center"/>
                    <w:rPr>
                      <w:color w:val="auto"/>
                      <w:sz w:val="21"/>
                      <w:szCs w:val="21"/>
                      <w:lang w:val="zh-CN"/>
                    </w:rPr>
                  </w:pPr>
                  <w:r>
                    <w:rPr>
                      <w:rFonts w:hint="eastAsia"/>
                      <w:color w:val="auto"/>
                      <w:sz w:val="21"/>
                      <w:szCs w:val="21"/>
                    </w:rPr>
                    <w:t>简单防渗区</w:t>
                  </w:r>
                </w:p>
              </w:tc>
              <w:tc>
                <w:tcPr>
                  <w:tcW w:w="3696" w:type="dxa"/>
                  <w:vAlign w:val="center"/>
                </w:tcPr>
                <w:p w14:paraId="4853AF0A">
                  <w:pPr>
                    <w:jc w:val="center"/>
                    <w:rPr>
                      <w:color w:val="auto"/>
                      <w:sz w:val="21"/>
                      <w:szCs w:val="21"/>
                      <w:lang w:val="zh-CN"/>
                    </w:rPr>
                  </w:pPr>
                  <w:r>
                    <w:rPr>
                      <w:color w:val="auto"/>
                      <w:kern w:val="0"/>
                      <w:sz w:val="21"/>
                      <w:szCs w:val="21"/>
                    </w:rPr>
                    <w:t>厂区其他用地</w:t>
                  </w:r>
                  <w:r>
                    <w:rPr>
                      <w:rFonts w:hint="eastAsia"/>
                      <w:color w:val="auto"/>
                      <w:kern w:val="0"/>
                      <w:sz w:val="21"/>
                      <w:szCs w:val="21"/>
                    </w:rPr>
                    <w:t>。</w:t>
                  </w:r>
                </w:p>
              </w:tc>
              <w:tc>
                <w:tcPr>
                  <w:tcW w:w="3050" w:type="dxa"/>
                  <w:vAlign w:val="center"/>
                </w:tcPr>
                <w:p w14:paraId="4D6EFBAF">
                  <w:pPr>
                    <w:jc w:val="center"/>
                    <w:rPr>
                      <w:color w:val="auto"/>
                      <w:sz w:val="21"/>
                      <w:szCs w:val="21"/>
                      <w:lang w:val="zh-CN"/>
                    </w:rPr>
                  </w:pPr>
                  <w:r>
                    <w:rPr>
                      <w:rFonts w:hint="eastAsia"/>
                      <w:color w:val="auto"/>
                      <w:sz w:val="21"/>
                      <w:szCs w:val="21"/>
                    </w:rPr>
                    <w:t>满足《环境影响评价技术导则-地下水环境》（HJ610-2016）表7中的要求：采取一般地面硬化。完善排水沟，并做好清污分流、雨污分流排放，防止废水污染地下水。</w:t>
                  </w:r>
                </w:p>
              </w:tc>
            </w:tr>
          </w:tbl>
          <w:p w14:paraId="439E84AF">
            <w:pPr>
              <w:spacing w:line="360" w:lineRule="auto"/>
              <w:ind w:firstLine="480" w:firstLineChars="200"/>
              <w:rPr>
                <w:color w:val="auto"/>
              </w:rPr>
            </w:pPr>
            <w:r>
              <w:rPr>
                <w:rFonts w:hint="eastAsia"/>
                <w:color w:val="auto"/>
              </w:rPr>
              <w:t>（3）地下水环境管理措施</w:t>
            </w:r>
          </w:p>
          <w:p w14:paraId="3354FB20">
            <w:pPr>
              <w:spacing w:line="360" w:lineRule="auto"/>
              <w:ind w:firstLine="480" w:firstLineChars="200"/>
              <w:rPr>
                <w:color w:val="auto"/>
              </w:rPr>
            </w:pPr>
            <w:r>
              <w:rPr>
                <w:rFonts w:hint="eastAsia"/>
                <w:color w:val="auto"/>
              </w:rPr>
              <w:t>1）加强各类废水收集、暂存、处理及运输过程中的环境管理，并实施全过程监控，禁止违法违规排放，引发环境污染与纠纷。</w:t>
            </w:r>
          </w:p>
          <w:p w14:paraId="5E32D463">
            <w:pPr>
              <w:spacing w:line="360" w:lineRule="auto"/>
              <w:ind w:firstLine="480" w:firstLineChars="200"/>
              <w:rPr>
                <w:color w:val="auto"/>
              </w:rPr>
            </w:pPr>
            <w:r>
              <w:rPr>
                <w:rFonts w:hint="eastAsia"/>
                <w:color w:val="auto"/>
              </w:rPr>
              <w:t>2）针对井场各存储池和存储罐，必须按下列要求进行管理:</w:t>
            </w:r>
          </w:p>
          <w:p w14:paraId="5F0ACB08">
            <w:pPr>
              <w:spacing w:line="360" w:lineRule="auto"/>
              <w:ind w:firstLine="480" w:firstLineChars="200"/>
              <w:rPr>
                <w:color w:val="auto"/>
              </w:rPr>
            </w:pPr>
            <w:r>
              <w:rPr>
                <w:rFonts w:hint="eastAsia"/>
                <w:color w:val="auto"/>
              </w:rPr>
              <w:t>应严格按工程设计进行施工，确保各类罐体和池体有足够的容积满足工程建设的需要，应留有一定的富裕容量，以容纳暴雨增加的水量，防止废水外溢。</w:t>
            </w:r>
          </w:p>
          <w:p w14:paraId="3C1BCF6B">
            <w:pPr>
              <w:spacing w:line="360" w:lineRule="auto"/>
              <w:ind w:firstLine="480" w:firstLineChars="200"/>
              <w:rPr>
                <w:color w:val="auto"/>
              </w:rPr>
            </w:pPr>
            <w:r>
              <w:rPr>
                <w:rFonts w:hint="eastAsia"/>
                <w:color w:val="auto"/>
              </w:rPr>
              <w:t>对井场临时储存的废水进行及时转运，减少储存周期，降低外溢风险，特别在汛期来临前，要腾空废水池。</w:t>
            </w:r>
          </w:p>
          <w:p w14:paraId="11F109BA">
            <w:pPr>
              <w:spacing w:line="360" w:lineRule="auto"/>
              <w:ind w:firstLine="480" w:firstLineChars="200"/>
              <w:rPr>
                <w:color w:val="auto"/>
              </w:rPr>
            </w:pPr>
            <w:r>
              <w:rPr>
                <w:rFonts w:hint="eastAsia"/>
                <w:color w:val="auto"/>
              </w:rPr>
              <w:t>为避免突降大雨引起雨水进入污水池，从而引发废水外溢，应在雨季对水池加盖防雨蓬布或架设雨蓬。在暴雨季节，加强对各水池的巡查，降低废水外溢的风险。现场应设兼职人员进行监督管理，重点是监督各项环保措施的落实情况，确保废水不外溢和渗漏。各类储备罐，如废水收集罐、泥浆储备罐、柴油罐等均置于防渗处理的地面上，应加强日常监管，一旦有物料泄漏，可及时发现并采取应急措施。</w:t>
            </w:r>
          </w:p>
          <w:p w14:paraId="670ECD7B">
            <w:pPr>
              <w:spacing w:line="360" w:lineRule="auto"/>
              <w:ind w:firstLine="480" w:firstLineChars="200"/>
              <w:rPr>
                <w:color w:val="auto"/>
              </w:rPr>
            </w:pPr>
            <w:r>
              <w:rPr>
                <w:rFonts w:hint="eastAsia"/>
                <w:color w:val="auto"/>
              </w:rPr>
              <w:t>3）当用罐车运送不能回用的压裂返排液时，加强对罐车司机的安全教育，定期对罐车进行安全检查，严格遵守交通规则，避免交通事故发生。加强对除驾驶员外的其他拉运工作人员管理，要求运输人员技术过硬、经验丰富、工作认真负责。加强对罐车的管理，防止人为原因造成的污染物泄漏。</w:t>
            </w:r>
          </w:p>
          <w:p w14:paraId="3DEDC844">
            <w:pPr>
              <w:spacing w:line="360" w:lineRule="auto"/>
              <w:rPr>
                <w:b/>
                <w:bCs/>
                <w:color w:val="auto"/>
              </w:rPr>
            </w:pPr>
            <w:r>
              <w:rPr>
                <w:b/>
                <w:bCs/>
                <w:color w:val="auto"/>
              </w:rPr>
              <w:t>2</w:t>
            </w:r>
            <w:r>
              <w:rPr>
                <w:rFonts w:hint="eastAsia"/>
                <w:b/>
                <w:bCs/>
                <w:color w:val="auto"/>
              </w:rPr>
              <w:t>.6环境风险防范措施及应急措施</w:t>
            </w:r>
          </w:p>
          <w:p w14:paraId="6628B7B6">
            <w:pPr>
              <w:spacing w:line="360" w:lineRule="auto"/>
              <w:ind w:firstLine="480" w:firstLineChars="200"/>
              <w:rPr>
                <w:color w:val="auto"/>
              </w:rPr>
            </w:pPr>
            <w:r>
              <w:rPr>
                <w:rFonts w:hint="eastAsia"/>
                <w:color w:val="auto"/>
              </w:rPr>
              <w:t>石油天然气部门建设单位以及施工钻井队各项作业均在推行国际公认的HSE管理模式，较成熟。结合行业作业规范，设置有专职安全环保管理人员。把安全、环境管理纳入生产管理的各个环节。为防止事故的发生起到非常积极的作用。现场作业严格按照《石油天然气工业健康、安全与环境管理体系》（SY/T 6276-2014）的要求执行。</w:t>
            </w:r>
          </w:p>
          <w:p w14:paraId="431CA73F">
            <w:pPr>
              <w:spacing w:line="360" w:lineRule="auto"/>
              <w:ind w:firstLine="480" w:firstLineChars="200"/>
              <w:rPr>
                <w:color w:val="auto"/>
              </w:rPr>
            </w:pPr>
            <w:r>
              <w:rPr>
                <w:rFonts w:hint="eastAsia"/>
                <w:color w:val="auto"/>
              </w:rPr>
              <w:t>建设单位安全环保机构负责指导本项目的环境保护和安全工作，同时以钻井队队长为组长，包括钻井队各部门主要负责人和地方政府为组员的事故应急领导小组，负责整个工程的环境风险管理。在应急领导小组下，设置抢险组、消防组、救护组、警戒组和环境保护组。</w:t>
            </w:r>
          </w:p>
          <w:p w14:paraId="3D48E577">
            <w:pPr>
              <w:spacing w:line="360" w:lineRule="auto"/>
              <w:ind w:firstLine="480" w:firstLineChars="200"/>
              <w:rPr>
                <w:color w:val="auto"/>
              </w:rPr>
            </w:pPr>
            <w:r>
              <w:rPr>
                <w:rFonts w:hint="eastAsia"/>
                <w:color w:val="auto"/>
              </w:rPr>
              <w:t>施工作业应采取的环境风险防范措施具体如下：</w:t>
            </w:r>
          </w:p>
          <w:p w14:paraId="3097EE4F">
            <w:pPr>
              <w:spacing w:line="360" w:lineRule="auto"/>
              <w:ind w:firstLine="480" w:firstLineChars="200"/>
              <w:rPr>
                <w:color w:val="auto"/>
              </w:rPr>
            </w:pPr>
            <w:r>
              <w:rPr>
                <w:rFonts w:hint="eastAsia"/>
                <w:color w:val="auto"/>
              </w:rPr>
              <w:t>（1）井喷防范及应急措施</w:t>
            </w:r>
          </w:p>
          <w:p w14:paraId="4F9E0BA3">
            <w:pPr>
              <w:spacing w:line="360" w:lineRule="auto"/>
              <w:ind w:firstLine="480" w:firstLineChars="200"/>
              <w:rPr>
                <w:color w:val="auto"/>
              </w:rPr>
            </w:pPr>
            <w:r>
              <w:rPr>
                <w:rFonts w:hint="eastAsia"/>
                <w:color w:val="auto"/>
              </w:rPr>
              <w:t>钻井过程中严格按照《石油天然气工业健康、安全与环境管理体系》、《石油与天然气钻井井控规定》和《钻井井控技术规程》、《含硫化氢油气井安全钻井推荐作法》等行业相关规范和《钻井设计》的要求进行工程控制，在工艺设备硬件上防止井喷事故。主要有以下几方面：</w:t>
            </w:r>
          </w:p>
          <w:p w14:paraId="7D315C3B">
            <w:pPr>
              <w:spacing w:line="360" w:lineRule="auto"/>
              <w:ind w:firstLine="480" w:firstLineChars="200"/>
              <w:rPr>
                <w:color w:val="auto"/>
              </w:rPr>
            </w:pPr>
            <w:r>
              <w:rPr>
                <w:rFonts w:hint="eastAsia"/>
                <w:color w:val="auto"/>
              </w:rPr>
              <w:t>1）钻井井口装置包括防喷器、防喷器控制系统、四通及套管头等的安装使用；井控管汇包括节流管汇、压井管汇、防喷管线和放喷管线的安装使用；钻具内防喷工具包括上部和下部方钻杆旋塞阀、钻具止回阀和防喷钻杆安装使用。</w:t>
            </w:r>
          </w:p>
          <w:p w14:paraId="69AC327A">
            <w:pPr>
              <w:spacing w:line="360" w:lineRule="auto"/>
              <w:ind w:firstLine="480" w:firstLineChars="200"/>
              <w:rPr>
                <w:color w:val="auto"/>
              </w:rPr>
            </w:pPr>
            <w:r>
              <w:rPr>
                <w:rFonts w:hint="eastAsia"/>
                <w:color w:val="auto"/>
              </w:rPr>
              <w:t>2）防火、防爆措施：发电房摆放按SY/T 5225中的相应规定执行。井场电器设备、照明器具及输电线路的安装应符合SY/T 5225中的相应规定。柴油机排气管应无破漏和积炭，并有冷却灭火装置。</w:t>
            </w:r>
          </w:p>
          <w:p w14:paraId="0E1953A8">
            <w:pPr>
              <w:spacing w:line="360" w:lineRule="auto"/>
              <w:ind w:firstLine="480" w:firstLineChars="200"/>
              <w:rPr>
                <w:color w:val="auto"/>
              </w:rPr>
            </w:pPr>
            <w:r>
              <w:rPr>
                <w:rFonts w:hint="eastAsia"/>
                <w:color w:val="auto"/>
              </w:rPr>
              <w:t>3）开钻前向全队职工、钻井现场的所有工作人员进行地质、工程、钻井液和井控装备等方面的技术交底，并提出具体要求。严格执行井控工作各项管理制度，落实溢流监测岗位、关井操作岗位和钻井队干部24h班制度，井控准备工作。</w:t>
            </w:r>
          </w:p>
          <w:p w14:paraId="7CAB05A1">
            <w:pPr>
              <w:spacing w:line="360" w:lineRule="auto"/>
              <w:ind w:firstLine="480" w:firstLineChars="200"/>
              <w:rPr>
                <w:color w:val="auto"/>
              </w:rPr>
            </w:pPr>
            <w:r>
              <w:rPr>
                <w:rFonts w:hint="eastAsia"/>
                <w:color w:val="auto"/>
              </w:rPr>
              <w:t>4）井喷发生后，应立即组织首先撤离井口周边500m的居民。井喷失控后，在15min内完成井口点火燃烧泄漏天然气。将天然气燃烧转化为CO</w:t>
            </w:r>
            <w:r>
              <w:rPr>
                <w:rFonts w:hint="eastAsia"/>
                <w:color w:val="auto"/>
                <w:vertAlign w:val="subscript"/>
              </w:rPr>
              <w:t>2</w:t>
            </w:r>
            <w:r>
              <w:rPr>
                <w:rFonts w:hint="eastAsia"/>
                <w:color w:val="auto"/>
              </w:rPr>
              <w:t>和H</w:t>
            </w:r>
            <w:r>
              <w:rPr>
                <w:rFonts w:hint="eastAsia"/>
                <w:color w:val="auto"/>
                <w:vertAlign w:val="subscript"/>
              </w:rPr>
              <w:t>2</w:t>
            </w:r>
            <w:r>
              <w:rPr>
                <w:rFonts w:hint="eastAsia"/>
                <w:color w:val="auto"/>
              </w:rPr>
              <w:t>O。放喷燃烧期间井口外500m范围内确保无居民。点火应监测甲烷浓度，取5.0%和15%作为甲烷的爆炸上、下限区域，防止爆炸事故。</w:t>
            </w:r>
          </w:p>
          <w:p w14:paraId="4803FB22">
            <w:pPr>
              <w:spacing w:line="360" w:lineRule="auto"/>
              <w:ind w:firstLine="480" w:firstLineChars="200"/>
              <w:rPr>
                <w:color w:val="auto"/>
              </w:rPr>
            </w:pPr>
            <w:r>
              <w:rPr>
                <w:rFonts w:hint="eastAsia"/>
                <w:color w:val="auto"/>
              </w:rPr>
              <w:t>（2）油罐事故防范及应急措施</w:t>
            </w:r>
          </w:p>
          <w:p w14:paraId="5BC614C0">
            <w:pPr>
              <w:spacing w:line="360" w:lineRule="auto"/>
              <w:ind w:firstLine="480" w:firstLineChars="200"/>
              <w:rPr>
                <w:color w:val="auto"/>
              </w:rPr>
            </w:pPr>
            <w:r>
              <w:rPr>
                <w:rFonts w:hint="eastAsia"/>
                <w:color w:val="auto"/>
              </w:rPr>
              <w:t>1）柴油储罐地面应做硬化，罐底设置防渗膜，并在四周设置围堰，围堰高度不小于15cm，同时配备相应应急物资（消防器材等）。柴油罐区围堰内地坪、泥浆储备罐区地盘采用混凝土地坪，并进行防渗漏处理。</w:t>
            </w:r>
          </w:p>
          <w:p w14:paraId="5916FBF1">
            <w:pPr>
              <w:spacing w:line="360" w:lineRule="auto"/>
              <w:ind w:firstLine="480" w:firstLineChars="200"/>
              <w:rPr>
                <w:color w:val="auto"/>
              </w:rPr>
            </w:pPr>
            <w:r>
              <w:rPr>
                <w:rFonts w:hint="eastAsia"/>
                <w:color w:val="auto"/>
              </w:rPr>
              <w:t>2）若柴油储罐发生泄漏，应根据现场情况，尽快切断污染源，若泄漏量较小，可采用吸油毡、棉纱等进行回收处理，若泄漏量较多，应在柴油储罐四周设置拦污栅，对油品泄漏污染区进行围隔、封堵、控制污染范围，同时采用泵回收泄漏的柴油到同品空罐，回收及搬运油品过程中，避免产生火花。同时迅速布点监测，在第一时间确定污染物种类和浓度，估算污染物转移、扩散速率，对污染物状况进行跟踪调查，根据监测数据和其他有关数据，预测污染迁移强度、速度和影响范围，及时调整对策，设置警戒区域。</w:t>
            </w:r>
          </w:p>
          <w:p w14:paraId="61CC1F7F">
            <w:pPr>
              <w:spacing w:line="360" w:lineRule="auto"/>
              <w:ind w:firstLine="480" w:firstLineChars="200"/>
              <w:rPr>
                <w:color w:val="auto"/>
              </w:rPr>
            </w:pPr>
            <w:r>
              <w:rPr>
                <w:rFonts w:hint="eastAsia"/>
                <w:color w:val="auto"/>
              </w:rPr>
              <w:t>（3）套管破裂事故防范及应急措施</w:t>
            </w:r>
          </w:p>
          <w:p w14:paraId="6EE127E5">
            <w:pPr>
              <w:spacing w:line="360" w:lineRule="auto"/>
              <w:ind w:firstLine="480" w:firstLineChars="200"/>
              <w:rPr>
                <w:color w:val="auto"/>
              </w:rPr>
            </w:pPr>
            <w:r>
              <w:rPr>
                <w:rFonts w:hint="eastAsia"/>
                <w:color w:val="auto"/>
              </w:rPr>
              <w:t>1）根据《钻井井控技术规程》（SY/T 6426-2005），钻井现场仍按照含硫油气井配备自动、手动和高压高能电子点火三套独立点火系统，确保100%的点火成功率。钻井队在现场条件不能实施井控作业而决定放喷点火时，点火人员应佩戴防护器具，并在上风方向，将气体引至放喷池点火，离火口距离不得少于10m，用点火枪点火。放喷管线出口离井口的距离符合安全距离要求，燃烧筒出口处设置有点火装置，并有防火墙或隔离带。</w:t>
            </w:r>
          </w:p>
          <w:p w14:paraId="4EC47773">
            <w:pPr>
              <w:spacing w:line="360" w:lineRule="auto"/>
              <w:ind w:firstLine="480" w:firstLineChars="200"/>
              <w:rPr>
                <w:color w:val="auto"/>
              </w:rPr>
            </w:pPr>
            <w:r>
              <w:rPr>
                <w:rFonts w:hint="eastAsia"/>
                <w:color w:val="auto"/>
              </w:rPr>
              <w:t>2）由于天然气窜层泄漏时，压力小，速率低，不会出现井喷式的泄漏，只要及时组织人员撤离，并及时采取事故应对措施一般情况下不会引起人员伤亡。应对该种事故措施主要是通过加强对钻井返空介质的监测来及时了解井下状况，采取措施避免井漏气窜的发生，钻前加强对周边居民的教育培训，遇到此类事故应立即撤离泄漏点居民。在泄漏点周边设置便携监测仪确定浓度，根据浓度确定具体撤离范围。气窜发生时应立即采取井下堵漏措施，并通过井口放喷管放喷燃烧泄压，减少周边地表泄漏点泄漏量，此类环境风险是可控的。</w:t>
            </w:r>
          </w:p>
          <w:p w14:paraId="622748F9">
            <w:pPr>
              <w:spacing w:line="360" w:lineRule="auto"/>
              <w:ind w:firstLine="480" w:firstLineChars="200"/>
              <w:rPr>
                <w:color w:val="auto"/>
              </w:rPr>
            </w:pPr>
            <w:r>
              <w:rPr>
                <w:rFonts w:hint="eastAsia"/>
                <w:color w:val="auto"/>
              </w:rPr>
              <w:t>（4）地下水井涌事故防范及应急措施</w:t>
            </w:r>
          </w:p>
          <w:p w14:paraId="18275C44">
            <w:pPr>
              <w:spacing w:line="360" w:lineRule="auto"/>
              <w:ind w:firstLine="480" w:firstLineChars="200"/>
              <w:rPr>
                <w:color w:val="auto"/>
              </w:rPr>
            </w:pPr>
            <w:r>
              <w:rPr>
                <w:rFonts w:hint="eastAsia"/>
                <w:color w:val="auto"/>
              </w:rPr>
              <w:t>在钻井过程中，为防范发生地下水涌出污染地表土壤和水体的事情发生，在发生井涌后，应将涌出水引入放喷池中。此外，为防范井涌，钻井过程中配备加重材料，主要为重晶石。由于重晶石密度大、硬度适中、化学性质稳定、不溶于水和酸、无磁性和毒性。通过将加重材料注入井中，在高压下，可以起到压制地下水涌出的作用，可以防止井涌。</w:t>
            </w:r>
          </w:p>
          <w:p w14:paraId="390B4E15">
            <w:pPr>
              <w:spacing w:line="360" w:lineRule="auto"/>
              <w:ind w:firstLine="480" w:firstLineChars="200"/>
              <w:rPr>
                <w:color w:val="auto"/>
              </w:rPr>
            </w:pPr>
            <w:r>
              <w:rPr>
                <w:rFonts w:hint="eastAsia"/>
                <w:color w:val="auto"/>
              </w:rPr>
              <w:t>钻遇大型溶洞和地下暗河时，钻井液漏失一般比较严重。开工建设前应进一步开展水文地质条件勘察，查明地下溶洞、暗河分布情况。解决钻井液漏失的方法一般为采用清水强钻套管封隔技术、速凝水泥堵漏技术、井口充砂技术、复合堵漏袋、尼龙袋堵漏工具、投入用水溶性壳体组成的堵漏物质等。</w:t>
            </w:r>
          </w:p>
          <w:p w14:paraId="01BF4A02">
            <w:pPr>
              <w:spacing w:line="360" w:lineRule="auto"/>
              <w:ind w:firstLine="480" w:firstLineChars="200"/>
              <w:rPr>
                <w:color w:val="auto"/>
              </w:rPr>
            </w:pPr>
            <w:r>
              <w:rPr>
                <w:rFonts w:hint="eastAsia"/>
                <w:color w:val="auto"/>
              </w:rPr>
              <w:t>（5）废水、钻井液等泄漏事故防范及应急措施</w:t>
            </w:r>
          </w:p>
          <w:p w14:paraId="2286E20E">
            <w:pPr>
              <w:spacing w:line="360" w:lineRule="auto"/>
              <w:ind w:firstLine="480" w:firstLineChars="200"/>
              <w:rPr>
                <w:color w:val="auto"/>
              </w:rPr>
            </w:pPr>
            <w:r>
              <w:rPr>
                <w:rFonts w:hint="eastAsia"/>
                <w:color w:val="auto"/>
              </w:rPr>
              <w:t>在施工过程中，应加强池体的管理、巡视，保证池体内液位在最高允许液位0.5m以下，水位达到池面0.5m前应转移。在雨天发生泄漏或可能发生外溢事故时，应及时调度对废水进行外输，泄漏进入果园的，应堵住果园缺口，挖坑收集，防止进入下游地表水体影响水质。对作物造成的经济影响进行补偿，避免造成环境纠纷。发生事故后应及时通报当地环保部门，并积极配合环保部门抢险。</w:t>
            </w:r>
          </w:p>
          <w:p w14:paraId="2B9AF6D3">
            <w:pPr>
              <w:spacing w:line="360" w:lineRule="auto"/>
              <w:ind w:firstLine="480" w:firstLineChars="200"/>
              <w:rPr>
                <w:color w:val="auto"/>
              </w:rPr>
            </w:pPr>
            <w:r>
              <w:rPr>
                <w:rFonts w:hint="eastAsia"/>
                <w:color w:val="auto"/>
              </w:rPr>
              <w:t>当池体发生渗漏时，应立即将池体中废水全部转运井场场内用罐体或采用罐车拉运至其他钻井平台池体内暂存。针对泄漏处，采用挖坑方式收集泄漏液体，并铺设防渗膜，防止废水沿土壤进一步扩散，利用水泵将收集的液体转移至可用罐体内。同时，对池体进行修复，对渗漏部位进行加固和防渗处理，经承压试验合格后方可再次使用，避免再次发生泄漏事故。在雨天发生泄漏或可能发生外溢事故时，应提前安排调度罐车对废水进行外运处理。外溢进入农田的，应堵住农田缺口，挖坑收集，防止流入地表水污染水体。对受污染土壤表层土进行剥离收集安全处置，对受污染农田水处理达标排放。对庄稼造成的经济影响进行补偿，避免造成环境纠纷。发生事故后应及时通报当地环保部门，积极配合各部门抢险。</w:t>
            </w:r>
          </w:p>
          <w:p w14:paraId="413E1E82">
            <w:pPr>
              <w:spacing w:line="360" w:lineRule="auto"/>
              <w:ind w:firstLine="480" w:firstLineChars="200"/>
              <w:rPr>
                <w:rFonts w:ascii="宋体" w:hAnsi="宋体" w:cs="宋体"/>
                <w:bCs/>
                <w:color w:val="auto"/>
                <w:spacing w:val="10"/>
                <w:szCs w:val="21"/>
              </w:rPr>
            </w:pPr>
            <w:r>
              <w:rPr>
                <w:rFonts w:hint="eastAsia"/>
                <w:color w:val="auto"/>
              </w:rPr>
              <w:t>废水外运采用罐车转运，罐车运输如发生事故，也可最大程度的避免或减少废水洒落。应急抢险应以尽量减少泄漏量，控制废水扩散范围为基本原则。罐车拉运量不大，影响范围较小，同时事故发生后及时在泄漏事故处挖坑截流，能进一步控制影响范围。泄漏进入农田的，应堵住农田缺口，挖坑收集，防止进入冲沟影响河流水体。泄漏入冲沟的，可在冲沟筑坝截流，防止进入下游河沟影响水质。泄漏进入河流水体时应首先最大限度减少泄漏量，同时应及时通报当地环保部门和下游用水相关部门，并积极配合环保部门抢险。可能污染下游饮用水源的应及时通报当地生态主管部门和相关取用水单位和个人，并按规定程序启动应急预案采取联动处理。</w:t>
            </w:r>
          </w:p>
        </w:tc>
      </w:tr>
      <w:tr w14:paraId="711588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8" w:hRule="atLeast"/>
          <w:jc w:val="center"/>
        </w:trPr>
        <w:tc>
          <w:tcPr>
            <w:tcW w:w="753" w:type="dxa"/>
            <w:tcMar>
              <w:left w:w="28" w:type="dxa"/>
              <w:right w:w="28" w:type="dxa"/>
            </w:tcMar>
            <w:vAlign w:val="center"/>
          </w:tcPr>
          <w:p w14:paraId="396C1774">
            <w:pPr>
              <w:adjustRightInd w:val="0"/>
              <w:snapToGrid w:val="0"/>
              <w:jc w:val="center"/>
              <w:rPr>
                <w:rFonts w:ascii="宋体" w:hAnsi="宋体" w:cs="宋体"/>
                <w:bCs/>
                <w:color w:val="auto"/>
                <w:spacing w:val="10"/>
                <w:szCs w:val="21"/>
              </w:rPr>
            </w:pPr>
            <w:r>
              <w:rPr>
                <w:rFonts w:hint="eastAsia" w:ascii="宋体" w:hAnsi="宋体" w:cs="宋体"/>
                <w:bCs/>
                <w:color w:val="auto"/>
                <w:spacing w:val="10"/>
                <w:szCs w:val="21"/>
              </w:rPr>
              <w:t>运营期生态环境保护措施</w:t>
            </w:r>
          </w:p>
        </w:tc>
        <w:tc>
          <w:tcPr>
            <w:tcW w:w="8457" w:type="dxa"/>
          </w:tcPr>
          <w:p w14:paraId="7C9DFA4D">
            <w:pPr>
              <w:spacing w:line="360" w:lineRule="auto"/>
              <w:ind w:firstLine="480" w:firstLineChars="200"/>
              <w:rPr>
                <w:rFonts w:ascii="宋体" w:hAnsi="宋体" w:cs="宋体"/>
                <w:bCs/>
                <w:color w:val="auto"/>
                <w:spacing w:val="10"/>
                <w:szCs w:val="21"/>
              </w:rPr>
            </w:pPr>
            <w:r>
              <w:rPr>
                <w:rFonts w:hint="eastAsia"/>
                <w:color w:val="auto"/>
              </w:rPr>
              <w:t>勘探井工程属典型“地下决定地上”型项目，井下确无开采价值时，则对井筒实施封井作业，井组实施生态恢复作业。封井作业后现场无“三废”、噪声排放。闭井后本项目对生态环境影响因素将不再存在，无废气、废水、废渣等污染物产生和排放影响生态环境。若获得良好气流，则另行环评对营运期生态环境措施进行分析</w:t>
            </w:r>
            <w:r>
              <w:rPr>
                <w:color w:val="auto"/>
              </w:rPr>
              <w:t>。</w:t>
            </w:r>
          </w:p>
          <w:p w14:paraId="53986252">
            <w:pPr>
              <w:adjustRightInd w:val="0"/>
              <w:snapToGrid w:val="0"/>
              <w:spacing w:line="360" w:lineRule="auto"/>
              <w:ind w:firstLine="520" w:firstLineChars="200"/>
              <w:rPr>
                <w:rFonts w:ascii="宋体" w:hAnsi="宋体" w:cs="宋体"/>
                <w:bCs/>
                <w:color w:val="auto"/>
                <w:spacing w:val="10"/>
                <w:szCs w:val="21"/>
              </w:rPr>
            </w:pPr>
          </w:p>
          <w:p w14:paraId="1800C86C">
            <w:pPr>
              <w:adjustRightInd w:val="0"/>
              <w:snapToGrid w:val="0"/>
              <w:spacing w:line="360" w:lineRule="auto"/>
              <w:ind w:firstLine="520" w:firstLineChars="200"/>
              <w:rPr>
                <w:rFonts w:ascii="宋体" w:hAnsi="宋体" w:cs="宋体"/>
                <w:bCs/>
                <w:color w:val="auto"/>
                <w:spacing w:val="10"/>
                <w:szCs w:val="21"/>
              </w:rPr>
            </w:pPr>
          </w:p>
        </w:tc>
      </w:tr>
      <w:tr w14:paraId="2D95C3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753" w:type="dxa"/>
            <w:vAlign w:val="center"/>
          </w:tcPr>
          <w:p w14:paraId="6223DD8A">
            <w:pPr>
              <w:adjustRightInd w:val="0"/>
              <w:snapToGrid w:val="0"/>
              <w:jc w:val="center"/>
              <w:rPr>
                <w:rFonts w:ascii="宋体" w:hAnsi="宋体" w:cs="宋体"/>
                <w:bCs/>
                <w:color w:val="auto"/>
                <w:spacing w:val="10"/>
                <w:szCs w:val="21"/>
              </w:rPr>
            </w:pPr>
            <w:r>
              <w:rPr>
                <w:rFonts w:hint="eastAsia" w:ascii="宋体" w:hAnsi="宋体"/>
                <w:bCs/>
                <w:color w:val="auto"/>
                <w:szCs w:val="21"/>
              </w:rPr>
              <w:t>其他</w:t>
            </w:r>
          </w:p>
        </w:tc>
        <w:tc>
          <w:tcPr>
            <w:tcW w:w="8457" w:type="dxa"/>
          </w:tcPr>
          <w:p w14:paraId="4E594AE7">
            <w:pPr>
              <w:spacing w:line="360" w:lineRule="auto"/>
              <w:rPr>
                <w:rFonts w:hint="eastAsia"/>
                <w:b/>
                <w:color w:val="auto"/>
              </w:rPr>
            </w:pPr>
            <w:r>
              <w:rPr>
                <w:rFonts w:hint="eastAsia"/>
                <w:b/>
                <w:color w:val="auto"/>
              </w:rPr>
              <w:t>1、环境管理和监督</w:t>
            </w:r>
          </w:p>
          <w:p w14:paraId="529B6BBD">
            <w:pPr>
              <w:spacing w:line="360" w:lineRule="auto"/>
              <w:ind w:firstLine="480" w:firstLineChars="200"/>
              <w:rPr>
                <w:rFonts w:hint="eastAsia"/>
                <w:color w:val="auto"/>
              </w:rPr>
            </w:pPr>
            <w:r>
              <w:rPr>
                <w:rFonts w:hint="eastAsia"/>
                <w:color w:val="auto"/>
              </w:rPr>
              <w:t>根据项目所在区域的环境特点，必须在运行主管单位分设环境管理部门，配备相应专业的管理人员，专职管理人员不少于2人。</w:t>
            </w:r>
          </w:p>
          <w:p w14:paraId="2F811A1D">
            <w:pPr>
              <w:spacing w:line="360" w:lineRule="auto"/>
              <w:ind w:firstLine="480" w:firstLineChars="200"/>
              <w:rPr>
                <w:rFonts w:hint="eastAsia"/>
                <w:color w:val="auto"/>
              </w:rPr>
            </w:pPr>
            <w:r>
              <w:rPr>
                <w:rFonts w:hint="eastAsia"/>
                <w:color w:val="auto"/>
              </w:rPr>
              <w:t>环境管理部门的职能为：</w:t>
            </w:r>
          </w:p>
          <w:p w14:paraId="14F6D505">
            <w:pPr>
              <w:spacing w:line="360" w:lineRule="auto"/>
              <w:ind w:firstLine="480" w:firstLineChars="200"/>
              <w:rPr>
                <w:rFonts w:hint="eastAsia"/>
                <w:color w:val="auto"/>
              </w:rPr>
            </w:pPr>
            <w:r>
              <w:rPr>
                <w:rFonts w:hint="eastAsia"/>
                <w:color w:val="auto"/>
              </w:rPr>
              <w:t>（1）制定和实施各项环境监督管理计划；</w:t>
            </w:r>
          </w:p>
          <w:p w14:paraId="3FE836C9">
            <w:pPr>
              <w:spacing w:line="360" w:lineRule="auto"/>
              <w:ind w:firstLine="480" w:firstLineChars="200"/>
              <w:rPr>
                <w:rFonts w:hint="eastAsia"/>
                <w:color w:val="auto"/>
              </w:rPr>
            </w:pPr>
            <w:r>
              <w:rPr>
                <w:rFonts w:hint="eastAsia"/>
                <w:color w:val="auto"/>
              </w:rPr>
              <w:t>（2）建立环境保护管理台账，定期检查项目环境保护措施执行情况，定期进行环境保护信息公开；</w:t>
            </w:r>
          </w:p>
          <w:p w14:paraId="4A8A8639">
            <w:pPr>
              <w:spacing w:line="360" w:lineRule="auto"/>
              <w:ind w:firstLine="480" w:firstLineChars="200"/>
              <w:rPr>
                <w:rFonts w:hint="eastAsia"/>
                <w:color w:val="auto"/>
              </w:rPr>
            </w:pPr>
            <w:r>
              <w:rPr>
                <w:rFonts w:hint="eastAsia"/>
                <w:color w:val="auto"/>
              </w:rPr>
              <w:t>（3）检查各环保设施运行情况，及时处理出现的问题，保证环保设施正常运行；</w:t>
            </w:r>
          </w:p>
          <w:p w14:paraId="3F4C244E">
            <w:pPr>
              <w:spacing w:line="360" w:lineRule="auto"/>
              <w:ind w:firstLine="480" w:firstLineChars="200"/>
              <w:rPr>
                <w:rFonts w:hint="eastAsia"/>
                <w:color w:val="auto"/>
              </w:rPr>
            </w:pPr>
            <w:r>
              <w:rPr>
                <w:rFonts w:hint="eastAsia"/>
                <w:color w:val="auto"/>
              </w:rPr>
              <w:t>（</w:t>
            </w:r>
            <w:r>
              <w:rPr>
                <w:color w:val="auto"/>
              </w:rPr>
              <w:t>4</w:t>
            </w:r>
            <w:r>
              <w:rPr>
                <w:rFonts w:hint="eastAsia"/>
                <w:color w:val="auto"/>
              </w:rPr>
              <w:t>）不定期地巡查矿山各段，保护生态环境不被破坏，保证生态保护与工程运行相协调；</w:t>
            </w:r>
          </w:p>
          <w:p w14:paraId="671997E1">
            <w:pPr>
              <w:spacing w:line="360" w:lineRule="auto"/>
              <w:ind w:firstLine="480" w:firstLineChars="200"/>
              <w:rPr>
                <w:rFonts w:hint="eastAsia"/>
                <w:color w:val="auto"/>
              </w:rPr>
            </w:pPr>
            <w:r>
              <w:rPr>
                <w:rFonts w:hint="eastAsia"/>
                <w:color w:val="auto"/>
              </w:rPr>
              <w:t>（</w:t>
            </w:r>
            <w:r>
              <w:rPr>
                <w:color w:val="auto"/>
              </w:rPr>
              <w:t>5</w:t>
            </w:r>
            <w:r>
              <w:rPr>
                <w:rFonts w:hint="eastAsia"/>
                <w:color w:val="auto"/>
              </w:rPr>
              <w:t>）协调配合上级环保主管部门所进行的环境调查、生态调查等工作。</w:t>
            </w:r>
          </w:p>
          <w:p w14:paraId="5BE480E2">
            <w:pPr>
              <w:spacing w:line="360" w:lineRule="auto"/>
              <w:rPr>
                <w:rFonts w:hint="eastAsia"/>
                <w:b/>
                <w:color w:val="auto"/>
              </w:rPr>
            </w:pPr>
            <w:r>
              <w:rPr>
                <w:rFonts w:hint="eastAsia"/>
                <w:b/>
                <w:color w:val="auto"/>
              </w:rPr>
              <w:t>2、环境监测计划</w:t>
            </w:r>
          </w:p>
          <w:p w14:paraId="5C56EB25">
            <w:pPr>
              <w:spacing w:line="360" w:lineRule="auto"/>
              <w:ind w:firstLine="480" w:firstLineChars="200"/>
              <w:rPr>
                <w:color w:val="auto"/>
              </w:rPr>
            </w:pPr>
            <w:r>
              <w:rPr>
                <w:rFonts w:hint="eastAsia"/>
                <w:color w:val="auto"/>
              </w:rPr>
              <w:t>本项目投入生产运行后，应及时委托有资质单位进行废气和噪声监测工作。各项监测内容如下表。</w:t>
            </w:r>
          </w:p>
          <w:p w14:paraId="5E3B28B3">
            <w:pPr>
              <w:spacing w:line="360" w:lineRule="auto"/>
              <w:jc w:val="center"/>
              <w:rPr>
                <w:rFonts w:hint="eastAsia"/>
                <w:b/>
                <w:color w:val="auto"/>
              </w:rPr>
            </w:pPr>
            <w:r>
              <w:rPr>
                <w:rFonts w:hint="eastAsia"/>
                <w:b/>
                <w:color w:val="auto"/>
              </w:rPr>
              <w:t>表5-3 噪声环境监测计划表</w:t>
            </w:r>
          </w:p>
          <w:tbl>
            <w:tblPr>
              <w:tblStyle w:val="20"/>
              <w:tblW w:w="498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5"/>
              <w:gridCol w:w="849"/>
              <w:gridCol w:w="1537"/>
              <w:gridCol w:w="1298"/>
              <w:gridCol w:w="1253"/>
              <w:gridCol w:w="2581"/>
            </w:tblGrid>
            <w:tr w14:paraId="4041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423" w:type="pct"/>
                  <w:vAlign w:val="center"/>
                </w:tcPr>
                <w:p w14:paraId="1E953E62">
                  <w:pPr>
                    <w:jc w:val="center"/>
                    <w:rPr>
                      <w:color w:val="auto"/>
                      <w:sz w:val="21"/>
                      <w:szCs w:val="21"/>
                    </w:rPr>
                  </w:pPr>
                  <w:r>
                    <w:rPr>
                      <w:color w:val="auto"/>
                      <w:sz w:val="21"/>
                      <w:szCs w:val="21"/>
                    </w:rPr>
                    <w:t>监测项目</w:t>
                  </w:r>
                </w:p>
              </w:tc>
              <w:tc>
                <w:tcPr>
                  <w:tcW w:w="517" w:type="pct"/>
                  <w:vAlign w:val="center"/>
                </w:tcPr>
                <w:p w14:paraId="5E8709E5">
                  <w:pPr>
                    <w:jc w:val="center"/>
                    <w:rPr>
                      <w:color w:val="auto"/>
                      <w:sz w:val="21"/>
                      <w:szCs w:val="21"/>
                    </w:rPr>
                  </w:pPr>
                  <w:r>
                    <w:rPr>
                      <w:color w:val="auto"/>
                      <w:sz w:val="21"/>
                      <w:szCs w:val="21"/>
                    </w:rPr>
                    <w:t>阶段</w:t>
                  </w:r>
                </w:p>
              </w:tc>
              <w:tc>
                <w:tcPr>
                  <w:tcW w:w="936" w:type="pct"/>
                  <w:vAlign w:val="center"/>
                </w:tcPr>
                <w:p w14:paraId="7D937D4A">
                  <w:pPr>
                    <w:jc w:val="center"/>
                    <w:rPr>
                      <w:color w:val="auto"/>
                      <w:sz w:val="21"/>
                      <w:szCs w:val="21"/>
                    </w:rPr>
                  </w:pPr>
                  <w:r>
                    <w:rPr>
                      <w:color w:val="auto"/>
                      <w:sz w:val="21"/>
                      <w:szCs w:val="21"/>
                    </w:rPr>
                    <w:t>监测点位</w:t>
                  </w:r>
                </w:p>
              </w:tc>
              <w:tc>
                <w:tcPr>
                  <w:tcW w:w="790" w:type="pct"/>
                  <w:vAlign w:val="center"/>
                </w:tcPr>
                <w:p w14:paraId="1E3A7DB1">
                  <w:pPr>
                    <w:jc w:val="center"/>
                    <w:rPr>
                      <w:color w:val="auto"/>
                      <w:sz w:val="21"/>
                      <w:szCs w:val="21"/>
                    </w:rPr>
                  </w:pPr>
                  <w:r>
                    <w:rPr>
                      <w:color w:val="auto"/>
                      <w:sz w:val="21"/>
                      <w:szCs w:val="21"/>
                    </w:rPr>
                    <w:t>监测因子</w:t>
                  </w:r>
                </w:p>
              </w:tc>
              <w:tc>
                <w:tcPr>
                  <w:tcW w:w="763" w:type="pct"/>
                  <w:vAlign w:val="center"/>
                </w:tcPr>
                <w:p w14:paraId="44F4A1E1">
                  <w:pPr>
                    <w:jc w:val="center"/>
                    <w:rPr>
                      <w:color w:val="auto"/>
                      <w:sz w:val="21"/>
                      <w:szCs w:val="21"/>
                    </w:rPr>
                  </w:pPr>
                  <w:r>
                    <w:rPr>
                      <w:color w:val="auto"/>
                      <w:sz w:val="21"/>
                      <w:szCs w:val="21"/>
                    </w:rPr>
                    <w:t>监测频率</w:t>
                  </w:r>
                </w:p>
              </w:tc>
              <w:tc>
                <w:tcPr>
                  <w:tcW w:w="1571" w:type="pct"/>
                  <w:vAlign w:val="center"/>
                </w:tcPr>
                <w:p w14:paraId="77F2FF83">
                  <w:pPr>
                    <w:jc w:val="center"/>
                    <w:rPr>
                      <w:color w:val="auto"/>
                      <w:sz w:val="21"/>
                      <w:szCs w:val="21"/>
                    </w:rPr>
                  </w:pPr>
                  <w:r>
                    <w:rPr>
                      <w:color w:val="auto"/>
                      <w:sz w:val="21"/>
                      <w:szCs w:val="21"/>
                    </w:rPr>
                    <w:t>执行标准</w:t>
                  </w:r>
                </w:p>
              </w:tc>
            </w:tr>
            <w:tr w14:paraId="4D18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24911F21">
                  <w:pPr>
                    <w:jc w:val="center"/>
                    <w:rPr>
                      <w:rFonts w:hint="eastAsia"/>
                      <w:color w:val="auto"/>
                      <w:sz w:val="21"/>
                      <w:szCs w:val="21"/>
                    </w:rPr>
                  </w:pPr>
                  <w:r>
                    <w:rPr>
                      <w:rFonts w:hint="eastAsia"/>
                      <w:color w:val="auto"/>
                      <w:sz w:val="21"/>
                      <w:szCs w:val="21"/>
                    </w:rPr>
                    <w:t>废气</w:t>
                  </w:r>
                </w:p>
              </w:tc>
              <w:tc>
                <w:tcPr>
                  <w:tcW w:w="517" w:type="pct"/>
                  <w:vAlign w:val="center"/>
                </w:tcPr>
                <w:p w14:paraId="6E640B9A">
                  <w:pPr>
                    <w:jc w:val="center"/>
                    <w:rPr>
                      <w:rFonts w:hint="eastAsia"/>
                      <w:color w:val="auto"/>
                      <w:sz w:val="21"/>
                      <w:szCs w:val="21"/>
                    </w:rPr>
                  </w:pPr>
                  <w:r>
                    <w:rPr>
                      <w:rFonts w:hint="eastAsia"/>
                      <w:color w:val="auto"/>
                      <w:sz w:val="21"/>
                      <w:szCs w:val="21"/>
                    </w:rPr>
                    <w:t>施工期</w:t>
                  </w:r>
                </w:p>
              </w:tc>
              <w:tc>
                <w:tcPr>
                  <w:tcW w:w="936" w:type="pct"/>
                  <w:vAlign w:val="center"/>
                </w:tcPr>
                <w:p w14:paraId="0F1E1240">
                  <w:pPr>
                    <w:jc w:val="center"/>
                    <w:rPr>
                      <w:color w:val="auto"/>
                      <w:sz w:val="21"/>
                      <w:szCs w:val="21"/>
                    </w:rPr>
                  </w:pPr>
                  <w:r>
                    <w:rPr>
                      <w:rFonts w:hint="eastAsia"/>
                      <w:color w:val="auto"/>
                      <w:sz w:val="21"/>
                      <w:szCs w:val="21"/>
                    </w:rPr>
                    <w:t>厂界上风向（1个）和下风向（3个）</w:t>
                  </w:r>
                </w:p>
              </w:tc>
              <w:tc>
                <w:tcPr>
                  <w:tcW w:w="790" w:type="pct"/>
                  <w:vAlign w:val="center"/>
                </w:tcPr>
                <w:p w14:paraId="0FAEEC1B">
                  <w:pPr>
                    <w:jc w:val="center"/>
                    <w:rPr>
                      <w:color w:val="auto"/>
                      <w:sz w:val="21"/>
                      <w:szCs w:val="21"/>
                    </w:rPr>
                  </w:pPr>
                  <w:r>
                    <w:rPr>
                      <w:rFonts w:hint="eastAsia"/>
                      <w:color w:val="auto"/>
                      <w:sz w:val="21"/>
                      <w:szCs w:val="21"/>
                    </w:rPr>
                    <w:t>颗粒物、NO</w:t>
                  </w:r>
                  <w:r>
                    <w:rPr>
                      <w:rFonts w:hint="eastAsia"/>
                      <w:color w:val="auto"/>
                      <w:sz w:val="21"/>
                      <w:szCs w:val="21"/>
                      <w:vertAlign w:val="subscript"/>
                    </w:rPr>
                    <w:t>x</w:t>
                  </w:r>
                  <w:r>
                    <w:rPr>
                      <w:rFonts w:hint="eastAsia"/>
                      <w:color w:val="auto"/>
                      <w:sz w:val="21"/>
                      <w:szCs w:val="21"/>
                    </w:rPr>
                    <w:t>、SO</w:t>
                  </w:r>
                  <w:r>
                    <w:rPr>
                      <w:rFonts w:hint="eastAsia"/>
                      <w:color w:val="auto"/>
                      <w:sz w:val="21"/>
                      <w:szCs w:val="21"/>
                      <w:vertAlign w:val="subscript"/>
                    </w:rPr>
                    <w:t>2</w:t>
                  </w:r>
                  <w:r>
                    <w:rPr>
                      <w:rFonts w:hint="eastAsia"/>
                      <w:color w:val="auto"/>
                      <w:sz w:val="21"/>
                      <w:szCs w:val="21"/>
                    </w:rPr>
                    <w:t>、非甲烷总烃</w:t>
                  </w:r>
                </w:p>
              </w:tc>
              <w:tc>
                <w:tcPr>
                  <w:tcW w:w="763" w:type="pct"/>
                  <w:vAlign w:val="center"/>
                </w:tcPr>
                <w:p w14:paraId="44A48CE4">
                  <w:pPr>
                    <w:jc w:val="center"/>
                    <w:rPr>
                      <w:rFonts w:hint="eastAsia"/>
                      <w:color w:val="auto"/>
                      <w:sz w:val="21"/>
                      <w:szCs w:val="21"/>
                    </w:rPr>
                  </w:pPr>
                  <w:r>
                    <w:rPr>
                      <w:rFonts w:hint="eastAsia"/>
                      <w:color w:val="auto"/>
                      <w:sz w:val="21"/>
                      <w:szCs w:val="21"/>
                    </w:rPr>
                    <w:t>每季一次</w:t>
                  </w:r>
                </w:p>
              </w:tc>
              <w:tc>
                <w:tcPr>
                  <w:tcW w:w="1571" w:type="pct"/>
                  <w:vAlign w:val="center"/>
                </w:tcPr>
                <w:p w14:paraId="77BDF2CC">
                  <w:pPr>
                    <w:jc w:val="center"/>
                    <w:rPr>
                      <w:color w:val="auto"/>
                      <w:sz w:val="21"/>
                      <w:szCs w:val="21"/>
                    </w:rPr>
                  </w:pPr>
                  <w:r>
                    <w:rPr>
                      <w:rFonts w:hint="eastAsia"/>
                      <w:color w:val="auto"/>
                      <w:sz w:val="21"/>
                      <w:szCs w:val="21"/>
                    </w:rPr>
                    <w:t>《大气污染物综合排放标准》（GB16297-1996）中表2新污染源无组织排放监控浓度限值</w:t>
                  </w:r>
                </w:p>
              </w:tc>
            </w:tr>
            <w:tr w14:paraId="4A499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3DED4BAD">
                  <w:pPr>
                    <w:jc w:val="center"/>
                    <w:rPr>
                      <w:color w:val="auto"/>
                      <w:sz w:val="21"/>
                      <w:szCs w:val="21"/>
                    </w:rPr>
                  </w:pPr>
                  <w:r>
                    <w:rPr>
                      <w:color w:val="auto"/>
                      <w:sz w:val="21"/>
                      <w:szCs w:val="21"/>
                    </w:rPr>
                    <w:t>噪声</w:t>
                  </w:r>
                </w:p>
              </w:tc>
              <w:tc>
                <w:tcPr>
                  <w:tcW w:w="517" w:type="pct"/>
                  <w:vAlign w:val="center"/>
                </w:tcPr>
                <w:p w14:paraId="537D0802">
                  <w:pPr>
                    <w:jc w:val="center"/>
                    <w:rPr>
                      <w:color w:val="auto"/>
                      <w:sz w:val="21"/>
                      <w:szCs w:val="21"/>
                    </w:rPr>
                  </w:pPr>
                  <w:r>
                    <w:rPr>
                      <w:rFonts w:hint="eastAsia"/>
                      <w:color w:val="auto"/>
                      <w:sz w:val="21"/>
                      <w:szCs w:val="21"/>
                    </w:rPr>
                    <w:t>施工</w:t>
                  </w:r>
                  <w:r>
                    <w:rPr>
                      <w:color w:val="auto"/>
                      <w:sz w:val="21"/>
                      <w:szCs w:val="21"/>
                    </w:rPr>
                    <w:t>期</w:t>
                  </w:r>
                </w:p>
              </w:tc>
              <w:tc>
                <w:tcPr>
                  <w:tcW w:w="936" w:type="pct"/>
                  <w:vAlign w:val="center"/>
                </w:tcPr>
                <w:p w14:paraId="7EA91E99">
                  <w:pPr>
                    <w:jc w:val="center"/>
                    <w:rPr>
                      <w:color w:val="auto"/>
                      <w:sz w:val="21"/>
                      <w:szCs w:val="21"/>
                    </w:rPr>
                  </w:pPr>
                  <w:r>
                    <w:rPr>
                      <w:color w:val="auto"/>
                      <w:sz w:val="21"/>
                      <w:szCs w:val="21"/>
                    </w:rPr>
                    <w:t>厂界东、南、西、北面各设一个监测点</w:t>
                  </w:r>
                </w:p>
              </w:tc>
              <w:tc>
                <w:tcPr>
                  <w:tcW w:w="790" w:type="pct"/>
                  <w:vAlign w:val="center"/>
                </w:tcPr>
                <w:p w14:paraId="3907C6AC">
                  <w:pPr>
                    <w:jc w:val="center"/>
                    <w:rPr>
                      <w:color w:val="auto"/>
                      <w:sz w:val="21"/>
                      <w:szCs w:val="21"/>
                    </w:rPr>
                  </w:pPr>
                  <w:r>
                    <w:rPr>
                      <w:color w:val="auto"/>
                      <w:sz w:val="21"/>
                      <w:szCs w:val="21"/>
                    </w:rPr>
                    <w:t>等效连续A声级</w:t>
                  </w:r>
                </w:p>
              </w:tc>
              <w:tc>
                <w:tcPr>
                  <w:tcW w:w="763" w:type="pct"/>
                  <w:vAlign w:val="center"/>
                </w:tcPr>
                <w:p w14:paraId="7A5D8E52">
                  <w:pPr>
                    <w:jc w:val="center"/>
                    <w:rPr>
                      <w:color w:val="auto"/>
                      <w:sz w:val="21"/>
                      <w:szCs w:val="21"/>
                    </w:rPr>
                  </w:pPr>
                  <w:r>
                    <w:rPr>
                      <w:color w:val="auto"/>
                      <w:sz w:val="21"/>
                      <w:szCs w:val="21"/>
                    </w:rPr>
                    <w:t>每季度监测1天，每天昼</w:t>
                  </w:r>
                  <w:r>
                    <w:rPr>
                      <w:rFonts w:hint="eastAsia"/>
                      <w:color w:val="auto"/>
                      <w:sz w:val="21"/>
                      <w:szCs w:val="21"/>
                    </w:rPr>
                    <w:t>间</w:t>
                  </w:r>
                  <w:r>
                    <w:rPr>
                      <w:color w:val="auto"/>
                      <w:sz w:val="21"/>
                      <w:szCs w:val="21"/>
                    </w:rPr>
                    <w:t>监测1次</w:t>
                  </w:r>
                </w:p>
              </w:tc>
              <w:tc>
                <w:tcPr>
                  <w:tcW w:w="1571" w:type="pct"/>
                  <w:vAlign w:val="center"/>
                </w:tcPr>
                <w:p w14:paraId="7229D7D2">
                  <w:pPr>
                    <w:jc w:val="center"/>
                    <w:rPr>
                      <w:color w:val="auto"/>
                      <w:sz w:val="21"/>
                      <w:szCs w:val="21"/>
                    </w:rPr>
                  </w:pPr>
                  <w:r>
                    <w:rPr>
                      <w:rFonts w:hint="eastAsia"/>
                      <w:color w:val="auto"/>
                      <w:sz w:val="21"/>
                      <w:szCs w:val="21"/>
                    </w:rPr>
                    <w:t>《建筑施工场界环境噪声排放标准》（GB12523-2011）</w:t>
                  </w:r>
                  <w:r>
                    <w:rPr>
                      <w:color w:val="auto"/>
                      <w:sz w:val="21"/>
                      <w:szCs w:val="21"/>
                    </w:rPr>
                    <w:t>要求</w:t>
                  </w:r>
                </w:p>
              </w:tc>
            </w:tr>
          </w:tbl>
          <w:p w14:paraId="0D87CB7A">
            <w:pPr>
              <w:spacing w:line="360" w:lineRule="auto"/>
              <w:ind w:firstLine="480" w:firstLineChars="200"/>
              <w:rPr>
                <w:rFonts w:ascii="宋体" w:hAnsi="宋体" w:cs="宋体"/>
                <w:bCs/>
                <w:color w:val="auto"/>
                <w:spacing w:val="10"/>
                <w:szCs w:val="21"/>
              </w:rPr>
            </w:pPr>
            <w:r>
              <w:rPr>
                <w:rFonts w:hint="eastAsia"/>
                <w:color w:val="auto"/>
              </w:rPr>
              <w:t>监测任务由企业根据实际情况委托有相应资质的单位承担。</w:t>
            </w:r>
          </w:p>
        </w:tc>
      </w:tr>
      <w:tr w14:paraId="24334E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1" w:hRule="atLeast"/>
          <w:jc w:val="center"/>
        </w:trPr>
        <w:tc>
          <w:tcPr>
            <w:tcW w:w="753" w:type="dxa"/>
            <w:vAlign w:val="center"/>
          </w:tcPr>
          <w:p w14:paraId="657686E8">
            <w:pPr>
              <w:adjustRightInd w:val="0"/>
              <w:snapToGrid w:val="0"/>
              <w:jc w:val="center"/>
              <w:rPr>
                <w:rFonts w:ascii="宋体" w:hAnsi="宋体" w:cs="宋体"/>
                <w:bCs/>
                <w:color w:val="auto"/>
                <w:spacing w:val="10"/>
                <w:szCs w:val="21"/>
              </w:rPr>
            </w:pPr>
            <w:r>
              <w:rPr>
                <w:rFonts w:hint="eastAsia" w:ascii="宋体" w:hAnsi="宋体"/>
                <w:bCs/>
                <w:color w:val="auto"/>
                <w:szCs w:val="21"/>
              </w:rPr>
              <w:t>环保投资</w:t>
            </w:r>
          </w:p>
        </w:tc>
        <w:tc>
          <w:tcPr>
            <w:tcW w:w="8457" w:type="dxa"/>
          </w:tcPr>
          <w:p w14:paraId="0F22647A">
            <w:pPr>
              <w:spacing w:line="360" w:lineRule="auto"/>
              <w:ind w:firstLine="480" w:firstLineChars="200"/>
              <w:rPr>
                <w:color w:val="auto"/>
              </w:rPr>
            </w:pPr>
            <w:r>
              <w:rPr>
                <w:color w:val="auto"/>
              </w:rPr>
              <w:t>项目总投资为</w:t>
            </w:r>
            <w:r>
              <w:rPr>
                <w:rFonts w:hint="eastAsia"/>
                <w:color w:val="auto"/>
              </w:rPr>
              <w:t>33000</w:t>
            </w:r>
            <w:r>
              <w:rPr>
                <w:color w:val="auto"/>
              </w:rPr>
              <w:t>万元，其中，环保投资</w:t>
            </w:r>
            <w:r>
              <w:rPr>
                <w:rFonts w:hint="eastAsia"/>
                <w:color w:val="auto"/>
              </w:rPr>
              <w:t>12</w:t>
            </w:r>
            <w:r>
              <w:rPr>
                <w:color w:val="auto"/>
              </w:rPr>
              <w:t>06.5万元，占总投资的</w:t>
            </w:r>
            <w:r>
              <w:rPr>
                <w:rFonts w:hint="eastAsia"/>
                <w:color w:val="auto"/>
              </w:rPr>
              <w:t>3.</w:t>
            </w:r>
            <w:r>
              <w:rPr>
                <w:color w:val="auto"/>
              </w:rPr>
              <w:t>65%，具体环保措施及投资见下表。</w:t>
            </w:r>
          </w:p>
          <w:p w14:paraId="357548E7">
            <w:pPr>
              <w:spacing w:line="360" w:lineRule="auto"/>
              <w:jc w:val="center"/>
              <w:rPr>
                <w:b/>
                <w:bCs/>
                <w:color w:val="auto"/>
              </w:rPr>
            </w:pPr>
            <w:r>
              <w:rPr>
                <w:rFonts w:hint="eastAsia"/>
                <w:b/>
                <w:bCs/>
                <w:color w:val="auto"/>
              </w:rPr>
              <w:t>表5-</w:t>
            </w:r>
            <w:r>
              <w:rPr>
                <w:rFonts w:hint="eastAsia"/>
                <w:b/>
                <w:bCs/>
                <w:color w:val="auto"/>
                <w:lang w:val="en-US" w:eastAsia="zh-CN"/>
              </w:rPr>
              <w:t>4</w:t>
            </w:r>
            <w:r>
              <w:rPr>
                <w:rFonts w:hint="eastAsia"/>
                <w:b/>
                <w:bCs/>
                <w:color w:val="auto"/>
              </w:rPr>
              <w:t xml:space="preserve"> 项目主要环境保护措施一览表</w:t>
            </w:r>
          </w:p>
          <w:tbl>
            <w:tblPr>
              <w:tblStyle w:val="19"/>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1489"/>
              <w:gridCol w:w="4686"/>
              <w:gridCol w:w="1384"/>
            </w:tblGrid>
            <w:tr w14:paraId="68A1AD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11" w:type="pct"/>
                  <w:gridSpan w:val="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56DCD19">
                  <w:pPr>
                    <w:pStyle w:val="4"/>
                    <w:ind w:firstLine="0" w:firstLineChars="0"/>
                    <w:jc w:val="center"/>
                    <w:rPr>
                      <w:b/>
                      <w:color w:val="auto"/>
                      <w:szCs w:val="21"/>
                    </w:rPr>
                  </w:pPr>
                  <w:r>
                    <w:rPr>
                      <w:rFonts w:hint="eastAsia"/>
                      <w:b/>
                      <w:color w:val="auto"/>
                      <w:szCs w:val="21"/>
                    </w:rPr>
                    <w:t>环境影响因素</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A294FBE">
                  <w:pPr>
                    <w:pStyle w:val="4"/>
                    <w:ind w:firstLine="0" w:firstLineChars="0"/>
                    <w:jc w:val="center"/>
                    <w:rPr>
                      <w:b/>
                      <w:color w:val="auto"/>
                      <w:szCs w:val="21"/>
                    </w:rPr>
                  </w:pPr>
                  <w:r>
                    <w:rPr>
                      <w:rFonts w:hint="eastAsia"/>
                      <w:b/>
                      <w:color w:val="auto"/>
                      <w:szCs w:val="21"/>
                    </w:rPr>
                    <w:t>环境保护措施</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0B55996">
                  <w:pPr>
                    <w:pStyle w:val="4"/>
                    <w:ind w:firstLine="0" w:firstLineChars="0"/>
                    <w:jc w:val="center"/>
                    <w:rPr>
                      <w:b/>
                      <w:color w:val="auto"/>
                      <w:szCs w:val="21"/>
                    </w:rPr>
                  </w:pPr>
                  <w:r>
                    <w:rPr>
                      <w:rFonts w:hint="eastAsia"/>
                      <w:b/>
                      <w:color w:val="auto"/>
                      <w:szCs w:val="21"/>
                    </w:rPr>
                    <w:t>投资估算(万元)</w:t>
                  </w:r>
                </w:p>
              </w:tc>
            </w:tr>
            <w:tr w14:paraId="14188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FE18D36">
                  <w:pPr>
                    <w:pStyle w:val="4"/>
                    <w:ind w:firstLine="0" w:firstLineChars="0"/>
                    <w:jc w:val="center"/>
                    <w:rPr>
                      <w:color w:val="auto"/>
                      <w:szCs w:val="21"/>
                    </w:rPr>
                  </w:pPr>
                  <w:r>
                    <w:rPr>
                      <w:rFonts w:hint="eastAsia"/>
                      <w:color w:val="auto"/>
                      <w:szCs w:val="21"/>
                    </w:rPr>
                    <w:t>生态环境</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B15383">
                  <w:pPr>
                    <w:pStyle w:val="4"/>
                    <w:ind w:firstLine="0" w:firstLineChars="0"/>
                    <w:jc w:val="center"/>
                    <w:rPr>
                      <w:color w:val="auto"/>
                      <w:szCs w:val="21"/>
                    </w:rPr>
                  </w:pPr>
                  <w:r>
                    <w:rPr>
                      <w:rFonts w:hint="eastAsia"/>
                      <w:color w:val="auto"/>
                      <w:szCs w:val="21"/>
                      <w:lang w:val="en-US" w:eastAsia="zh-CN"/>
                    </w:rPr>
                    <w:t>占</w:t>
                  </w:r>
                  <w:r>
                    <w:rPr>
                      <w:rFonts w:hint="eastAsia"/>
                      <w:color w:val="auto"/>
                      <w:szCs w:val="21"/>
                    </w:rPr>
                    <w:t>地影响</w:t>
                  </w:r>
                </w:p>
              </w:tc>
              <w:tc>
                <w:tcPr>
                  <w:tcW w:w="2847"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63AB15">
                  <w:pPr>
                    <w:pStyle w:val="4"/>
                    <w:ind w:firstLine="0" w:firstLineChars="0"/>
                    <w:jc w:val="center"/>
                    <w:rPr>
                      <w:color w:val="auto"/>
                      <w:szCs w:val="21"/>
                    </w:rPr>
                  </w:pPr>
                  <w:r>
                    <w:rPr>
                      <w:rFonts w:hint="eastAsia"/>
                      <w:color w:val="auto"/>
                      <w:szCs w:val="21"/>
                    </w:rPr>
                    <w:t>①采用边采边复垦缩短</w:t>
                  </w:r>
                  <w:r>
                    <w:rPr>
                      <w:rFonts w:hint="eastAsia"/>
                      <w:color w:val="auto"/>
                      <w:szCs w:val="21"/>
                      <w:lang w:val="en-US" w:eastAsia="zh-CN"/>
                    </w:rPr>
                    <w:t>占</w:t>
                  </w:r>
                  <w:r>
                    <w:rPr>
                      <w:rFonts w:hint="eastAsia"/>
                      <w:color w:val="auto"/>
                      <w:szCs w:val="21"/>
                    </w:rPr>
                    <w:t>地时间和减小</w:t>
                  </w:r>
                  <w:r>
                    <w:rPr>
                      <w:rFonts w:hint="eastAsia"/>
                      <w:color w:val="auto"/>
                      <w:szCs w:val="21"/>
                      <w:lang w:val="en-US" w:eastAsia="zh-CN"/>
                    </w:rPr>
                    <w:t>占</w:t>
                  </w:r>
                  <w:r>
                    <w:rPr>
                      <w:rFonts w:hint="eastAsia"/>
                      <w:color w:val="auto"/>
                      <w:szCs w:val="21"/>
                    </w:rPr>
                    <w:t>地面积；符合《土地复垦技术要求与验收规范》（DB45/T 892-2012）的相关要求；②水保措施先行，并采取工程措施和植物措施避免水土流失</w:t>
                  </w:r>
                </w:p>
              </w:tc>
              <w:tc>
                <w:tcPr>
                  <w:tcW w:w="84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10C496F">
                  <w:pPr>
                    <w:pStyle w:val="4"/>
                    <w:ind w:firstLine="0" w:firstLineChars="0"/>
                    <w:jc w:val="center"/>
                    <w:rPr>
                      <w:color w:val="auto"/>
                      <w:szCs w:val="21"/>
                    </w:rPr>
                  </w:pPr>
                  <w:r>
                    <w:rPr>
                      <w:rFonts w:hint="eastAsia"/>
                      <w:color w:val="auto"/>
                      <w:szCs w:val="21"/>
                    </w:rPr>
                    <w:t>计入复垦投资</w:t>
                  </w:r>
                </w:p>
              </w:tc>
            </w:tr>
            <w:tr w14:paraId="6EF4CF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1569C6">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9CDB12F">
                  <w:pPr>
                    <w:pStyle w:val="4"/>
                    <w:ind w:firstLine="0" w:firstLineChars="0"/>
                    <w:jc w:val="center"/>
                    <w:rPr>
                      <w:color w:val="auto"/>
                      <w:szCs w:val="21"/>
                    </w:rPr>
                  </w:pPr>
                  <w:r>
                    <w:rPr>
                      <w:rFonts w:hint="eastAsia"/>
                      <w:color w:val="auto"/>
                      <w:szCs w:val="21"/>
                    </w:rPr>
                    <w:t>植被破坏</w:t>
                  </w:r>
                </w:p>
              </w:tc>
              <w:tc>
                <w:tcPr>
                  <w:tcW w:w="284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B3A0F6">
                  <w:pPr>
                    <w:pStyle w:val="4"/>
                    <w:ind w:firstLine="0" w:firstLineChars="0"/>
                    <w:jc w:val="center"/>
                    <w:rPr>
                      <w:color w:val="auto"/>
                      <w:szCs w:val="21"/>
                    </w:rPr>
                  </w:pPr>
                </w:p>
              </w:tc>
              <w:tc>
                <w:tcPr>
                  <w:tcW w:w="84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C9AA236">
                  <w:pPr>
                    <w:pStyle w:val="4"/>
                    <w:ind w:firstLine="0" w:firstLineChars="0"/>
                    <w:jc w:val="center"/>
                    <w:rPr>
                      <w:color w:val="auto"/>
                      <w:szCs w:val="21"/>
                    </w:rPr>
                  </w:pPr>
                </w:p>
              </w:tc>
            </w:tr>
            <w:tr w14:paraId="4628FE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2687E7">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9D839A4">
                  <w:pPr>
                    <w:pStyle w:val="4"/>
                    <w:ind w:firstLine="0" w:firstLineChars="0"/>
                    <w:jc w:val="center"/>
                    <w:rPr>
                      <w:color w:val="auto"/>
                      <w:szCs w:val="21"/>
                    </w:rPr>
                  </w:pPr>
                  <w:r>
                    <w:rPr>
                      <w:rFonts w:hint="eastAsia"/>
                      <w:color w:val="auto"/>
                      <w:szCs w:val="21"/>
                    </w:rPr>
                    <w:t>水土流失</w:t>
                  </w:r>
                </w:p>
              </w:tc>
              <w:tc>
                <w:tcPr>
                  <w:tcW w:w="284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070854F">
                  <w:pPr>
                    <w:pStyle w:val="4"/>
                    <w:ind w:firstLine="0" w:firstLineChars="0"/>
                    <w:jc w:val="center"/>
                    <w:rPr>
                      <w:color w:val="auto"/>
                      <w:szCs w:val="21"/>
                    </w:rPr>
                  </w:pPr>
                </w:p>
              </w:tc>
              <w:tc>
                <w:tcPr>
                  <w:tcW w:w="84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6EBCF6">
                  <w:pPr>
                    <w:pStyle w:val="4"/>
                    <w:ind w:firstLine="0" w:firstLineChars="0"/>
                    <w:jc w:val="center"/>
                    <w:rPr>
                      <w:color w:val="auto"/>
                      <w:szCs w:val="21"/>
                    </w:rPr>
                  </w:pPr>
                </w:p>
              </w:tc>
            </w:tr>
            <w:tr w14:paraId="76AAB6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CCE8E6D">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ADDEE9F">
                  <w:pPr>
                    <w:pStyle w:val="4"/>
                    <w:ind w:firstLine="0" w:firstLineChars="0"/>
                    <w:jc w:val="center"/>
                    <w:rPr>
                      <w:color w:val="auto"/>
                      <w:szCs w:val="21"/>
                    </w:rPr>
                  </w:pPr>
                  <w:r>
                    <w:rPr>
                      <w:rFonts w:hint="eastAsia"/>
                      <w:color w:val="auto"/>
                      <w:szCs w:val="21"/>
                    </w:rPr>
                    <w:t>地质灾害</w:t>
                  </w:r>
                </w:p>
              </w:tc>
              <w:tc>
                <w:tcPr>
                  <w:tcW w:w="284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7853315">
                  <w:pPr>
                    <w:pStyle w:val="4"/>
                    <w:ind w:firstLine="0" w:firstLineChars="0"/>
                    <w:jc w:val="center"/>
                    <w:rPr>
                      <w:color w:val="auto"/>
                      <w:szCs w:val="21"/>
                    </w:rPr>
                  </w:pPr>
                </w:p>
              </w:tc>
              <w:tc>
                <w:tcPr>
                  <w:tcW w:w="84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85C06E4">
                  <w:pPr>
                    <w:pStyle w:val="4"/>
                    <w:ind w:firstLine="0" w:firstLineChars="0"/>
                    <w:jc w:val="center"/>
                    <w:rPr>
                      <w:color w:val="auto"/>
                      <w:szCs w:val="21"/>
                    </w:rPr>
                  </w:pPr>
                </w:p>
              </w:tc>
            </w:tr>
            <w:tr w14:paraId="1341B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E11FF9A">
                  <w:pPr>
                    <w:pStyle w:val="4"/>
                    <w:ind w:firstLine="0" w:firstLineChars="0"/>
                    <w:jc w:val="center"/>
                    <w:rPr>
                      <w:color w:val="auto"/>
                      <w:szCs w:val="21"/>
                    </w:rPr>
                  </w:pPr>
                  <w:r>
                    <w:rPr>
                      <w:rFonts w:hint="eastAsia"/>
                      <w:color w:val="auto"/>
                      <w:szCs w:val="21"/>
                    </w:rPr>
                    <w:t>大气污染源</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54CBCF">
                  <w:pPr>
                    <w:pStyle w:val="4"/>
                    <w:ind w:firstLine="0" w:firstLineChars="0"/>
                    <w:jc w:val="center"/>
                    <w:rPr>
                      <w:color w:val="auto"/>
                      <w:szCs w:val="21"/>
                    </w:rPr>
                  </w:pPr>
                  <w:r>
                    <w:rPr>
                      <w:rFonts w:hint="eastAsia"/>
                      <w:color w:val="auto"/>
                      <w:szCs w:val="21"/>
                    </w:rPr>
                    <w:t>放喷池</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EC485B">
                  <w:pPr>
                    <w:pStyle w:val="4"/>
                    <w:ind w:firstLine="0" w:firstLineChars="0"/>
                    <w:jc w:val="center"/>
                    <w:rPr>
                      <w:color w:val="auto"/>
                      <w:szCs w:val="21"/>
                    </w:rPr>
                  </w:pPr>
                  <w:r>
                    <w:rPr>
                      <w:rFonts w:hint="eastAsia"/>
                      <w:color w:val="auto"/>
                      <w:szCs w:val="21"/>
                    </w:rPr>
                    <w:t>放喷池1座，采用对空短火焰灼烧器，修建放喷池减低辐射影响。</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EFE1ADF">
                  <w:pPr>
                    <w:jc w:val="center"/>
                    <w:rPr>
                      <w:color w:val="auto"/>
                      <w:sz w:val="21"/>
                      <w:szCs w:val="21"/>
                    </w:rPr>
                  </w:pPr>
                  <w:r>
                    <w:rPr>
                      <w:color w:val="auto"/>
                      <w:spacing w:val="7"/>
                      <w:position w:val="4"/>
                      <w:sz w:val="21"/>
                      <w:szCs w:val="21"/>
                    </w:rPr>
                    <w:t>纳入</w:t>
                  </w:r>
                  <w:r>
                    <w:rPr>
                      <w:rFonts w:hint="eastAsia"/>
                      <w:color w:val="auto"/>
                      <w:spacing w:val="7"/>
                      <w:position w:val="4"/>
                      <w:sz w:val="21"/>
                      <w:szCs w:val="21"/>
                    </w:rPr>
                    <w:t>工程投资</w:t>
                  </w:r>
                </w:p>
              </w:tc>
            </w:tr>
            <w:tr w14:paraId="7400BD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8418A47">
                  <w:pPr>
                    <w:pStyle w:val="4"/>
                    <w:ind w:firstLine="0" w:firstLineChars="0"/>
                    <w:jc w:val="center"/>
                    <w:rPr>
                      <w:color w:val="auto"/>
                      <w:szCs w:val="21"/>
                    </w:rPr>
                  </w:pPr>
                  <w:r>
                    <w:rPr>
                      <w:rFonts w:hint="eastAsia"/>
                      <w:color w:val="auto"/>
                      <w:szCs w:val="21"/>
                    </w:rPr>
                    <w:t>地表水污染源</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8389074">
                  <w:pPr>
                    <w:pStyle w:val="4"/>
                    <w:ind w:firstLine="0" w:firstLineChars="0"/>
                    <w:jc w:val="center"/>
                    <w:rPr>
                      <w:color w:val="auto"/>
                      <w:szCs w:val="21"/>
                    </w:rPr>
                  </w:pPr>
                  <w:r>
                    <w:rPr>
                      <w:rFonts w:hint="eastAsia"/>
                      <w:color w:val="auto"/>
                      <w:szCs w:val="21"/>
                    </w:rPr>
                    <w:t>钻井废水、洗井废水、场地雨水</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3ADBDB2">
                  <w:pPr>
                    <w:pStyle w:val="4"/>
                    <w:ind w:firstLine="0" w:firstLineChars="0"/>
                    <w:jc w:val="center"/>
                    <w:rPr>
                      <w:color w:val="auto"/>
                      <w:szCs w:val="21"/>
                    </w:rPr>
                  </w:pPr>
                  <w:r>
                    <w:rPr>
                      <w:rFonts w:hint="eastAsia"/>
                      <w:color w:val="auto"/>
                      <w:szCs w:val="21"/>
                    </w:rPr>
                    <w:t>钻井废水进入泥浆循环系统，洗井废水采用污水池300</w:t>
                  </w:r>
                  <w:r>
                    <w:rPr>
                      <w:color w:val="auto"/>
                      <w:szCs w:val="21"/>
                    </w:rPr>
                    <w:t>m</w:t>
                  </w:r>
                  <w:r>
                    <w:rPr>
                      <w:color w:val="auto"/>
                      <w:szCs w:val="21"/>
                      <w:vertAlign w:val="superscript"/>
                    </w:rPr>
                    <w:t>3</w:t>
                  </w:r>
                  <w:r>
                    <w:rPr>
                      <w:rFonts w:hint="eastAsia"/>
                      <w:color w:val="auto"/>
                      <w:szCs w:val="21"/>
                    </w:rPr>
                    <w:t>存储，场地雨水采用集液池存储。</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097142B">
                  <w:pPr>
                    <w:pStyle w:val="4"/>
                    <w:ind w:firstLine="0" w:firstLineChars="0"/>
                    <w:jc w:val="center"/>
                    <w:rPr>
                      <w:color w:val="auto"/>
                      <w:szCs w:val="21"/>
                    </w:rPr>
                  </w:pPr>
                  <w:r>
                    <w:rPr>
                      <w:rFonts w:hint="eastAsia"/>
                      <w:color w:val="auto"/>
                      <w:szCs w:val="21"/>
                    </w:rPr>
                    <w:t>依托现有工程</w:t>
                  </w:r>
                </w:p>
              </w:tc>
            </w:tr>
            <w:tr w14:paraId="2DFBBA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3EE4952C">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25CA29">
                  <w:pPr>
                    <w:pStyle w:val="4"/>
                    <w:ind w:firstLine="0" w:firstLineChars="0"/>
                    <w:jc w:val="center"/>
                    <w:rPr>
                      <w:color w:val="auto"/>
                      <w:szCs w:val="21"/>
                    </w:rPr>
                  </w:pPr>
                  <w:r>
                    <w:rPr>
                      <w:rFonts w:hint="eastAsia"/>
                      <w:color w:val="auto"/>
                      <w:szCs w:val="21"/>
                    </w:rPr>
                    <w:t>压裂返排液</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F826CA1">
                  <w:pPr>
                    <w:pStyle w:val="4"/>
                    <w:ind w:firstLine="0" w:firstLineChars="0"/>
                    <w:jc w:val="center"/>
                    <w:rPr>
                      <w:color w:val="auto"/>
                      <w:szCs w:val="21"/>
                    </w:rPr>
                  </w:pPr>
                  <w:r>
                    <w:rPr>
                      <w:rFonts w:hint="eastAsia"/>
                      <w:color w:val="auto"/>
                      <w:szCs w:val="21"/>
                    </w:rPr>
                    <w:t>压裂返排液先在本平台井站回用，收集于循环罐区，</w:t>
                  </w:r>
                  <w:r>
                    <w:rPr>
                      <w:rFonts w:hint="eastAsia"/>
                      <w:color w:val="auto"/>
                      <w:kern w:val="28"/>
                      <w:szCs w:val="21"/>
                    </w:rPr>
                    <w:t>项目开工前将于与有资质的污水处理单位签订协议，</w:t>
                  </w:r>
                  <w:r>
                    <w:rPr>
                      <w:rFonts w:hint="eastAsia"/>
                      <w:color w:val="auto"/>
                      <w:szCs w:val="21"/>
                    </w:rPr>
                    <w:t>不能回用时定期通过罐车运输压裂返排液至污水处理单位进行处理。</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899B92">
                  <w:pPr>
                    <w:pStyle w:val="4"/>
                    <w:ind w:firstLine="0" w:firstLineChars="0"/>
                    <w:jc w:val="center"/>
                    <w:rPr>
                      <w:color w:val="auto"/>
                      <w:szCs w:val="21"/>
                    </w:rPr>
                  </w:pPr>
                  <w:r>
                    <w:rPr>
                      <w:rFonts w:hint="eastAsia"/>
                      <w:color w:val="auto"/>
                      <w:szCs w:val="21"/>
                    </w:rPr>
                    <w:t>30</w:t>
                  </w:r>
                </w:p>
              </w:tc>
            </w:tr>
            <w:tr w14:paraId="28AB06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600DCB26">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134AC0F">
                  <w:pPr>
                    <w:pStyle w:val="4"/>
                    <w:ind w:firstLine="0" w:firstLineChars="0"/>
                    <w:jc w:val="center"/>
                    <w:rPr>
                      <w:color w:val="auto"/>
                      <w:szCs w:val="21"/>
                    </w:rPr>
                  </w:pPr>
                  <w:r>
                    <w:rPr>
                      <w:rFonts w:hint="eastAsia"/>
                      <w:color w:val="auto"/>
                      <w:szCs w:val="21"/>
                    </w:rPr>
                    <w:t>管道试压废水</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A91C4FB">
                  <w:pPr>
                    <w:pStyle w:val="4"/>
                    <w:ind w:firstLine="0" w:firstLineChars="0"/>
                    <w:jc w:val="center"/>
                    <w:rPr>
                      <w:color w:val="auto"/>
                      <w:szCs w:val="21"/>
                    </w:rPr>
                  </w:pPr>
                  <w:r>
                    <w:rPr>
                      <w:rFonts w:hint="eastAsia"/>
                      <w:color w:val="auto"/>
                      <w:szCs w:val="21"/>
                    </w:rPr>
                    <w:t>收集后用于井场施工期洒水，无废水排放。</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B0D8EC3">
                  <w:pPr>
                    <w:pStyle w:val="4"/>
                    <w:ind w:firstLine="0" w:firstLineChars="0"/>
                    <w:jc w:val="center"/>
                    <w:rPr>
                      <w:color w:val="auto"/>
                      <w:szCs w:val="21"/>
                    </w:rPr>
                  </w:pPr>
                  <w:r>
                    <w:rPr>
                      <w:rFonts w:hint="eastAsia"/>
                      <w:color w:val="auto"/>
                      <w:szCs w:val="21"/>
                    </w:rPr>
                    <w:t>依托现有工程</w:t>
                  </w:r>
                </w:p>
              </w:tc>
            </w:tr>
            <w:tr w14:paraId="3BBF30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2418E27">
                  <w:pPr>
                    <w:pStyle w:val="4"/>
                    <w:ind w:firstLine="0" w:firstLineChars="0"/>
                    <w:jc w:val="center"/>
                    <w:rPr>
                      <w:color w:val="auto"/>
                      <w:szCs w:val="21"/>
                    </w:rPr>
                  </w:pPr>
                </w:p>
              </w:tc>
              <w:tc>
                <w:tcPr>
                  <w:tcW w:w="905"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672550A">
                  <w:pPr>
                    <w:pStyle w:val="4"/>
                    <w:ind w:firstLine="0" w:firstLineChars="0"/>
                    <w:jc w:val="center"/>
                    <w:rPr>
                      <w:color w:val="auto"/>
                      <w:szCs w:val="21"/>
                    </w:rPr>
                  </w:pPr>
                  <w:r>
                    <w:rPr>
                      <w:rFonts w:hint="eastAsia"/>
                      <w:color w:val="auto"/>
                      <w:szCs w:val="21"/>
                    </w:rPr>
                    <w:t>生活污水</w:t>
                  </w:r>
                </w:p>
              </w:tc>
              <w:tc>
                <w:tcPr>
                  <w:tcW w:w="2847"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B905EC0">
                  <w:pPr>
                    <w:pStyle w:val="4"/>
                    <w:ind w:firstLine="0" w:firstLineChars="0"/>
                    <w:jc w:val="center"/>
                    <w:rPr>
                      <w:color w:val="auto"/>
                      <w:szCs w:val="21"/>
                    </w:rPr>
                  </w:pPr>
                  <w:r>
                    <w:rPr>
                      <w:rFonts w:hint="eastAsia"/>
                      <w:color w:val="auto"/>
                      <w:kern w:val="28"/>
                      <w:szCs w:val="21"/>
                    </w:rPr>
                    <w:t>项目在开工前与污水处理单位签订协议，定期拉运新增生活污水至当地有接收能力且环保手续齐备的生活污水处理厂（站）统一处理及排放。</w:t>
                  </w:r>
                </w:p>
              </w:tc>
              <w:tc>
                <w:tcPr>
                  <w:tcW w:w="842" w:type="pct"/>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11DDA62">
                  <w:pPr>
                    <w:pStyle w:val="4"/>
                    <w:ind w:firstLine="0" w:firstLineChars="0"/>
                    <w:jc w:val="center"/>
                    <w:rPr>
                      <w:color w:val="auto"/>
                      <w:szCs w:val="21"/>
                    </w:rPr>
                  </w:pPr>
                  <w:r>
                    <w:rPr>
                      <w:rFonts w:hint="eastAsia"/>
                      <w:color w:val="auto"/>
                      <w:szCs w:val="21"/>
                    </w:rPr>
                    <w:t>30</w:t>
                  </w:r>
                </w:p>
              </w:tc>
            </w:tr>
            <w:tr w14:paraId="3F6DA2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7CBF15F">
                  <w:pPr>
                    <w:pStyle w:val="4"/>
                    <w:ind w:firstLine="0" w:firstLineChars="0"/>
                    <w:jc w:val="center"/>
                    <w:rPr>
                      <w:color w:val="auto"/>
                      <w:szCs w:val="21"/>
                    </w:rPr>
                  </w:pPr>
                </w:p>
              </w:tc>
              <w:tc>
                <w:tcPr>
                  <w:tcW w:w="905" w:type="pct"/>
                  <w:vMerge w:val="continue"/>
                  <w:tcBorders>
                    <w:left w:val="single" w:color="000000" w:sz="4" w:space="0"/>
                    <w:right w:val="single" w:color="000000" w:sz="4" w:space="0"/>
                    <w:tl2br w:val="nil"/>
                    <w:tr2bl w:val="nil"/>
                  </w:tcBorders>
                  <w:shd w:val="clear" w:color="auto" w:fill="FFFFFF"/>
                  <w:vAlign w:val="center"/>
                </w:tcPr>
                <w:p w14:paraId="6D83ECAE">
                  <w:pPr>
                    <w:pStyle w:val="4"/>
                    <w:ind w:firstLine="0" w:firstLineChars="0"/>
                    <w:jc w:val="center"/>
                    <w:rPr>
                      <w:color w:val="auto"/>
                      <w:szCs w:val="21"/>
                    </w:rPr>
                  </w:pPr>
                </w:p>
              </w:tc>
              <w:tc>
                <w:tcPr>
                  <w:tcW w:w="2847" w:type="pct"/>
                  <w:vMerge w:val="continue"/>
                  <w:tcBorders>
                    <w:left w:val="single" w:color="000000" w:sz="4" w:space="0"/>
                    <w:right w:val="single" w:color="000000" w:sz="4" w:space="0"/>
                    <w:tl2br w:val="nil"/>
                    <w:tr2bl w:val="nil"/>
                  </w:tcBorders>
                  <w:shd w:val="clear" w:color="auto" w:fill="FFFFFF"/>
                  <w:vAlign w:val="center"/>
                </w:tcPr>
                <w:p w14:paraId="6848F2D7">
                  <w:pPr>
                    <w:pStyle w:val="4"/>
                    <w:ind w:firstLine="0" w:firstLineChars="0"/>
                    <w:jc w:val="center"/>
                    <w:rPr>
                      <w:color w:val="auto"/>
                      <w:szCs w:val="21"/>
                    </w:rPr>
                  </w:pPr>
                </w:p>
              </w:tc>
              <w:tc>
                <w:tcPr>
                  <w:tcW w:w="842" w:type="pct"/>
                  <w:vMerge w:val="continue"/>
                  <w:tcBorders>
                    <w:left w:val="single" w:color="000000" w:sz="4" w:space="0"/>
                    <w:right w:val="single" w:color="000000" w:sz="4" w:space="0"/>
                    <w:tl2br w:val="nil"/>
                    <w:tr2bl w:val="nil"/>
                  </w:tcBorders>
                  <w:shd w:val="clear" w:color="auto" w:fill="FFFFFF"/>
                  <w:vAlign w:val="center"/>
                </w:tcPr>
                <w:p w14:paraId="0B1F6CA8">
                  <w:pPr>
                    <w:pStyle w:val="4"/>
                    <w:ind w:firstLine="0" w:firstLineChars="0"/>
                    <w:jc w:val="center"/>
                    <w:rPr>
                      <w:color w:val="auto"/>
                      <w:szCs w:val="21"/>
                    </w:rPr>
                  </w:pPr>
                </w:p>
              </w:tc>
            </w:tr>
            <w:tr w14:paraId="7B2BF8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0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C89E832">
                  <w:pPr>
                    <w:pStyle w:val="4"/>
                    <w:ind w:firstLine="0" w:firstLineChars="0"/>
                    <w:jc w:val="center"/>
                    <w:rPr>
                      <w:color w:val="auto"/>
                      <w:szCs w:val="21"/>
                    </w:rPr>
                  </w:pPr>
                </w:p>
              </w:tc>
              <w:tc>
                <w:tcPr>
                  <w:tcW w:w="905"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D394412">
                  <w:pPr>
                    <w:pStyle w:val="4"/>
                    <w:ind w:firstLine="0" w:firstLineChars="0"/>
                    <w:jc w:val="center"/>
                    <w:rPr>
                      <w:color w:val="auto"/>
                      <w:szCs w:val="21"/>
                    </w:rPr>
                  </w:pPr>
                </w:p>
              </w:tc>
              <w:tc>
                <w:tcPr>
                  <w:tcW w:w="2847"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57BB24F">
                  <w:pPr>
                    <w:pStyle w:val="4"/>
                    <w:ind w:firstLine="0" w:firstLineChars="0"/>
                    <w:jc w:val="center"/>
                    <w:rPr>
                      <w:color w:val="auto"/>
                      <w:szCs w:val="21"/>
                    </w:rPr>
                  </w:pPr>
                </w:p>
              </w:tc>
              <w:tc>
                <w:tcPr>
                  <w:tcW w:w="842" w:type="pct"/>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C146345">
                  <w:pPr>
                    <w:pStyle w:val="4"/>
                    <w:ind w:firstLine="0" w:firstLineChars="0"/>
                    <w:jc w:val="center"/>
                    <w:rPr>
                      <w:color w:val="auto"/>
                      <w:szCs w:val="21"/>
                    </w:rPr>
                  </w:pPr>
                </w:p>
              </w:tc>
            </w:tr>
            <w:tr w14:paraId="5FCE55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514EB7">
                  <w:pPr>
                    <w:pStyle w:val="4"/>
                    <w:ind w:firstLine="0" w:firstLineChars="0"/>
                    <w:jc w:val="center"/>
                    <w:rPr>
                      <w:color w:val="auto"/>
                      <w:szCs w:val="21"/>
                    </w:rPr>
                  </w:pPr>
                  <w:r>
                    <w:rPr>
                      <w:rFonts w:hint="eastAsia"/>
                      <w:color w:val="auto"/>
                      <w:szCs w:val="21"/>
                    </w:rPr>
                    <w:t>地下水</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08277DF">
                  <w:pPr>
                    <w:pStyle w:val="4"/>
                    <w:ind w:firstLine="0" w:firstLineChars="0"/>
                    <w:jc w:val="center"/>
                    <w:rPr>
                      <w:color w:val="auto"/>
                      <w:szCs w:val="21"/>
                    </w:rPr>
                  </w:pPr>
                  <w:r>
                    <w:rPr>
                      <w:color w:val="auto"/>
                      <w:spacing w:val="9"/>
                      <w:szCs w:val="21"/>
                    </w:rPr>
                    <w:t>分</w:t>
                  </w:r>
                  <w:r>
                    <w:rPr>
                      <w:color w:val="auto"/>
                      <w:spacing w:val="6"/>
                      <w:szCs w:val="21"/>
                    </w:rPr>
                    <w:t>区防渗</w:t>
                  </w:r>
                  <w:r>
                    <w:rPr>
                      <w:color w:val="auto"/>
                      <w:spacing w:val="5"/>
                      <w:szCs w:val="21"/>
                    </w:rPr>
                    <w:t>措</w:t>
                  </w:r>
                  <w:r>
                    <w:rPr>
                      <w:color w:val="auto"/>
                      <w:spacing w:val="4"/>
                      <w:szCs w:val="21"/>
                    </w:rPr>
                    <w:t>施</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DB67AF9">
                  <w:pPr>
                    <w:jc w:val="center"/>
                    <w:rPr>
                      <w:color w:val="auto"/>
                      <w:sz w:val="21"/>
                      <w:szCs w:val="21"/>
                    </w:rPr>
                  </w:pPr>
                  <w:r>
                    <w:rPr>
                      <w:rFonts w:hint="eastAsia"/>
                      <w:color w:val="auto"/>
                      <w:sz w:val="21"/>
                      <w:szCs w:val="21"/>
                    </w:rPr>
                    <w:t>#2危废暂存间、盐酸罐区采取重点防渗区，等效黏土防渗层Mb≥6.0m，K≤1×10</w:t>
                  </w:r>
                  <w:r>
                    <w:rPr>
                      <w:rFonts w:hint="eastAsia"/>
                      <w:color w:val="auto"/>
                      <w:sz w:val="21"/>
                      <w:szCs w:val="21"/>
                      <w:vertAlign w:val="superscript"/>
                    </w:rPr>
                    <w:t>-10</w:t>
                  </w:r>
                  <w:r>
                    <w:rPr>
                      <w:rFonts w:hint="eastAsia"/>
                      <w:color w:val="auto"/>
                      <w:sz w:val="21"/>
                      <w:szCs w:val="21"/>
                    </w:rPr>
                    <w:t>cm/s</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6B31E10">
                  <w:pPr>
                    <w:pStyle w:val="4"/>
                    <w:ind w:firstLine="0" w:firstLineChars="0"/>
                    <w:jc w:val="center"/>
                    <w:rPr>
                      <w:color w:val="auto"/>
                      <w:szCs w:val="21"/>
                    </w:rPr>
                  </w:pPr>
                  <w:r>
                    <w:rPr>
                      <w:rFonts w:hint="eastAsia"/>
                      <w:color w:val="auto"/>
                      <w:szCs w:val="21"/>
                    </w:rPr>
                    <w:t>15</w:t>
                  </w:r>
                </w:p>
              </w:tc>
            </w:tr>
            <w:tr w14:paraId="4246E0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EBF3D6">
                  <w:pPr>
                    <w:pStyle w:val="4"/>
                    <w:ind w:firstLine="0" w:firstLineChars="0"/>
                    <w:jc w:val="center"/>
                    <w:rPr>
                      <w:color w:val="auto"/>
                      <w:szCs w:val="21"/>
                    </w:rPr>
                  </w:pPr>
                  <w:r>
                    <w:rPr>
                      <w:rFonts w:hint="eastAsia"/>
                      <w:color w:val="auto"/>
                      <w:szCs w:val="21"/>
                    </w:rPr>
                    <w:t>噪声污染</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F9B0C8D">
                  <w:pPr>
                    <w:pStyle w:val="4"/>
                    <w:ind w:firstLine="0" w:firstLineChars="0"/>
                    <w:jc w:val="center"/>
                    <w:rPr>
                      <w:color w:val="auto"/>
                      <w:szCs w:val="21"/>
                    </w:rPr>
                  </w:pPr>
                  <w:r>
                    <w:rPr>
                      <w:rFonts w:hint="eastAsia"/>
                      <w:color w:val="auto"/>
                      <w:szCs w:val="21"/>
                    </w:rPr>
                    <w:t>工业场地设备噪声</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CD82FA9">
                  <w:pPr>
                    <w:pStyle w:val="4"/>
                    <w:ind w:firstLine="0" w:firstLineChars="0"/>
                    <w:jc w:val="center"/>
                    <w:rPr>
                      <w:color w:val="auto"/>
                      <w:szCs w:val="21"/>
                    </w:rPr>
                  </w:pPr>
                  <w:r>
                    <w:rPr>
                      <w:rFonts w:hint="eastAsia"/>
                      <w:color w:val="auto"/>
                      <w:szCs w:val="21"/>
                    </w:rPr>
                    <w:t>设备采取基础减振，隔声等降噪措施</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4EB6D87">
                  <w:pPr>
                    <w:pStyle w:val="4"/>
                    <w:ind w:firstLine="0" w:firstLineChars="0"/>
                    <w:jc w:val="center"/>
                    <w:rPr>
                      <w:color w:val="auto"/>
                      <w:szCs w:val="21"/>
                    </w:rPr>
                  </w:pPr>
                  <w:r>
                    <w:rPr>
                      <w:rFonts w:hint="eastAsia"/>
                      <w:color w:val="auto"/>
                      <w:szCs w:val="21"/>
                    </w:rPr>
                    <w:t>25</w:t>
                  </w:r>
                </w:p>
              </w:tc>
            </w:tr>
            <w:tr w14:paraId="221BD5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07" w:type="pct"/>
                  <w:vMerge w:val="restart"/>
                  <w:tcBorders>
                    <w:top w:val="single" w:color="000000" w:sz="4" w:space="0"/>
                    <w:left w:val="single" w:color="000000" w:sz="4" w:space="0"/>
                    <w:right w:val="single" w:color="000000" w:sz="4" w:space="0"/>
                    <w:tl2br w:val="nil"/>
                    <w:tr2bl w:val="nil"/>
                  </w:tcBorders>
                  <w:shd w:val="clear" w:color="auto" w:fill="FFFFFF"/>
                  <w:vAlign w:val="center"/>
                </w:tcPr>
                <w:p w14:paraId="7AD29B41">
                  <w:pPr>
                    <w:pStyle w:val="4"/>
                    <w:ind w:firstLine="0" w:firstLineChars="0"/>
                    <w:jc w:val="center"/>
                    <w:rPr>
                      <w:color w:val="auto"/>
                      <w:szCs w:val="21"/>
                    </w:rPr>
                  </w:pPr>
                  <w:r>
                    <w:rPr>
                      <w:rFonts w:hint="eastAsia"/>
                      <w:color w:val="auto"/>
                      <w:szCs w:val="21"/>
                    </w:rPr>
                    <w:t>固体废物</w:t>
                  </w: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FDA37A1">
                  <w:pPr>
                    <w:pStyle w:val="4"/>
                    <w:ind w:firstLine="0" w:firstLineChars="0"/>
                    <w:jc w:val="center"/>
                    <w:rPr>
                      <w:color w:val="auto"/>
                      <w:szCs w:val="21"/>
                    </w:rPr>
                  </w:pPr>
                  <w:r>
                    <w:rPr>
                      <w:rFonts w:hint="eastAsia"/>
                      <w:color w:val="auto"/>
                      <w:szCs w:val="21"/>
                    </w:rPr>
                    <w:t>柴油发电机房</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82AE454">
                  <w:pPr>
                    <w:pStyle w:val="4"/>
                    <w:ind w:firstLine="0" w:firstLineChars="0"/>
                    <w:jc w:val="center"/>
                    <w:rPr>
                      <w:color w:val="auto"/>
                      <w:szCs w:val="21"/>
                    </w:rPr>
                  </w:pPr>
                  <w:r>
                    <w:rPr>
                      <w:color w:val="auto"/>
                      <w:szCs w:val="21"/>
                    </w:rPr>
                    <w:t>修建柴油发电机房一座，基础减振降噪、建筑隔声、机房内衬吸声材料，</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A2B8565">
                  <w:pPr>
                    <w:pStyle w:val="4"/>
                    <w:ind w:firstLine="0" w:firstLineChars="0"/>
                    <w:jc w:val="center"/>
                    <w:rPr>
                      <w:color w:val="auto"/>
                      <w:szCs w:val="21"/>
                    </w:rPr>
                  </w:pPr>
                  <w:r>
                    <w:rPr>
                      <w:color w:val="auto"/>
                      <w:spacing w:val="7"/>
                      <w:position w:val="4"/>
                      <w:szCs w:val="21"/>
                    </w:rPr>
                    <w:t>纳入</w:t>
                  </w:r>
                  <w:r>
                    <w:rPr>
                      <w:rFonts w:hint="eastAsia"/>
                      <w:color w:val="auto"/>
                      <w:spacing w:val="7"/>
                      <w:position w:val="4"/>
                      <w:szCs w:val="21"/>
                    </w:rPr>
                    <w:t>工程投资</w:t>
                  </w:r>
                </w:p>
              </w:tc>
            </w:tr>
            <w:tr w14:paraId="7AF802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45365961">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7912FB4">
                  <w:pPr>
                    <w:spacing w:before="32"/>
                    <w:jc w:val="center"/>
                    <w:rPr>
                      <w:color w:val="auto"/>
                      <w:spacing w:val="9"/>
                      <w:sz w:val="21"/>
                      <w:szCs w:val="21"/>
                    </w:rPr>
                  </w:pPr>
                  <w:r>
                    <w:rPr>
                      <w:rFonts w:hint="eastAsia"/>
                      <w:color w:val="auto"/>
                      <w:sz w:val="21"/>
                      <w:szCs w:val="21"/>
                    </w:rPr>
                    <w:t>剩余</w:t>
                  </w:r>
                  <w:r>
                    <w:rPr>
                      <w:color w:val="auto"/>
                      <w:sz w:val="21"/>
                      <w:szCs w:val="21"/>
                    </w:rPr>
                    <w:t>水基钻井泥浆</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34698EE">
                  <w:pPr>
                    <w:pStyle w:val="4"/>
                    <w:ind w:firstLine="0" w:firstLineChars="0"/>
                    <w:jc w:val="center"/>
                    <w:rPr>
                      <w:color w:val="auto"/>
                      <w:szCs w:val="21"/>
                    </w:rPr>
                  </w:pPr>
                  <w:r>
                    <w:rPr>
                      <w:rFonts w:hint="eastAsia"/>
                      <w:color w:val="auto"/>
                      <w:szCs w:val="21"/>
                    </w:rPr>
                    <w:t>剩余的水基钻井泥浆由钻井队回收，随钻井队用于后续钻井工程。</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2247F0A">
                  <w:pPr>
                    <w:pStyle w:val="4"/>
                    <w:ind w:firstLine="0" w:firstLineChars="0"/>
                    <w:jc w:val="center"/>
                    <w:rPr>
                      <w:color w:val="auto"/>
                      <w:szCs w:val="21"/>
                    </w:rPr>
                  </w:pPr>
                  <w:r>
                    <w:rPr>
                      <w:color w:val="auto"/>
                      <w:spacing w:val="7"/>
                      <w:position w:val="4"/>
                      <w:szCs w:val="21"/>
                    </w:rPr>
                    <w:t>纳入</w:t>
                  </w:r>
                  <w:r>
                    <w:rPr>
                      <w:rFonts w:hint="eastAsia"/>
                      <w:color w:val="auto"/>
                      <w:spacing w:val="7"/>
                      <w:position w:val="4"/>
                      <w:szCs w:val="21"/>
                    </w:rPr>
                    <w:t>工程投资</w:t>
                  </w:r>
                </w:p>
              </w:tc>
            </w:tr>
            <w:tr w14:paraId="699F23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3346912F">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19270DC">
                  <w:pPr>
                    <w:spacing w:before="32"/>
                    <w:jc w:val="center"/>
                    <w:rPr>
                      <w:color w:val="auto"/>
                      <w:spacing w:val="9"/>
                      <w:sz w:val="21"/>
                      <w:szCs w:val="21"/>
                    </w:rPr>
                  </w:pPr>
                  <w:r>
                    <w:rPr>
                      <w:rFonts w:hint="eastAsia"/>
                      <w:color w:val="auto"/>
                      <w:sz w:val="21"/>
                      <w:szCs w:val="21"/>
                    </w:rPr>
                    <w:t>剩余</w:t>
                  </w:r>
                  <w:r>
                    <w:rPr>
                      <w:color w:val="auto"/>
                      <w:sz w:val="21"/>
                      <w:szCs w:val="21"/>
                    </w:rPr>
                    <w:t>油基钻井</w:t>
                  </w:r>
                  <w:r>
                    <w:rPr>
                      <w:rFonts w:hint="eastAsia"/>
                      <w:color w:val="auto"/>
                      <w:sz w:val="21"/>
                      <w:szCs w:val="21"/>
                    </w:rPr>
                    <w:t>泥浆、油基岩屑</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C3EC822">
                  <w:pPr>
                    <w:pStyle w:val="4"/>
                    <w:ind w:firstLine="0" w:firstLineChars="0"/>
                    <w:jc w:val="center"/>
                    <w:rPr>
                      <w:color w:val="auto"/>
                      <w:szCs w:val="21"/>
                    </w:rPr>
                  </w:pPr>
                  <w:r>
                    <w:rPr>
                      <w:rFonts w:hint="eastAsia"/>
                      <w:color w:val="auto"/>
                      <w:szCs w:val="21"/>
                    </w:rPr>
                    <w:t>项目开工前与有资质的处理单位签订协议，剩余的油基钻井泥浆由储存桶收集后暂存于#</w:t>
                  </w:r>
                  <w:r>
                    <w:rPr>
                      <w:color w:val="auto"/>
                      <w:szCs w:val="21"/>
                    </w:rPr>
                    <w:t>2</w:t>
                  </w:r>
                  <w:r>
                    <w:rPr>
                      <w:rFonts w:hint="eastAsia"/>
                      <w:color w:val="auto"/>
                      <w:szCs w:val="21"/>
                    </w:rPr>
                    <w:t>为危废暂存间，后交危废资质单位拉运处置。</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15FFF7">
                  <w:pPr>
                    <w:pStyle w:val="4"/>
                    <w:ind w:firstLine="0" w:firstLineChars="0"/>
                    <w:jc w:val="center"/>
                    <w:rPr>
                      <w:color w:val="auto"/>
                      <w:szCs w:val="21"/>
                    </w:rPr>
                  </w:pPr>
                  <w:r>
                    <w:rPr>
                      <w:rFonts w:hint="eastAsia"/>
                      <w:color w:val="auto"/>
                      <w:szCs w:val="21"/>
                    </w:rPr>
                    <w:t>200</w:t>
                  </w:r>
                </w:p>
              </w:tc>
            </w:tr>
            <w:tr w14:paraId="4CC92D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6D0CDD0D">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BC28875">
                  <w:pPr>
                    <w:spacing w:before="32"/>
                    <w:jc w:val="center"/>
                    <w:rPr>
                      <w:color w:val="auto"/>
                      <w:sz w:val="21"/>
                      <w:szCs w:val="21"/>
                    </w:rPr>
                  </w:pPr>
                  <w:r>
                    <w:rPr>
                      <w:color w:val="auto"/>
                      <w:sz w:val="21"/>
                      <w:szCs w:val="21"/>
                    </w:rPr>
                    <w:t>水基岩屑</w:t>
                  </w:r>
                  <w:r>
                    <w:rPr>
                      <w:rFonts w:hint="eastAsia"/>
                      <w:color w:val="auto"/>
                      <w:sz w:val="21"/>
                      <w:szCs w:val="21"/>
                    </w:rPr>
                    <w:t>、泥渣</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C9F6F26">
                  <w:pPr>
                    <w:pStyle w:val="4"/>
                    <w:ind w:firstLine="0" w:firstLineChars="0"/>
                    <w:jc w:val="center"/>
                    <w:rPr>
                      <w:color w:val="auto"/>
                      <w:szCs w:val="21"/>
                    </w:rPr>
                  </w:pPr>
                  <w:r>
                    <w:rPr>
                      <w:color w:val="auto"/>
                      <w:szCs w:val="21"/>
                    </w:rPr>
                    <w:t>外</w:t>
                  </w:r>
                  <w:r>
                    <w:rPr>
                      <w:rFonts w:hint="eastAsia"/>
                      <w:color w:val="auto"/>
                      <w:szCs w:val="21"/>
                    </w:rPr>
                    <w:t>委</w:t>
                  </w:r>
                  <w:r>
                    <w:rPr>
                      <w:color w:val="auto"/>
                      <w:szCs w:val="21"/>
                    </w:rPr>
                    <w:t>制砖厂家等进行资源化利用</w:t>
                  </w:r>
                  <w:r>
                    <w:rPr>
                      <w:rFonts w:hint="eastAsia"/>
                      <w:color w:val="auto"/>
                      <w:szCs w:val="21"/>
                    </w:rPr>
                    <w:t>新增的水基</w:t>
                  </w:r>
                  <w:r>
                    <w:rPr>
                      <w:color w:val="auto"/>
                      <w:szCs w:val="21"/>
                    </w:rPr>
                    <w:t>岩屑</w:t>
                  </w:r>
                  <w:r>
                    <w:rPr>
                      <w:rFonts w:hint="eastAsia"/>
                      <w:color w:val="auto"/>
                      <w:szCs w:val="21"/>
                    </w:rPr>
                    <w:t>以及泥渣。</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A3F0F62">
                  <w:pPr>
                    <w:pStyle w:val="4"/>
                    <w:ind w:firstLine="0" w:firstLineChars="0"/>
                    <w:jc w:val="center"/>
                    <w:rPr>
                      <w:color w:val="auto"/>
                      <w:szCs w:val="21"/>
                    </w:rPr>
                  </w:pPr>
                  <w:r>
                    <w:rPr>
                      <w:rFonts w:hint="eastAsia"/>
                      <w:color w:val="auto"/>
                      <w:szCs w:val="21"/>
                    </w:rPr>
                    <w:t>900</w:t>
                  </w:r>
                </w:p>
              </w:tc>
            </w:tr>
            <w:tr w14:paraId="42C478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07" w:type="pct"/>
                  <w:vMerge w:val="continue"/>
                  <w:tcBorders>
                    <w:left w:val="single" w:color="000000" w:sz="4" w:space="0"/>
                    <w:right w:val="single" w:color="000000" w:sz="4" w:space="0"/>
                    <w:tl2br w:val="nil"/>
                    <w:tr2bl w:val="nil"/>
                  </w:tcBorders>
                  <w:shd w:val="clear" w:color="auto" w:fill="FFFFFF"/>
                  <w:vAlign w:val="center"/>
                </w:tcPr>
                <w:p w14:paraId="74E26069">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8A4D75B">
                  <w:pPr>
                    <w:pStyle w:val="4"/>
                    <w:ind w:firstLine="0" w:firstLineChars="0"/>
                    <w:jc w:val="center"/>
                    <w:rPr>
                      <w:color w:val="auto"/>
                      <w:szCs w:val="21"/>
                    </w:rPr>
                  </w:pPr>
                  <w:r>
                    <w:rPr>
                      <w:rFonts w:hint="eastAsia"/>
                      <w:color w:val="auto"/>
                      <w:szCs w:val="21"/>
                    </w:rPr>
                    <w:t>生活垃圾、废弃包装物</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B1A7518">
                  <w:pPr>
                    <w:pStyle w:val="4"/>
                    <w:ind w:firstLine="0" w:firstLineChars="0"/>
                    <w:jc w:val="center"/>
                    <w:rPr>
                      <w:color w:val="auto"/>
                      <w:szCs w:val="21"/>
                    </w:rPr>
                  </w:pPr>
                  <w:r>
                    <w:rPr>
                      <w:rFonts w:hint="eastAsia"/>
                      <w:color w:val="auto"/>
                      <w:szCs w:val="21"/>
                    </w:rPr>
                    <w:t>设垃圾池</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72A849AB">
                  <w:pPr>
                    <w:pStyle w:val="4"/>
                    <w:ind w:firstLine="0" w:firstLineChars="0"/>
                    <w:jc w:val="center"/>
                    <w:rPr>
                      <w:color w:val="auto"/>
                      <w:szCs w:val="21"/>
                    </w:rPr>
                  </w:pPr>
                  <w:r>
                    <w:rPr>
                      <w:rFonts w:hint="eastAsia"/>
                      <w:color w:val="auto"/>
                      <w:szCs w:val="21"/>
                    </w:rPr>
                    <w:t>依托现有工程</w:t>
                  </w:r>
                </w:p>
              </w:tc>
            </w:tr>
            <w:tr w14:paraId="451616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407" w:type="pct"/>
                  <w:vMerge w:val="continue"/>
                  <w:tcBorders>
                    <w:left w:val="single" w:color="000000" w:sz="4" w:space="0"/>
                    <w:bottom w:val="single" w:color="000000" w:sz="4" w:space="0"/>
                    <w:right w:val="single" w:color="000000" w:sz="4" w:space="0"/>
                    <w:tl2br w:val="nil"/>
                    <w:tr2bl w:val="nil"/>
                  </w:tcBorders>
                  <w:shd w:val="clear" w:color="auto" w:fill="FFFFFF"/>
                  <w:vAlign w:val="center"/>
                </w:tcPr>
                <w:p w14:paraId="0BF188FC">
                  <w:pPr>
                    <w:pStyle w:val="4"/>
                    <w:ind w:firstLine="0" w:firstLineChars="0"/>
                    <w:jc w:val="center"/>
                    <w:rPr>
                      <w:color w:val="auto"/>
                      <w:szCs w:val="21"/>
                    </w:rPr>
                  </w:pPr>
                </w:p>
              </w:tc>
              <w:tc>
                <w:tcPr>
                  <w:tcW w:w="905"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66FDBF7">
                  <w:pPr>
                    <w:pStyle w:val="4"/>
                    <w:ind w:firstLine="0" w:firstLineChars="0"/>
                    <w:jc w:val="center"/>
                    <w:rPr>
                      <w:color w:val="auto"/>
                      <w:szCs w:val="21"/>
                    </w:rPr>
                  </w:pPr>
                  <w:r>
                    <w:rPr>
                      <w:rFonts w:hint="eastAsia"/>
                      <w:color w:val="auto"/>
                      <w:szCs w:val="21"/>
                    </w:rPr>
                    <w:t>废机油、含矿物油废物、</w:t>
                  </w:r>
                  <w:r>
                    <w:rPr>
                      <w:rFonts w:hint="eastAsia" w:ascii="宋体" w:hAnsi="宋体" w:cs="宋体"/>
                      <w:color w:val="auto"/>
                      <w:kern w:val="0"/>
                      <w:szCs w:val="21"/>
                    </w:rPr>
                    <w:t>沾染毒性的废包装材料</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72A2FB8">
                  <w:pPr>
                    <w:pStyle w:val="4"/>
                    <w:ind w:firstLine="0" w:firstLineChars="0"/>
                    <w:jc w:val="center"/>
                    <w:rPr>
                      <w:color w:val="auto"/>
                      <w:szCs w:val="21"/>
                    </w:rPr>
                  </w:pPr>
                  <w:r>
                    <w:rPr>
                      <w:rFonts w:hint="eastAsia"/>
                      <w:color w:val="auto"/>
                      <w:szCs w:val="21"/>
                    </w:rPr>
                    <w:t>暂存于#</w:t>
                  </w:r>
                  <w:r>
                    <w:rPr>
                      <w:color w:val="auto"/>
                      <w:szCs w:val="21"/>
                    </w:rPr>
                    <w:t>1危废暂存间</w:t>
                  </w:r>
                  <w:r>
                    <w:rPr>
                      <w:rFonts w:hint="eastAsia"/>
                      <w:color w:val="auto"/>
                      <w:szCs w:val="21"/>
                    </w:rPr>
                    <w:t>，</w:t>
                  </w:r>
                  <w:r>
                    <w:rPr>
                      <w:color w:val="auto"/>
                      <w:szCs w:val="21"/>
                    </w:rPr>
                    <w:t>定期由</w:t>
                  </w:r>
                  <w:r>
                    <w:rPr>
                      <w:rFonts w:hint="eastAsia"/>
                      <w:color w:val="auto"/>
                      <w:szCs w:val="21"/>
                    </w:rPr>
                    <w:t>有危废</w:t>
                  </w:r>
                  <w:r>
                    <w:rPr>
                      <w:color w:val="auto"/>
                      <w:szCs w:val="21"/>
                    </w:rPr>
                    <w:t>资质单位运输处理</w:t>
                  </w:r>
                  <w:r>
                    <w:rPr>
                      <w:rFonts w:hint="eastAsia"/>
                      <w:color w:val="auto"/>
                      <w:szCs w:val="21"/>
                    </w:rPr>
                    <w:t>.</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36872C25">
                  <w:pPr>
                    <w:pStyle w:val="4"/>
                    <w:ind w:firstLine="0" w:firstLineChars="0"/>
                    <w:jc w:val="center"/>
                    <w:rPr>
                      <w:color w:val="auto"/>
                      <w:spacing w:val="7"/>
                      <w:position w:val="4"/>
                      <w:szCs w:val="21"/>
                    </w:rPr>
                  </w:pPr>
                  <w:r>
                    <w:rPr>
                      <w:rFonts w:hint="eastAsia"/>
                      <w:color w:val="auto"/>
                      <w:szCs w:val="21"/>
                    </w:rPr>
                    <w:t>依托现有工程</w:t>
                  </w:r>
                </w:p>
              </w:tc>
            </w:tr>
            <w:tr w14:paraId="64CCCC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311" w:type="pct"/>
                  <w:gridSpan w:val="2"/>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08549DE">
                  <w:pPr>
                    <w:pStyle w:val="4"/>
                    <w:ind w:firstLine="0" w:firstLineChars="0"/>
                    <w:jc w:val="center"/>
                    <w:rPr>
                      <w:color w:val="auto"/>
                      <w:szCs w:val="21"/>
                    </w:rPr>
                  </w:pPr>
                  <w:r>
                    <w:rPr>
                      <w:rFonts w:hint="eastAsia"/>
                      <w:color w:val="auto"/>
                      <w:szCs w:val="21"/>
                    </w:rPr>
                    <w:t>环境风险</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138AD55A">
                  <w:pPr>
                    <w:pStyle w:val="4"/>
                    <w:ind w:firstLine="0" w:firstLineChars="0"/>
                    <w:jc w:val="center"/>
                    <w:rPr>
                      <w:color w:val="auto"/>
                      <w:szCs w:val="21"/>
                    </w:rPr>
                  </w:pPr>
                  <w:r>
                    <w:rPr>
                      <w:rFonts w:hint="eastAsia"/>
                      <w:color w:val="auto"/>
                      <w:szCs w:val="21"/>
                    </w:rPr>
                    <w:t>环境风险防范：钻井及试采压裂过程中严格按照规范和设计施工；制定应急预案并加强演练；对周边居民进行环境风险应急培训、演练；加强环境风险管理及物资储备等；柴油储罐区设置围堰；加强岩屑、废水等转运过程的风险管理。</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9AEF087">
                  <w:pPr>
                    <w:pStyle w:val="4"/>
                    <w:ind w:firstLine="0" w:firstLineChars="0"/>
                    <w:jc w:val="center"/>
                    <w:rPr>
                      <w:color w:val="auto"/>
                      <w:szCs w:val="21"/>
                    </w:rPr>
                  </w:pPr>
                  <w:r>
                    <w:rPr>
                      <w:rFonts w:hint="eastAsia"/>
                      <w:color w:val="auto"/>
                      <w:szCs w:val="21"/>
                    </w:rPr>
                    <w:t>0</w:t>
                  </w:r>
                  <w:r>
                    <w:rPr>
                      <w:color w:val="auto"/>
                      <w:szCs w:val="21"/>
                    </w:rPr>
                    <w:t>.5</w:t>
                  </w:r>
                </w:p>
                <w:p w14:paraId="75D7C760">
                  <w:pPr>
                    <w:pStyle w:val="4"/>
                    <w:ind w:firstLine="0" w:firstLineChars="0"/>
                    <w:jc w:val="center"/>
                    <w:rPr>
                      <w:color w:val="auto"/>
                      <w:szCs w:val="21"/>
                    </w:rPr>
                  </w:pPr>
                </w:p>
              </w:tc>
            </w:tr>
            <w:tr w14:paraId="34B8E5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11" w:type="pct"/>
                  <w:gridSpan w:val="2"/>
                  <w:vMerge w:val="restar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20A52E32">
                  <w:pPr>
                    <w:pStyle w:val="4"/>
                    <w:ind w:firstLine="0" w:firstLineChars="0"/>
                    <w:jc w:val="center"/>
                    <w:rPr>
                      <w:color w:val="auto"/>
                      <w:szCs w:val="21"/>
                    </w:rPr>
                  </w:pPr>
                  <w:r>
                    <w:rPr>
                      <w:rFonts w:hint="eastAsia"/>
                      <w:color w:val="auto"/>
                      <w:szCs w:val="21"/>
                    </w:rPr>
                    <w:t>运行管理</w:t>
                  </w: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26CF673">
                  <w:pPr>
                    <w:pStyle w:val="4"/>
                    <w:ind w:firstLine="0" w:firstLineChars="0"/>
                    <w:jc w:val="center"/>
                    <w:rPr>
                      <w:color w:val="auto"/>
                      <w:szCs w:val="21"/>
                    </w:rPr>
                  </w:pPr>
                  <w:r>
                    <w:rPr>
                      <w:rFonts w:hint="eastAsia"/>
                      <w:color w:val="auto"/>
                      <w:szCs w:val="21"/>
                    </w:rPr>
                    <w:t>设备维护、维修</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24A78F">
                  <w:pPr>
                    <w:pStyle w:val="4"/>
                    <w:ind w:firstLine="0" w:firstLineChars="0"/>
                    <w:jc w:val="center"/>
                    <w:rPr>
                      <w:color w:val="auto"/>
                      <w:szCs w:val="21"/>
                    </w:rPr>
                  </w:pPr>
                  <w:r>
                    <w:rPr>
                      <w:rFonts w:hint="eastAsia"/>
                      <w:color w:val="auto"/>
                      <w:szCs w:val="21"/>
                    </w:rPr>
                    <w:t>1</w:t>
                  </w:r>
                </w:p>
              </w:tc>
            </w:tr>
            <w:tr w14:paraId="45AB4D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11" w:type="pct"/>
                  <w:gridSpan w:val="2"/>
                  <w:vMerge w:val="continue"/>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03F6D34B">
                  <w:pPr>
                    <w:pStyle w:val="4"/>
                    <w:ind w:firstLine="0" w:firstLineChars="0"/>
                    <w:jc w:val="center"/>
                    <w:rPr>
                      <w:color w:val="auto"/>
                      <w:szCs w:val="21"/>
                    </w:rPr>
                  </w:pPr>
                </w:p>
              </w:tc>
              <w:tc>
                <w:tcPr>
                  <w:tcW w:w="2847"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B808A64">
                  <w:pPr>
                    <w:pStyle w:val="4"/>
                    <w:ind w:firstLine="0" w:firstLineChars="0"/>
                    <w:jc w:val="center"/>
                    <w:rPr>
                      <w:color w:val="auto"/>
                      <w:szCs w:val="21"/>
                    </w:rPr>
                  </w:pPr>
                  <w:r>
                    <w:rPr>
                      <w:rFonts w:hint="eastAsia"/>
                      <w:color w:val="auto"/>
                      <w:szCs w:val="21"/>
                    </w:rPr>
                    <w:t>环境监测</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58670A91">
                  <w:pPr>
                    <w:pStyle w:val="4"/>
                    <w:ind w:firstLine="0" w:firstLineChars="0"/>
                    <w:jc w:val="center"/>
                    <w:rPr>
                      <w:color w:val="auto"/>
                      <w:szCs w:val="21"/>
                    </w:rPr>
                  </w:pPr>
                  <w:r>
                    <w:rPr>
                      <w:rFonts w:hint="eastAsia"/>
                      <w:color w:val="auto"/>
                      <w:szCs w:val="21"/>
                    </w:rPr>
                    <w:t>5</w:t>
                  </w:r>
                </w:p>
              </w:tc>
            </w:tr>
            <w:tr w14:paraId="16E12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58" w:type="pct"/>
                  <w:gridSpan w:val="3"/>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62A296C7">
                  <w:pPr>
                    <w:pStyle w:val="4"/>
                    <w:ind w:firstLine="0" w:firstLineChars="0"/>
                    <w:jc w:val="center"/>
                    <w:rPr>
                      <w:color w:val="auto"/>
                      <w:szCs w:val="21"/>
                    </w:rPr>
                  </w:pPr>
                  <w:r>
                    <w:rPr>
                      <w:rFonts w:hint="eastAsia"/>
                      <w:color w:val="auto"/>
                      <w:szCs w:val="21"/>
                    </w:rPr>
                    <w:t>合计</w:t>
                  </w:r>
                </w:p>
              </w:tc>
              <w:tc>
                <w:tcPr>
                  <w:tcW w:w="842" w:type="pct"/>
                  <w:tcBorders>
                    <w:top w:val="single" w:color="000000" w:sz="4" w:space="0"/>
                    <w:left w:val="single" w:color="000000" w:sz="4" w:space="0"/>
                    <w:bottom w:val="single" w:color="000000" w:sz="4" w:space="0"/>
                    <w:right w:val="single" w:color="000000" w:sz="4" w:space="0"/>
                    <w:tl2br w:val="nil"/>
                    <w:tr2bl w:val="nil"/>
                  </w:tcBorders>
                  <w:shd w:val="clear" w:color="auto" w:fill="FFFFFF"/>
                  <w:vAlign w:val="center"/>
                </w:tcPr>
                <w:p w14:paraId="41BA5F2F">
                  <w:pPr>
                    <w:pStyle w:val="4"/>
                    <w:ind w:firstLine="0" w:firstLineChars="0"/>
                    <w:jc w:val="center"/>
                    <w:rPr>
                      <w:color w:val="auto"/>
                      <w:szCs w:val="21"/>
                    </w:rPr>
                  </w:pPr>
                  <w:r>
                    <w:rPr>
                      <w:rFonts w:hint="eastAsia"/>
                      <w:color w:val="auto"/>
                      <w:szCs w:val="21"/>
                    </w:rPr>
                    <w:t>1206</w:t>
                  </w:r>
                  <w:r>
                    <w:rPr>
                      <w:color w:val="auto"/>
                      <w:szCs w:val="21"/>
                    </w:rPr>
                    <w:t>.5</w:t>
                  </w:r>
                </w:p>
              </w:tc>
            </w:tr>
          </w:tbl>
          <w:p w14:paraId="2110FFD5">
            <w:pPr>
              <w:adjustRightInd w:val="0"/>
              <w:snapToGrid w:val="0"/>
              <w:spacing w:line="360" w:lineRule="auto"/>
              <w:ind w:firstLine="520" w:firstLineChars="200"/>
              <w:rPr>
                <w:rFonts w:ascii="宋体" w:hAnsi="宋体" w:cs="宋体"/>
                <w:bCs/>
                <w:color w:val="auto"/>
                <w:spacing w:val="10"/>
                <w:szCs w:val="21"/>
              </w:rPr>
            </w:pPr>
          </w:p>
        </w:tc>
      </w:tr>
    </w:tbl>
    <w:p w14:paraId="5F60A9FC">
      <w:pPr>
        <w:spacing w:line="360" w:lineRule="auto"/>
        <w:rPr>
          <w:color w:val="auto"/>
        </w:rPr>
      </w:pPr>
    </w:p>
    <w:p w14:paraId="1A661605">
      <w:pPr>
        <w:rPr>
          <w:color w:val="auto"/>
        </w:rPr>
        <w:sectPr>
          <w:pgSz w:w="11906" w:h="16838"/>
          <w:pgMar w:top="1417" w:right="1417" w:bottom="1417" w:left="1417" w:header="851" w:footer="992" w:gutter="0"/>
          <w:cols w:space="425" w:num="1"/>
          <w:docGrid w:type="lines" w:linePitch="312" w:charSpace="0"/>
        </w:sectPr>
      </w:pPr>
    </w:p>
    <w:p w14:paraId="59677FC1">
      <w:pPr>
        <w:pStyle w:val="2"/>
        <w:rPr>
          <w:color w:val="auto"/>
        </w:rPr>
      </w:pPr>
      <w:bookmarkStart w:id="30" w:name="_Toc464"/>
      <w:r>
        <w:rPr>
          <w:rFonts w:hint="eastAsia"/>
          <w:color w:val="auto"/>
        </w:rPr>
        <w:t>六、生态环境保护措施监督检查清单</w:t>
      </w:r>
      <w:bookmarkEnd w:id="30"/>
    </w:p>
    <w:tbl>
      <w:tblPr>
        <w:tblStyle w:val="19"/>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743"/>
        <w:gridCol w:w="4059"/>
        <w:gridCol w:w="1291"/>
        <w:gridCol w:w="1023"/>
        <w:gridCol w:w="626"/>
      </w:tblGrid>
      <w:tr w14:paraId="67F5AA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Merge w:val="restart"/>
            <w:tcBorders>
              <w:tl2br w:val="single" w:color="auto" w:sz="4" w:space="0"/>
            </w:tcBorders>
            <w:vAlign w:val="center"/>
          </w:tcPr>
          <w:p w14:paraId="729CE2F5">
            <w:pPr>
              <w:ind w:firstLine="632" w:firstLineChars="300"/>
              <w:jc w:val="center"/>
              <w:rPr>
                <w:b/>
                <w:bCs/>
                <w:color w:val="auto"/>
                <w:sz w:val="21"/>
                <w:szCs w:val="21"/>
              </w:rPr>
            </w:pPr>
            <w:r>
              <w:rPr>
                <w:rFonts w:hint="eastAsia"/>
                <w:b/>
                <w:bCs/>
                <w:color w:val="auto"/>
                <w:sz w:val="21"/>
                <w:szCs w:val="21"/>
              </w:rPr>
              <w:t>内容</w:t>
            </w:r>
          </w:p>
          <w:p w14:paraId="470E8159">
            <w:pPr>
              <w:jc w:val="center"/>
              <w:rPr>
                <w:b/>
                <w:bCs/>
                <w:color w:val="auto"/>
                <w:sz w:val="21"/>
                <w:szCs w:val="21"/>
              </w:rPr>
            </w:pPr>
          </w:p>
          <w:p w14:paraId="128517E4">
            <w:pPr>
              <w:jc w:val="center"/>
              <w:rPr>
                <w:b/>
                <w:bCs/>
                <w:color w:val="auto"/>
                <w:sz w:val="21"/>
                <w:szCs w:val="21"/>
              </w:rPr>
            </w:pPr>
            <w:r>
              <w:rPr>
                <w:rFonts w:hint="eastAsia"/>
                <w:b/>
                <w:bCs/>
                <w:color w:val="auto"/>
                <w:sz w:val="21"/>
                <w:szCs w:val="21"/>
              </w:rPr>
              <w:t>要素</w:t>
            </w:r>
          </w:p>
        </w:tc>
        <w:tc>
          <w:tcPr>
            <w:tcW w:w="3364" w:type="pct"/>
            <w:gridSpan w:val="3"/>
            <w:vAlign w:val="center"/>
          </w:tcPr>
          <w:p w14:paraId="16F2302A">
            <w:pPr>
              <w:jc w:val="center"/>
              <w:rPr>
                <w:b/>
                <w:bCs/>
                <w:color w:val="auto"/>
                <w:sz w:val="21"/>
                <w:szCs w:val="21"/>
              </w:rPr>
            </w:pPr>
            <w:r>
              <w:rPr>
                <w:rFonts w:hint="eastAsia"/>
                <w:b/>
                <w:bCs/>
                <w:color w:val="auto"/>
                <w:sz w:val="21"/>
                <w:szCs w:val="21"/>
              </w:rPr>
              <w:t>施工期</w:t>
            </w:r>
          </w:p>
        </w:tc>
        <w:tc>
          <w:tcPr>
            <w:tcW w:w="911" w:type="pct"/>
            <w:gridSpan w:val="2"/>
            <w:vAlign w:val="center"/>
          </w:tcPr>
          <w:p w14:paraId="642E86C9">
            <w:pPr>
              <w:jc w:val="center"/>
              <w:rPr>
                <w:b/>
                <w:bCs/>
                <w:color w:val="auto"/>
                <w:sz w:val="21"/>
                <w:szCs w:val="21"/>
              </w:rPr>
            </w:pPr>
            <w:r>
              <w:rPr>
                <w:rFonts w:hint="eastAsia"/>
                <w:b/>
                <w:bCs/>
                <w:color w:val="auto"/>
                <w:sz w:val="21"/>
                <w:szCs w:val="21"/>
              </w:rPr>
              <w:t>运营期</w:t>
            </w:r>
          </w:p>
        </w:tc>
      </w:tr>
      <w:tr w14:paraId="7E931B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Merge w:val="continue"/>
            <w:vAlign w:val="center"/>
          </w:tcPr>
          <w:p w14:paraId="56991163">
            <w:pPr>
              <w:jc w:val="center"/>
              <w:rPr>
                <w:b/>
                <w:bCs/>
                <w:color w:val="auto"/>
                <w:sz w:val="21"/>
                <w:szCs w:val="21"/>
              </w:rPr>
            </w:pPr>
          </w:p>
        </w:tc>
        <w:tc>
          <w:tcPr>
            <w:tcW w:w="2651" w:type="pct"/>
            <w:gridSpan w:val="2"/>
            <w:vAlign w:val="center"/>
          </w:tcPr>
          <w:p w14:paraId="493CD65C">
            <w:pPr>
              <w:jc w:val="center"/>
              <w:rPr>
                <w:b/>
                <w:bCs/>
                <w:color w:val="auto"/>
                <w:sz w:val="21"/>
                <w:szCs w:val="21"/>
              </w:rPr>
            </w:pPr>
            <w:r>
              <w:rPr>
                <w:rFonts w:hint="eastAsia"/>
                <w:b/>
                <w:bCs/>
                <w:color w:val="auto"/>
                <w:sz w:val="21"/>
                <w:szCs w:val="21"/>
              </w:rPr>
              <w:t>环境保护措施</w:t>
            </w:r>
          </w:p>
        </w:tc>
        <w:tc>
          <w:tcPr>
            <w:tcW w:w="713" w:type="pct"/>
            <w:vAlign w:val="center"/>
          </w:tcPr>
          <w:p w14:paraId="3DF867A1">
            <w:pPr>
              <w:jc w:val="center"/>
              <w:rPr>
                <w:b/>
                <w:bCs/>
                <w:color w:val="auto"/>
                <w:sz w:val="21"/>
                <w:szCs w:val="21"/>
              </w:rPr>
            </w:pPr>
            <w:r>
              <w:rPr>
                <w:rFonts w:hint="eastAsia"/>
                <w:b/>
                <w:bCs/>
                <w:color w:val="auto"/>
                <w:sz w:val="21"/>
                <w:szCs w:val="21"/>
              </w:rPr>
              <w:t>验收要求</w:t>
            </w:r>
          </w:p>
        </w:tc>
        <w:tc>
          <w:tcPr>
            <w:tcW w:w="565" w:type="pct"/>
            <w:vAlign w:val="center"/>
          </w:tcPr>
          <w:p w14:paraId="7DAC6E04">
            <w:pPr>
              <w:jc w:val="center"/>
              <w:rPr>
                <w:b/>
                <w:bCs/>
                <w:color w:val="auto"/>
                <w:sz w:val="21"/>
                <w:szCs w:val="21"/>
              </w:rPr>
            </w:pPr>
            <w:r>
              <w:rPr>
                <w:rFonts w:hint="eastAsia"/>
                <w:b/>
                <w:bCs/>
                <w:color w:val="auto"/>
                <w:sz w:val="21"/>
                <w:szCs w:val="21"/>
              </w:rPr>
              <w:t>环境保护措施</w:t>
            </w:r>
          </w:p>
        </w:tc>
        <w:tc>
          <w:tcPr>
            <w:tcW w:w="346" w:type="pct"/>
            <w:vAlign w:val="center"/>
          </w:tcPr>
          <w:p w14:paraId="5B058A2F">
            <w:pPr>
              <w:jc w:val="center"/>
              <w:rPr>
                <w:b/>
                <w:bCs/>
                <w:color w:val="auto"/>
                <w:sz w:val="21"/>
                <w:szCs w:val="21"/>
              </w:rPr>
            </w:pPr>
            <w:r>
              <w:rPr>
                <w:rFonts w:hint="eastAsia"/>
                <w:b/>
                <w:bCs/>
                <w:color w:val="auto"/>
                <w:sz w:val="21"/>
                <w:szCs w:val="21"/>
              </w:rPr>
              <w:t>验收要求</w:t>
            </w:r>
          </w:p>
        </w:tc>
      </w:tr>
      <w:tr w14:paraId="63F8FE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6C8AED80">
            <w:pPr>
              <w:jc w:val="center"/>
              <w:rPr>
                <w:color w:val="auto"/>
                <w:sz w:val="21"/>
                <w:szCs w:val="21"/>
              </w:rPr>
            </w:pPr>
            <w:r>
              <w:rPr>
                <w:rFonts w:hint="eastAsia"/>
                <w:color w:val="auto"/>
                <w:sz w:val="21"/>
                <w:szCs w:val="21"/>
              </w:rPr>
              <w:t>陆生生态</w:t>
            </w:r>
          </w:p>
        </w:tc>
        <w:tc>
          <w:tcPr>
            <w:tcW w:w="2651" w:type="pct"/>
            <w:gridSpan w:val="2"/>
            <w:shd w:val="clear" w:color="auto" w:fill="auto"/>
            <w:vAlign w:val="center"/>
          </w:tcPr>
          <w:p w14:paraId="28C63F03">
            <w:pPr>
              <w:jc w:val="center"/>
              <w:rPr>
                <w:color w:val="auto"/>
                <w:sz w:val="21"/>
                <w:szCs w:val="21"/>
              </w:rPr>
            </w:pPr>
            <w:r>
              <w:rPr>
                <w:rFonts w:hint="eastAsia"/>
                <w:color w:val="auto"/>
                <w:sz w:val="21"/>
                <w:szCs w:val="21"/>
              </w:rPr>
              <w:t>加强施工管理和临时防护措施；及时对裸露地表进行整治绿化；将剥离的表土堆放在表土场；及时恢复植被等</w:t>
            </w:r>
          </w:p>
        </w:tc>
        <w:tc>
          <w:tcPr>
            <w:tcW w:w="713" w:type="pct"/>
            <w:shd w:val="clear" w:color="auto" w:fill="auto"/>
            <w:vAlign w:val="center"/>
          </w:tcPr>
          <w:p w14:paraId="586C2523">
            <w:pPr>
              <w:jc w:val="center"/>
              <w:rPr>
                <w:color w:val="auto"/>
                <w:sz w:val="21"/>
                <w:szCs w:val="21"/>
              </w:rPr>
            </w:pPr>
            <w:r>
              <w:rPr>
                <w:rFonts w:hint="eastAsia"/>
                <w:color w:val="auto"/>
                <w:sz w:val="21"/>
                <w:szCs w:val="21"/>
              </w:rPr>
              <w:t>减小施工期对陆生生态的影响</w:t>
            </w:r>
          </w:p>
        </w:tc>
        <w:tc>
          <w:tcPr>
            <w:tcW w:w="565" w:type="pct"/>
            <w:vAlign w:val="center"/>
          </w:tcPr>
          <w:p w14:paraId="47D9A1C1">
            <w:pPr>
              <w:jc w:val="center"/>
              <w:rPr>
                <w:color w:val="auto"/>
                <w:sz w:val="21"/>
                <w:szCs w:val="21"/>
              </w:rPr>
            </w:pPr>
            <w:r>
              <w:rPr>
                <w:rFonts w:hint="eastAsia"/>
                <w:color w:val="auto"/>
                <w:sz w:val="21"/>
                <w:szCs w:val="21"/>
              </w:rPr>
              <w:t>/</w:t>
            </w:r>
          </w:p>
        </w:tc>
        <w:tc>
          <w:tcPr>
            <w:tcW w:w="346" w:type="pct"/>
            <w:vAlign w:val="center"/>
          </w:tcPr>
          <w:p w14:paraId="031F547D">
            <w:pPr>
              <w:jc w:val="center"/>
              <w:rPr>
                <w:color w:val="auto"/>
                <w:sz w:val="21"/>
                <w:szCs w:val="21"/>
              </w:rPr>
            </w:pPr>
            <w:r>
              <w:rPr>
                <w:rFonts w:hint="eastAsia"/>
                <w:color w:val="auto"/>
                <w:sz w:val="21"/>
                <w:szCs w:val="21"/>
              </w:rPr>
              <w:t>/</w:t>
            </w:r>
          </w:p>
        </w:tc>
      </w:tr>
      <w:tr w14:paraId="5E604D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62370CDE">
            <w:pPr>
              <w:jc w:val="center"/>
              <w:rPr>
                <w:color w:val="auto"/>
                <w:sz w:val="21"/>
                <w:szCs w:val="21"/>
              </w:rPr>
            </w:pPr>
            <w:r>
              <w:rPr>
                <w:rFonts w:hint="eastAsia"/>
                <w:color w:val="auto"/>
                <w:sz w:val="21"/>
                <w:szCs w:val="21"/>
              </w:rPr>
              <w:t>水生生态</w:t>
            </w:r>
          </w:p>
        </w:tc>
        <w:tc>
          <w:tcPr>
            <w:tcW w:w="2651" w:type="pct"/>
            <w:gridSpan w:val="2"/>
            <w:shd w:val="clear" w:color="auto" w:fill="auto"/>
            <w:vAlign w:val="center"/>
          </w:tcPr>
          <w:p w14:paraId="74F590D0">
            <w:pPr>
              <w:jc w:val="center"/>
              <w:rPr>
                <w:color w:val="auto"/>
                <w:sz w:val="21"/>
                <w:szCs w:val="21"/>
              </w:rPr>
            </w:pPr>
            <w:r>
              <w:rPr>
                <w:rFonts w:hint="eastAsia"/>
                <w:color w:val="auto"/>
                <w:sz w:val="21"/>
                <w:szCs w:val="21"/>
              </w:rPr>
              <w:t>/</w:t>
            </w:r>
          </w:p>
        </w:tc>
        <w:tc>
          <w:tcPr>
            <w:tcW w:w="713" w:type="pct"/>
            <w:shd w:val="clear" w:color="auto" w:fill="auto"/>
            <w:vAlign w:val="center"/>
          </w:tcPr>
          <w:p w14:paraId="0BC1788C">
            <w:pPr>
              <w:jc w:val="center"/>
              <w:rPr>
                <w:color w:val="auto"/>
                <w:sz w:val="21"/>
                <w:szCs w:val="21"/>
              </w:rPr>
            </w:pPr>
            <w:r>
              <w:rPr>
                <w:rFonts w:hint="eastAsia"/>
                <w:color w:val="auto"/>
                <w:sz w:val="21"/>
                <w:szCs w:val="21"/>
              </w:rPr>
              <w:t>/</w:t>
            </w:r>
          </w:p>
        </w:tc>
        <w:tc>
          <w:tcPr>
            <w:tcW w:w="565" w:type="pct"/>
            <w:vAlign w:val="center"/>
          </w:tcPr>
          <w:p w14:paraId="183A4570">
            <w:pPr>
              <w:jc w:val="center"/>
              <w:rPr>
                <w:color w:val="auto"/>
                <w:sz w:val="21"/>
                <w:szCs w:val="21"/>
              </w:rPr>
            </w:pPr>
            <w:r>
              <w:rPr>
                <w:rFonts w:hint="eastAsia"/>
                <w:color w:val="auto"/>
                <w:sz w:val="21"/>
                <w:szCs w:val="21"/>
              </w:rPr>
              <w:t>/</w:t>
            </w:r>
          </w:p>
        </w:tc>
        <w:tc>
          <w:tcPr>
            <w:tcW w:w="346" w:type="pct"/>
            <w:vAlign w:val="center"/>
          </w:tcPr>
          <w:p w14:paraId="0E86A478">
            <w:pPr>
              <w:jc w:val="center"/>
              <w:rPr>
                <w:color w:val="auto"/>
                <w:sz w:val="21"/>
                <w:szCs w:val="21"/>
              </w:rPr>
            </w:pPr>
            <w:r>
              <w:rPr>
                <w:rFonts w:hint="eastAsia"/>
                <w:color w:val="auto"/>
                <w:sz w:val="21"/>
                <w:szCs w:val="21"/>
              </w:rPr>
              <w:t>/</w:t>
            </w:r>
          </w:p>
        </w:tc>
      </w:tr>
      <w:tr w14:paraId="0F94CA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restart"/>
            <w:vAlign w:val="center"/>
          </w:tcPr>
          <w:p w14:paraId="2F9208D9">
            <w:pPr>
              <w:jc w:val="center"/>
              <w:rPr>
                <w:color w:val="auto"/>
                <w:sz w:val="21"/>
                <w:szCs w:val="21"/>
              </w:rPr>
            </w:pPr>
            <w:r>
              <w:rPr>
                <w:rFonts w:hint="eastAsia"/>
                <w:color w:val="auto"/>
                <w:sz w:val="21"/>
                <w:szCs w:val="21"/>
              </w:rPr>
              <w:t>地表水环境</w:t>
            </w:r>
          </w:p>
        </w:tc>
        <w:tc>
          <w:tcPr>
            <w:tcW w:w="410" w:type="pct"/>
            <w:shd w:val="clear" w:color="auto" w:fill="auto"/>
            <w:vAlign w:val="center"/>
          </w:tcPr>
          <w:p w14:paraId="106A3C7C">
            <w:pPr>
              <w:jc w:val="center"/>
              <w:rPr>
                <w:color w:val="auto"/>
                <w:sz w:val="21"/>
                <w:szCs w:val="21"/>
              </w:rPr>
            </w:pPr>
            <w:r>
              <w:rPr>
                <w:rFonts w:hint="eastAsia"/>
                <w:color w:val="auto"/>
                <w:sz w:val="21"/>
                <w:szCs w:val="21"/>
              </w:rPr>
              <w:t>场地雨水</w:t>
            </w:r>
          </w:p>
        </w:tc>
        <w:tc>
          <w:tcPr>
            <w:tcW w:w="2241" w:type="pct"/>
            <w:shd w:val="clear" w:color="auto" w:fill="auto"/>
            <w:vAlign w:val="center"/>
          </w:tcPr>
          <w:p w14:paraId="3C05CAF0">
            <w:pPr>
              <w:jc w:val="center"/>
              <w:rPr>
                <w:color w:val="auto"/>
                <w:sz w:val="21"/>
                <w:szCs w:val="21"/>
              </w:rPr>
            </w:pPr>
            <w:r>
              <w:rPr>
                <w:rFonts w:hint="eastAsia"/>
                <w:color w:val="auto"/>
                <w:sz w:val="21"/>
                <w:szCs w:val="21"/>
              </w:rPr>
              <w:t>1、场外雨水通过截排水沟排入自然水系。</w:t>
            </w:r>
          </w:p>
          <w:p w14:paraId="5D2653F9">
            <w:pPr>
              <w:jc w:val="center"/>
              <w:rPr>
                <w:color w:val="auto"/>
                <w:sz w:val="21"/>
                <w:szCs w:val="21"/>
              </w:rPr>
            </w:pPr>
            <w:r>
              <w:rPr>
                <w:color w:val="auto"/>
                <w:sz w:val="21"/>
                <w:szCs w:val="21"/>
              </w:rPr>
              <w:t>2</w:t>
            </w:r>
            <w:r>
              <w:rPr>
                <w:rFonts w:hint="eastAsia"/>
                <w:color w:val="auto"/>
                <w:sz w:val="21"/>
                <w:szCs w:val="21"/>
              </w:rPr>
              <w:t>、场内雨水系统采用清污分流系统。</w:t>
            </w:r>
          </w:p>
          <w:p w14:paraId="046B8308">
            <w:pPr>
              <w:jc w:val="center"/>
              <w:rPr>
                <w:color w:val="auto"/>
                <w:sz w:val="21"/>
                <w:szCs w:val="21"/>
              </w:rPr>
            </w:pPr>
            <w:r>
              <w:rPr>
                <w:rFonts w:hint="eastAsia"/>
                <w:color w:val="auto"/>
                <w:sz w:val="21"/>
                <w:szCs w:val="21"/>
              </w:rPr>
              <w:t>其中场内清水系统是在井场四周边界设场内清水沟，设立1个集液池，初期雨水场内清水通过清水沟汇入集液池，隔油、沉淀后回用，后期雨水直接排入场外自然水系。</w:t>
            </w:r>
          </w:p>
          <w:p w14:paraId="2F31A522">
            <w:pPr>
              <w:jc w:val="center"/>
              <w:rPr>
                <w:color w:val="auto"/>
                <w:sz w:val="21"/>
                <w:szCs w:val="21"/>
              </w:rPr>
            </w:pPr>
            <w:r>
              <w:rPr>
                <w:rFonts w:hint="eastAsia"/>
                <w:color w:val="auto"/>
                <w:sz w:val="21"/>
                <w:szCs w:val="21"/>
              </w:rPr>
              <w:t>场内污水系统是在在场内设备安装就位后，在基础外设置挡水墙，在井架基础、发电房、循环系统、泥浆储备罐区、不落地系统装置区等基础外边缘以内范围线设挡污墙，与井场清洁区分隔，防止污染区污水溢流。</w:t>
            </w:r>
          </w:p>
          <w:p w14:paraId="61E5614C">
            <w:pPr>
              <w:jc w:val="center"/>
              <w:rPr>
                <w:color w:val="auto"/>
                <w:sz w:val="21"/>
                <w:szCs w:val="21"/>
              </w:rPr>
            </w:pPr>
            <w:r>
              <w:rPr>
                <w:rFonts w:hint="eastAsia"/>
                <w:color w:val="auto"/>
                <w:sz w:val="21"/>
                <w:szCs w:val="21"/>
              </w:rPr>
              <w:t>拟在循环罐区、主要设备区、材料房、岩屑堆放场等区域设置雨棚，雨棚边缘应超出下方围堰不小于0.5m，通过雨棚的导流槽将初期雨水导入集水池，后期雨水直接排入场外自然水系。</w:t>
            </w:r>
          </w:p>
        </w:tc>
        <w:tc>
          <w:tcPr>
            <w:tcW w:w="713" w:type="pct"/>
            <w:vMerge w:val="restart"/>
            <w:vAlign w:val="center"/>
          </w:tcPr>
          <w:p w14:paraId="71CC5F7E">
            <w:pPr>
              <w:jc w:val="center"/>
              <w:rPr>
                <w:color w:val="auto"/>
                <w:sz w:val="21"/>
                <w:szCs w:val="21"/>
              </w:rPr>
            </w:pPr>
            <w:r>
              <w:rPr>
                <w:color w:val="auto"/>
                <w:sz w:val="21"/>
                <w:szCs w:val="21"/>
              </w:rPr>
              <w:t>不外排，施工现场无遗留</w:t>
            </w:r>
          </w:p>
        </w:tc>
        <w:tc>
          <w:tcPr>
            <w:tcW w:w="565" w:type="pct"/>
            <w:vAlign w:val="center"/>
          </w:tcPr>
          <w:p w14:paraId="305EC4CB">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3EB06162">
            <w:pPr>
              <w:jc w:val="center"/>
              <w:rPr>
                <w:rFonts w:hint="eastAsia" w:eastAsia="宋体"/>
                <w:color w:val="auto"/>
                <w:sz w:val="21"/>
                <w:szCs w:val="21"/>
                <w:lang w:val="en-US" w:eastAsia="zh-CN"/>
              </w:rPr>
            </w:pPr>
            <w:r>
              <w:rPr>
                <w:rFonts w:hint="eastAsia"/>
                <w:color w:val="auto"/>
                <w:sz w:val="21"/>
                <w:szCs w:val="21"/>
                <w:lang w:val="en-US" w:eastAsia="zh-CN"/>
              </w:rPr>
              <w:t>/</w:t>
            </w:r>
          </w:p>
        </w:tc>
      </w:tr>
      <w:tr w14:paraId="1C99B6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continue"/>
            <w:vAlign w:val="center"/>
          </w:tcPr>
          <w:p w14:paraId="0D18BCA9">
            <w:pPr>
              <w:jc w:val="center"/>
              <w:rPr>
                <w:color w:val="auto"/>
                <w:sz w:val="21"/>
                <w:szCs w:val="21"/>
              </w:rPr>
            </w:pPr>
          </w:p>
        </w:tc>
        <w:tc>
          <w:tcPr>
            <w:tcW w:w="410" w:type="pct"/>
            <w:shd w:val="clear" w:color="auto" w:fill="auto"/>
            <w:vAlign w:val="center"/>
          </w:tcPr>
          <w:p w14:paraId="401F0F90">
            <w:pPr>
              <w:jc w:val="center"/>
              <w:rPr>
                <w:color w:val="auto"/>
                <w:sz w:val="21"/>
                <w:szCs w:val="21"/>
              </w:rPr>
            </w:pPr>
            <w:r>
              <w:rPr>
                <w:rFonts w:hint="eastAsia"/>
                <w:color w:val="auto"/>
                <w:sz w:val="21"/>
                <w:szCs w:val="21"/>
              </w:rPr>
              <w:t>钻井废水</w:t>
            </w:r>
          </w:p>
        </w:tc>
        <w:tc>
          <w:tcPr>
            <w:tcW w:w="2241" w:type="pct"/>
            <w:shd w:val="clear" w:color="auto" w:fill="auto"/>
            <w:vAlign w:val="center"/>
          </w:tcPr>
          <w:p w14:paraId="55076584">
            <w:pPr>
              <w:jc w:val="center"/>
              <w:rPr>
                <w:color w:val="auto"/>
                <w:sz w:val="21"/>
                <w:szCs w:val="21"/>
              </w:rPr>
            </w:pPr>
            <w:r>
              <w:rPr>
                <w:rFonts w:hint="eastAsia"/>
                <w:color w:val="auto"/>
                <w:sz w:val="21"/>
                <w:szCs w:val="21"/>
              </w:rPr>
              <w:t>排至泥浆循环系统，产生的滤液全部回用于钻井用水。</w:t>
            </w:r>
          </w:p>
        </w:tc>
        <w:tc>
          <w:tcPr>
            <w:tcW w:w="713" w:type="pct"/>
            <w:vMerge w:val="continue"/>
            <w:vAlign w:val="center"/>
          </w:tcPr>
          <w:p w14:paraId="3A5BA470">
            <w:pPr>
              <w:jc w:val="center"/>
              <w:rPr>
                <w:color w:val="auto"/>
                <w:sz w:val="21"/>
                <w:szCs w:val="21"/>
              </w:rPr>
            </w:pPr>
          </w:p>
        </w:tc>
        <w:tc>
          <w:tcPr>
            <w:tcW w:w="565" w:type="pct"/>
            <w:vAlign w:val="center"/>
          </w:tcPr>
          <w:p w14:paraId="7D9136AD">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58B94FAC">
            <w:pPr>
              <w:jc w:val="center"/>
              <w:rPr>
                <w:rFonts w:hint="eastAsia" w:eastAsia="宋体"/>
                <w:color w:val="auto"/>
                <w:sz w:val="21"/>
                <w:szCs w:val="21"/>
                <w:lang w:val="en-US" w:eastAsia="zh-CN"/>
              </w:rPr>
            </w:pPr>
            <w:r>
              <w:rPr>
                <w:rFonts w:hint="eastAsia"/>
                <w:color w:val="auto"/>
                <w:sz w:val="21"/>
                <w:szCs w:val="21"/>
                <w:lang w:val="en-US" w:eastAsia="zh-CN"/>
              </w:rPr>
              <w:t>/</w:t>
            </w:r>
          </w:p>
        </w:tc>
      </w:tr>
      <w:tr w14:paraId="0C38F4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continue"/>
            <w:vAlign w:val="center"/>
          </w:tcPr>
          <w:p w14:paraId="2599170F">
            <w:pPr>
              <w:jc w:val="center"/>
              <w:rPr>
                <w:color w:val="auto"/>
                <w:sz w:val="21"/>
                <w:szCs w:val="21"/>
              </w:rPr>
            </w:pPr>
          </w:p>
        </w:tc>
        <w:tc>
          <w:tcPr>
            <w:tcW w:w="410" w:type="pct"/>
            <w:shd w:val="clear" w:color="auto" w:fill="auto"/>
            <w:vAlign w:val="center"/>
          </w:tcPr>
          <w:p w14:paraId="56FB01B7">
            <w:pPr>
              <w:jc w:val="center"/>
              <w:rPr>
                <w:color w:val="auto"/>
                <w:sz w:val="21"/>
                <w:szCs w:val="21"/>
              </w:rPr>
            </w:pPr>
            <w:r>
              <w:rPr>
                <w:rFonts w:hint="eastAsia"/>
                <w:color w:val="auto"/>
                <w:sz w:val="21"/>
                <w:szCs w:val="21"/>
              </w:rPr>
              <w:t>洗井废水</w:t>
            </w:r>
          </w:p>
        </w:tc>
        <w:tc>
          <w:tcPr>
            <w:tcW w:w="2241" w:type="pct"/>
            <w:shd w:val="clear" w:color="auto" w:fill="auto"/>
            <w:vAlign w:val="center"/>
          </w:tcPr>
          <w:p w14:paraId="6060ADF5">
            <w:pPr>
              <w:jc w:val="center"/>
              <w:rPr>
                <w:color w:val="auto"/>
                <w:sz w:val="21"/>
                <w:szCs w:val="21"/>
              </w:rPr>
            </w:pPr>
            <w:r>
              <w:rPr>
                <w:rFonts w:hint="eastAsia"/>
                <w:color w:val="auto"/>
                <w:sz w:val="21"/>
                <w:szCs w:val="21"/>
              </w:rPr>
              <w:t>大部分回用，少部分洗井废水暂存污水池，回用于压裂液配置使用。</w:t>
            </w:r>
          </w:p>
        </w:tc>
        <w:tc>
          <w:tcPr>
            <w:tcW w:w="713" w:type="pct"/>
            <w:vMerge w:val="continue"/>
            <w:vAlign w:val="center"/>
          </w:tcPr>
          <w:p w14:paraId="5F5A0FE5">
            <w:pPr>
              <w:jc w:val="center"/>
              <w:rPr>
                <w:color w:val="auto"/>
                <w:sz w:val="21"/>
                <w:szCs w:val="21"/>
              </w:rPr>
            </w:pPr>
          </w:p>
        </w:tc>
        <w:tc>
          <w:tcPr>
            <w:tcW w:w="565" w:type="pct"/>
            <w:vAlign w:val="center"/>
          </w:tcPr>
          <w:p w14:paraId="52071166">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06059211">
            <w:pPr>
              <w:jc w:val="center"/>
              <w:rPr>
                <w:rFonts w:hint="eastAsia" w:eastAsia="宋体"/>
                <w:color w:val="auto"/>
                <w:sz w:val="21"/>
                <w:szCs w:val="21"/>
                <w:lang w:val="en-US" w:eastAsia="zh-CN"/>
              </w:rPr>
            </w:pPr>
            <w:r>
              <w:rPr>
                <w:rFonts w:hint="eastAsia"/>
                <w:color w:val="auto"/>
                <w:sz w:val="21"/>
                <w:szCs w:val="21"/>
                <w:lang w:val="en-US" w:eastAsia="zh-CN"/>
              </w:rPr>
              <w:t>/</w:t>
            </w:r>
          </w:p>
        </w:tc>
      </w:tr>
      <w:tr w14:paraId="541807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continue"/>
            <w:vAlign w:val="center"/>
          </w:tcPr>
          <w:p w14:paraId="31289DB0">
            <w:pPr>
              <w:jc w:val="center"/>
              <w:rPr>
                <w:color w:val="auto"/>
                <w:sz w:val="21"/>
                <w:szCs w:val="21"/>
              </w:rPr>
            </w:pPr>
          </w:p>
        </w:tc>
        <w:tc>
          <w:tcPr>
            <w:tcW w:w="410" w:type="pct"/>
            <w:shd w:val="clear" w:color="auto" w:fill="auto"/>
            <w:vAlign w:val="center"/>
          </w:tcPr>
          <w:p w14:paraId="5C3D4706">
            <w:pPr>
              <w:jc w:val="center"/>
              <w:rPr>
                <w:color w:val="auto"/>
                <w:sz w:val="21"/>
                <w:szCs w:val="21"/>
              </w:rPr>
            </w:pPr>
            <w:r>
              <w:rPr>
                <w:rFonts w:hint="eastAsia"/>
                <w:color w:val="auto"/>
                <w:sz w:val="21"/>
                <w:szCs w:val="21"/>
              </w:rPr>
              <w:t>管道试压废水</w:t>
            </w:r>
          </w:p>
        </w:tc>
        <w:tc>
          <w:tcPr>
            <w:tcW w:w="2241" w:type="pct"/>
            <w:shd w:val="clear" w:color="auto" w:fill="auto"/>
            <w:vAlign w:val="center"/>
          </w:tcPr>
          <w:p w14:paraId="16092EBF">
            <w:pPr>
              <w:jc w:val="center"/>
              <w:rPr>
                <w:color w:val="auto"/>
                <w:sz w:val="21"/>
                <w:szCs w:val="21"/>
              </w:rPr>
            </w:pPr>
            <w:r>
              <w:rPr>
                <w:rFonts w:hint="eastAsia"/>
                <w:color w:val="auto"/>
                <w:sz w:val="21"/>
                <w:szCs w:val="21"/>
              </w:rPr>
              <w:t>收集于循环罐区，后用于井场施工期洒水，无废水排放。</w:t>
            </w:r>
          </w:p>
        </w:tc>
        <w:tc>
          <w:tcPr>
            <w:tcW w:w="713" w:type="pct"/>
            <w:vMerge w:val="continue"/>
            <w:vAlign w:val="center"/>
          </w:tcPr>
          <w:p w14:paraId="1782A3CF">
            <w:pPr>
              <w:jc w:val="center"/>
              <w:rPr>
                <w:color w:val="auto"/>
                <w:sz w:val="21"/>
                <w:szCs w:val="21"/>
              </w:rPr>
            </w:pPr>
          </w:p>
        </w:tc>
        <w:tc>
          <w:tcPr>
            <w:tcW w:w="565" w:type="pct"/>
            <w:vAlign w:val="center"/>
          </w:tcPr>
          <w:p w14:paraId="0FD1567B">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66EE42FF">
            <w:pPr>
              <w:jc w:val="center"/>
              <w:rPr>
                <w:rFonts w:hint="eastAsia" w:eastAsia="宋体"/>
                <w:color w:val="auto"/>
                <w:sz w:val="21"/>
                <w:szCs w:val="21"/>
                <w:lang w:val="en-US" w:eastAsia="zh-CN"/>
              </w:rPr>
            </w:pPr>
            <w:r>
              <w:rPr>
                <w:rFonts w:hint="eastAsia"/>
                <w:color w:val="auto"/>
                <w:sz w:val="21"/>
                <w:szCs w:val="21"/>
                <w:lang w:val="en-US" w:eastAsia="zh-CN"/>
              </w:rPr>
              <w:t>/</w:t>
            </w:r>
          </w:p>
        </w:tc>
      </w:tr>
      <w:tr w14:paraId="467651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continue"/>
            <w:vAlign w:val="center"/>
          </w:tcPr>
          <w:p w14:paraId="364466F5">
            <w:pPr>
              <w:jc w:val="center"/>
              <w:rPr>
                <w:color w:val="auto"/>
                <w:sz w:val="21"/>
                <w:szCs w:val="21"/>
              </w:rPr>
            </w:pPr>
          </w:p>
        </w:tc>
        <w:tc>
          <w:tcPr>
            <w:tcW w:w="410" w:type="pct"/>
            <w:shd w:val="clear" w:color="auto" w:fill="auto"/>
            <w:vAlign w:val="center"/>
          </w:tcPr>
          <w:p w14:paraId="4D3707A0">
            <w:pPr>
              <w:jc w:val="center"/>
              <w:rPr>
                <w:color w:val="auto"/>
                <w:sz w:val="21"/>
                <w:szCs w:val="21"/>
              </w:rPr>
            </w:pPr>
            <w:r>
              <w:rPr>
                <w:rFonts w:hint="eastAsia"/>
                <w:color w:val="auto"/>
                <w:sz w:val="21"/>
                <w:szCs w:val="21"/>
              </w:rPr>
              <w:t>压裂返排液</w:t>
            </w:r>
          </w:p>
        </w:tc>
        <w:tc>
          <w:tcPr>
            <w:tcW w:w="2241" w:type="pct"/>
            <w:shd w:val="clear" w:color="auto" w:fill="auto"/>
            <w:vAlign w:val="center"/>
          </w:tcPr>
          <w:p w14:paraId="7A5EB515">
            <w:pPr>
              <w:jc w:val="center"/>
              <w:rPr>
                <w:color w:val="auto"/>
                <w:sz w:val="21"/>
                <w:szCs w:val="21"/>
              </w:rPr>
            </w:pPr>
            <w:r>
              <w:rPr>
                <w:rFonts w:hint="eastAsia"/>
                <w:color w:val="auto"/>
                <w:sz w:val="21"/>
                <w:szCs w:val="21"/>
              </w:rPr>
              <w:t>压裂返排液先在本平台井站回用，收集于循环罐区，</w:t>
            </w:r>
            <w:r>
              <w:rPr>
                <w:rFonts w:hint="eastAsia"/>
                <w:color w:val="auto"/>
                <w:kern w:val="28"/>
                <w:sz w:val="21"/>
                <w:szCs w:val="21"/>
              </w:rPr>
              <w:t>项目开工前将于与有资质的污水处理单位签订协议，</w:t>
            </w:r>
            <w:r>
              <w:rPr>
                <w:rFonts w:hint="eastAsia"/>
                <w:color w:val="auto"/>
                <w:sz w:val="21"/>
                <w:szCs w:val="21"/>
              </w:rPr>
              <w:t>不能回用时定期通过罐车运输压裂返排液至污水处理单位进行处理。</w:t>
            </w:r>
          </w:p>
        </w:tc>
        <w:tc>
          <w:tcPr>
            <w:tcW w:w="713" w:type="pct"/>
            <w:vMerge w:val="continue"/>
            <w:vAlign w:val="center"/>
          </w:tcPr>
          <w:p w14:paraId="4F3A20F5">
            <w:pPr>
              <w:jc w:val="center"/>
              <w:rPr>
                <w:color w:val="auto"/>
                <w:sz w:val="21"/>
                <w:szCs w:val="21"/>
              </w:rPr>
            </w:pPr>
          </w:p>
        </w:tc>
        <w:tc>
          <w:tcPr>
            <w:tcW w:w="565" w:type="pct"/>
            <w:vAlign w:val="center"/>
          </w:tcPr>
          <w:p w14:paraId="62E51D96">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7391E5A9">
            <w:pPr>
              <w:jc w:val="center"/>
              <w:rPr>
                <w:rFonts w:hint="eastAsia" w:eastAsia="宋体"/>
                <w:color w:val="auto"/>
                <w:sz w:val="21"/>
                <w:szCs w:val="21"/>
                <w:lang w:val="en-US" w:eastAsia="zh-CN"/>
              </w:rPr>
            </w:pPr>
            <w:r>
              <w:rPr>
                <w:rFonts w:hint="eastAsia"/>
                <w:color w:val="auto"/>
                <w:sz w:val="21"/>
                <w:szCs w:val="21"/>
                <w:lang w:val="en-US" w:eastAsia="zh-CN"/>
              </w:rPr>
              <w:t>/</w:t>
            </w:r>
          </w:p>
        </w:tc>
      </w:tr>
      <w:tr w14:paraId="2110C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 w:hRule="atLeast"/>
          <w:jc w:val="center"/>
        </w:trPr>
        <w:tc>
          <w:tcPr>
            <w:tcW w:w="723" w:type="pct"/>
            <w:vMerge w:val="continue"/>
            <w:vAlign w:val="center"/>
          </w:tcPr>
          <w:p w14:paraId="47142148">
            <w:pPr>
              <w:jc w:val="center"/>
              <w:rPr>
                <w:color w:val="auto"/>
                <w:sz w:val="21"/>
                <w:szCs w:val="21"/>
              </w:rPr>
            </w:pPr>
          </w:p>
        </w:tc>
        <w:tc>
          <w:tcPr>
            <w:tcW w:w="410" w:type="pct"/>
            <w:shd w:val="clear" w:color="auto" w:fill="auto"/>
            <w:vAlign w:val="center"/>
          </w:tcPr>
          <w:p w14:paraId="4E73248B">
            <w:pPr>
              <w:jc w:val="center"/>
              <w:rPr>
                <w:color w:val="auto"/>
                <w:sz w:val="21"/>
                <w:szCs w:val="21"/>
              </w:rPr>
            </w:pPr>
            <w:r>
              <w:rPr>
                <w:rFonts w:hint="eastAsia"/>
                <w:color w:val="auto"/>
                <w:sz w:val="21"/>
                <w:szCs w:val="21"/>
              </w:rPr>
              <w:t>生活污水</w:t>
            </w:r>
          </w:p>
        </w:tc>
        <w:tc>
          <w:tcPr>
            <w:tcW w:w="2241" w:type="pct"/>
            <w:shd w:val="clear" w:color="auto" w:fill="auto"/>
            <w:vAlign w:val="center"/>
          </w:tcPr>
          <w:p w14:paraId="7FC9AFB3">
            <w:pPr>
              <w:jc w:val="center"/>
              <w:rPr>
                <w:color w:val="auto"/>
                <w:sz w:val="21"/>
                <w:szCs w:val="21"/>
              </w:rPr>
            </w:pPr>
            <w:r>
              <w:rPr>
                <w:rFonts w:hint="eastAsia"/>
                <w:color w:val="auto"/>
                <w:kern w:val="28"/>
                <w:sz w:val="21"/>
                <w:szCs w:val="21"/>
              </w:rPr>
              <w:t>项目在开工前与污水处理单位签订协议，采用移动式水冲厕所，粪水和食堂、洗浴废水定期拉运至当地有接收能力且环保手续齐备的生活污水处理厂（站）统一处理及排放。</w:t>
            </w:r>
          </w:p>
        </w:tc>
        <w:tc>
          <w:tcPr>
            <w:tcW w:w="713" w:type="pct"/>
            <w:vMerge w:val="continue"/>
            <w:vAlign w:val="center"/>
          </w:tcPr>
          <w:p w14:paraId="2835265F">
            <w:pPr>
              <w:jc w:val="center"/>
              <w:rPr>
                <w:color w:val="auto"/>
                <w:sz w:val="21"/>
                <w:szCs w:val="21"/>
              </w:rPr>
            </w:pPr>
          </w:p>
        </w:tc>
        <w:tc>
          <w:tcPr>
            <w:tcW w:w="565" w:type="pct"/>
            <w:vAlign w:val="center"/>
          </w:tcPr>
          <w:p w14:paraId="505AA90B">
            <w:pPr>
              <w:jc w:val="center"/>
              <w:rPr>
                <w:rFonts w:hint="eastAsia" w:eastAsia="宋体"/>
                <w:color w:val="auto"/>
                <w:sz w:val="21"/>
                <w:szCs w:val="21"/>
                <w:lang w:val="en-US" w:eastAsia="zh-CN"/>
              </w:rPr>
            </w:pPr>
            <w:r>
              <w:rPr>
                <w:rFonts w:hint="eastAsia"/>
                <w:color w:val="auto"/>
                <w:sz w:val="21"/>
                <w:szCs w:val="21"/>
                <w:lang w:val="en-US" w:eastAsia="zh-CN"/>
              </w:rPr>
              <w:t>/</w:t>
            </w:r>
          </w:p>
        </w:tc>
        <w:tc>
          <w:tcPr>
            <w:tcW w:w="346" w:type="pct"/>
            <w:vAlign w:val="center"/>
          </w:tcPr>
          <w:p w14:paraId="29D582C2">
            <w:pPr>
              <w:jc w:val="center"/>
              <w:rPr>
                <w:rFonts w:hint="eastAsia" w:eastAsia="宋体"/>
                <w:color w:val="auto"/>
                <w:sz w:val="21"/>
                <w:szCs w:val="21"/>
                <w:lang w:val="en-US" w:eastAsia="zh-CN"/>
              </w:rPr>
            </w:pPr>
            <w:r>
              <w:rPr>
                <w:rFonts w:hint="eastAsia"/>
                <w:color w:val="auto"/>
                <w:sz w:val="21"/>
                <w:szCs w:val="21"/>
                <w:lang w:val="en-US" w:eastAsia="zh-CN"/>
              </w:rPr>
              <w:t>/</w:t>
            </w:r>
          </w:p>
        </w:tc>
      </w:tr>
      <w:tr w14:paraId="102850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5A3A26F6">
            <w:pPr>
              <w:jc w:val="center"/>
              <w:rPr>
                <w:color w:val="auto"/>
                <w:sz w:val="21"/>
                <w:szCs w:val="21"/>
              </w:rPr>
            </w:pPr>
            <w:r>
              <w:rPr>
                <w:rFonts w:hint="eastAsia"/>
                <w:color w:val="auto"/>
                <w:sz w:val="21"/>
                <w:szCs w:val="21"/>
              </w:rPr>
              <w:t>地下水及土壤环境</w:t>
            </w:r>
          </w:p>
        </w:tc>
        <w:tc>
          <w:tcPr>
            <w:tcW w:w="2651" w:type="pct"/>
            <w:gridSpan w:val="2"/>
            <w:shd w:val="clear" w:color="auto" w:fill="auto"/>
            <w:vAlign w:val="center"/>
          </w:tcPr>
          <w:p w14:paraId="03F59A0A">
            <w:pPr>
              <w:jc w:val="center"/>
              <w:rPr>
                <w:color w:val="auto"/>
                <w:sz w:val="21"/>
                <w:szCs w:val="21"/>
              </w:rPr>
            </w:pPr>
            <w:r>
              <w:rPr>
                <w:rFonts w:hint="eastAsia"/>
                <w:color w:val="auto"/>
                <w:sz w:val="21"/>
                <w:szCs w:val="21"/>
              </w:rPr>
              <w:t>对井场各区域实行分区防渗；#1危废暂存间、#2危废暂存间、盐酸罐区采取重点防渗区，等效黏土防渗层Mb≥6.0m，K≤1×10</w:t>
            </w:r>
            <w:r>
              <w:rPr>
                <w:rFonts w:hint="eastAsia"/>
                <w:color w:val="auto"/>
                <w:sz w:val="21"/>
                <w:szCs w:val="21"/>
                <w:vertAlign w:val="superscript"/>
              </w:rPr>
              <w:t>-10</w:t>
            </w:r>
            <w:r>
              <w:rPr>
                <w:rFonts w:hint="eastAsia"/>
                <w:color w:val="auto"/>
                <w:sz w:val="21"/>
                <w:szCs w:val="21"/>
              </w:rPr>
              <w:t>cm/s；井场区域、放喷池、油罐区、发电机房基础和循环罐区、污水池、清洁化操作平台岩屑暂存区、清洁化操作平台为一般防渗区，防渗应满足等效黏土防渗Mb≥1.5m，k≤1×10</w:t>
            </w:r>
            <w:r>
              <w:rPr>
                <w:rFonts w:hint="eastAsia"/>
                <w:color w:val="auto"/>
                <w:sz w:val="21"/>
                <w:szCs w:val="21"/>
                <w:vertAlign w:val="superscript"/>
              </w:rPr>
              <w:t>-7</w:t>
            </w:r>
            <w:r>
              <w:rPr>
                <w:rFonts w:hint="eastAsia"/>
                <w:color w:val="auto"/>
                <w:sz w:val="21"/>
                <w:szCs w:val="21"/>
              </w:rPr>
              <w:t>cm/s，其余为简单防渗区。</w:t>
            </w:r>
          </w:p>
        </w:tc>
        <w:tc>
          <w:tcPr>
            <w:tcW w:w="713" w:type="pct"/>
            <w:shd w:val="clear" w:color="auto" w:fill="auto"/>
            <w:vAlign w:val="center"/>
          </w:tcPr>
          <w:p w14:paraId="00232FFA">
            <w:pPr>
              <w:jc w:val="center"/>
              <w:rPr>
                <w:color w:val="auto"/>
                <w:sz w:val="21"/>
                <w:szCs w:val="21"/>
              </w:rPr>
            </w:pPr>
            <w:r>
              <w:rPr>
                <w:rFonts w:hint="eastAsia"/>
                <w:color w:val="auto"/>
                <w:sz w:val="21"/>
                <w:szCs w:val="21"/>
              </w:rPr>
              <w:t>各防渗区等级达到防渗要求，各污染物均按要求收集及处理处置。</w:t>
            </w:r>
          </w:p>
        </w:tc>
        <w:tc>
          <w:tcPr>
            <w:tcW w:w="565" w:type="pct"/>
            <w:vAlign w:val="center"/>
          </w:tcPr>
          <w:p w14:paraId="60F44217">
            <w:pPr>
              <w:jc w:val="center"/>
              <w:rPr>
                <w:color w:val="auto"/>
                <w:sz w:val="21"/>
                <w:szCs w:val="21"/>
              </w:rPr>
            </w:pPr>
            <w:r>
              <w:rPr>
                <w:rFonts w:hint="eastAsia"/>
                <w:color w:val="auto"/>
                <w:sz w:val="21"/>
                <w:szCs w:val="21"/>
              </w:rPr>
              <w:t>/</w:t>
            </w:r>
          </w:p>
        </w:tc>
        <w:tc>
          <w:tcPr>
            <w:tcW w:w="346" w:type="pct"/>
            <w:vAlign w:val="center"/>
          </w:tcPr>
          <w:p w14:paraId="15985602">
            <w:pPr>
              <w:jc w:val="center"/>
              <w:rPr>
                <w:color w:val="auto"/>
                <w:sz w:val="21"/>
                <w:szCs w:val="21"/>
              </w:rPr>
            </w:pPr>
            <w:r>
              <w:rPr>
                <w:rFonts w:hint="eastAsia"/>
                <w:color w:val="auto"/>
                <w:sz w:val="21"/>
                <w:szCs w:val="21"/>
              </w:rPr>
              <w:t>/</w:t>
            </w:r>
          </w:p>
        </w:tc>
      </w:tr>
      <w:tr w14:paraId="68DF522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75B5C23A">
            <w:pPr>
              <w:jc w:val="center"/>
              <w:rPr>
                <w:color w:val="auto"/>
                <w:sz w:val="21"/>
                <w:szCs w:val="21"/>
              </w:rPr>
            </w:pPr>
            <w:r>
              <w:rPr>
                <w:rFonts w:hint="eastAsia"/>
                <w:color w:val="auto"/>
                <w:sz w:val="21"/>
                <w:szCs w:val="21"/>
              </w:rPr>
              <w:t>声环境</w:t>
            </w:r>
          </w:p>
        </w:tc>
        <w:tc>
          <w:tcPr>
            <w:tcW w:w="2651" w:type="pct"/>
            <w:gridSpan w:val="2"/>
            <w:shd w:val="clear" w:color="auto" w:fill="auto"/>
            <w:vAlign w:val="center"/>
          </w:tcPr>
          <w:p w14:paraId="58E9305E">
            <w:pPr>
              <w:jc w:val="center"/>
              <w:rPr>
                <w:color w:val="auto"/>
                <w:sz w:val="21"/>
                <w:szCs w:val="21"/>
              </w:rPr>
            </w:pPr>
            <w:r>
              <w:rPr>
                <w:rFonts w:hint="eastAsia"/>
                <w:color w:val="auto"/>
                <w:sz w:val="21"/>
                <w:szCs w:val="21"/>
              </w:rPr>
              <w:t>选用符合国家有关标准和低噪声的施工机械，加强设备保养，合理安排施工计划等。</w:t>
            </w:r>
          </w:p>
        </w:tc>
        <w:tc>
          <w:tcPr>
            <w:tcW w:w="713" w:type="pct"/>
            <w:shd w:val="clear" w:color="auto" w:fill="auto"/>
            <w:vAlign w:val="center"/>
          </w:tcPr>
          <w:p w14:paraId="04F16563">
            <w:pPr>
              <w:jc w:val="center"/>
              <w:rPr>
                <w:color w:val="auto"/>
                <w:sz w:val="21"/>
                <w:szCs w:val="21"/>
              </w:rPr>
            </w:pPr>
            <w:r>
              <w:rPr>
                <w:color w:val="auto"/>
                <w:sz w:val="21"/>
                <w:szCs w:val="21"/>
              </w:rPr>
              <w:t>《建筑施工场界环境噪声排放标准》（GB12523-2011）</w:t>
            </w:r>
          </w:p>
        </w:tc>
        <w:tc>
          <w:tcPr>
            <w:tcW w:w="565" w:type="pct"/>
            <w:vAlign w:val="center"/>
          </w:tcPr>
          <w:p w14:paraId="3BCB3545">
            <w:pPr>
              <w:jc w:val="center"/>
              <w:rPr>
                <w:color w:val="auto"/>
                <w:sz w:val="21"/>
                <w:szCs w:val="21"/>
              </w:rPr>
            </w:pPr>
            <w:r>
              <w:rPr>
                <w:rFonts w:hint="eastAsia"/>
                <w:color w:val="auto"/>
                <w:sz w:val="21"/>
                <w:szCs w:val="21"/>
              </w:rPr>
              <w:t>/</w:t>
            </w:r>
          </w:p>
        </w:tc>
        <w:tc>
          <w:tcPr>
            <w:tcW w:w="346" w:type="pct"/>
            <w:vAlign w:val="center"/>
          </w:tcPr>
          <w:p w14:paraId="7DC77BA5">
            <w:pPr>
              <w:jc w:val="center"/>
              <w:rPr>
                <w:color w:val="auto"/>
                <w:sz w:val="21"/>
                <w:szCs w:val="21"/>
              </w:rPr>
            </w:pPr>
            <w:r>
              <w:rPr>
                <w:rFonts w:hint="eastAsia"/>
                <w:color w:val="auto"/>
                <w:sz w:val="21"/>
                <w:szCs w:val="21"/>
              </w:rPr>
              <w:t>/</w:t>
            </w:r>
          </w:p>
        </w:tc>
      </w:tr>
      <w:tr w14:paraId="7168ED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5A5F09D1">
            <w:pPr>
              <w:jc w:val="center"/>
              <w:rPr>
                <w:color w:val="auto"/>
                <w:sz w:val="21"/>
                <w:szCs w:val="21"/>
              </w:rPr>
            </w:pPr>
            <w:r>
              <w:rPr>
                <w:rFonts w:hint="eastAsia"/>
                <w:color w:val="auto"/>
                <w:sz w:val="21"/>
                <w:szCs w:val="21"/>
              </w:rPr>
              <w:t>振动</w:t>
            </w:r>
          </w:p>
        </w:tc>
        <w:tc>
          <w:tcPr>
            <w:tcW w:w="2651" w:type="pct"/>
            <w:gridSpan w:val="2"/>
            <w:shd w:val="clear" w:color="auto" w:fill="auto"/>
            <w:vAlign w:val="center"/>
          </w:tcPr>
          <w:p w14:paraId="0B086F7F">
            <w:pPr>
              <w:jc w:val="center"/>
              <w:rPr>
                <w:color w:val="auto"/>
                <w:sz w:val="21"/>
                <w:szCs w:val="21"/>
              </w:rPr>
            </w:pPr>
            <w:r>
              <w:rPr>
                <w:rFonts w:hint="eastAsia"/>
                <w:color w:val="auto"/>
                <w:sz w:val="21"/>
                <w:szCs w:val="21"/>
              </w:rPr>
              <w:t>/</w:t>
            </w:r>
          </w:p>
        </w:tc>
        <w:tc>
          <w:tcPr>
            <w:tcW w:w="713" w:type="pct"/>
            <w:shd w:val="clear" w:color="auto" w:fill="auto"/>
            <w:vAlign w:val="center"/>
          </w:tcPr>
          <w:p w14:paraId="5DAA0312">
            <w:pPr>
              <w:jc w:val="center"/>
              <w:rPr>
                <w:color w:val="auto"/>
                <w:sz w:val="21"/>
                <w:szCs w:val="21"/>
              </w:rPr>
            </w:pPr>
            <w:r>
              <w:rPr>
                <w:rFonts w:hint="eastAsia"/>
                <w:color w:val="auto"/>
                <w:sz w:val="21"/>
                <w:szCs w:val="21"/>
              </w:rPr>
              <w:t>/</w:t>
            </w:r>
          </w:p>
        </w:tc>
        <w:tc>
          <w:tcPr>
            <w:tcW w:w="565" w:type="pct"/>
            <w:vAlign w:val="center"/>
          </w:tcPr>
          <w:p w14:paraId="5E44C29F">
            <w:pPr>
              <w:jc w:val="center"/>
              <w:rPr>
                <w:color w:val="auto"/>
                <w:sz w:val="21"/>
                <w:szCs w:val="21"/>
              </w:rPr>
            </w:pPr>
            <w:r>
              <w:rPr>
                <w:rFonts w:hint="eastAsia"/>
                <w:color w:val="auto"/>
                <w:sz w:val="21"/>
                <w:szCs w:val="21"/>
              </w:rPr>
              <w:t>/</w:t>
            </w:r>
          </w:p>
        </w:tc>
        <w:tc>
          <w:tcPr>
            <w:tcW w:w="346" w:type="pct"/>
            <w:vAlign w:val="center"/>
          </w:tcPr>
          <w:p w14:paraId="0EEB3BFC">
            <w:pPr>
              <w:jc w:val="center"/>
              <w:rPr>
                <w:color w:val="auto"/>
                <w:sz w:val="21"/>
                <w:szCs w:val="21"/>
              </w:rPr>
            </w:pPr>
            <w:r>
              <w:rPr>
                <w:rFonts w:hint="eastAsia"/>
                <w:color w:val="auto"/>
                <w:sz w:val="21"/>
                <w:szCs w:val="21"/>
              </w:rPr>
              <w:t>/</w:t>
            </w:r>
          </w:p>
        </w:tc>
      </w:tr>
      <w:tr w14:paraId="62BB85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6169D90C">
            <w:pPr>
              <w:jc w:val="center"/>
              <w:rPr>
                <w:color w:val="auto"/>
                <w:sz w:val="21"/>
                <w:szCs w:val="21"/>
              </w:rPr>
            </w:pPr>
            <w:r>
              <w:rPr>
                <w:rFonts w:hint="eastAsia"/>
                <w:color w:val="auto"/>
                <w:sz w:val="21"/>
                <w:szCs w:val="21"/>
              </w:rPr>
              <w:t>大气环境</w:t>
            </w:r>
          </w:p>
        </w:tc>
        <w:tc>
          <w:tcPr>
            <w:tcW w:w="2651" w:type="pct"/>
            <w:gridSpan w:val="2"/>
            <w:vAlign w:val="center"/>
          </w:tcPr>
          <w:p w14:paraId="34B888D6">
            <w:pPr>
              <w:jc w:val="center"/>
              <w:rPr>
                <w:color w:val="auto"/>
                <w:sz w:val="21"/>
                <w:szCs w:val="21"/>
              </w:rPr>
            </w:pPr>
            <w:r>
              <w:rPr>
                <w:rFonts w:hint="eastAsia"/>
                <w:color w:val="auto"/>
                <w:sz w:val="21"/>
                <w:szCs w:val="21"/>
              </w:rPr>
              <w:t>施工场地洒水降尘；物料堆场覆盖；柴油机燃烧废气自然扩散；测试放喷通过放喷池燃烧处理</w:t>
            </w:r>
          </w:p>
        </w:tc>
        <w:tc>
          <w:tcPr>
            <w:tcW w:w="713" w:type="pct"/>
            <w:vAlign w:val="center"/>
          </w:tcPr>
          <w:p w14:paraId="26664DAA">
            <w:pPr>
              <w:jc w:val="center"/>
              <w:rPr>
                <w:color w:val="auto"/>
                <w:sz w:val="21"/>
                <w:szCs w:val="21"/>
              </w:rPr>
            </w:pPr>
            <w:r>
              <w:rPr>
                <w:color w:val="auto"/>
                <w:sz w:val="21"/>
                <w:szCs w:val="21"/>
              </w:rPr>
              <w:t>对大气环境无明显影响</w:t>
            </w:r>
          </w:p>
        </w:tc>
        <w:tc>
          <w:tcPr>
            <w:tcW w:w="565" w:type="pct"/>
            <w:vAlign w:val="center"/>
          </w:tcPr>
          <w:p w14:paraId="3DBE3705">
            <w:pPr>
              <w:jc w:val="center"/>
              <w:rPr>
                <w:color w:val="auto"/>
                <w:sz w:val="21"/>
                <w:szCs w:val="21"/>
              </w:rPr>
            </w:pPr>
            <w:r>
              <w:rPr>
                <w:rFonts w:hint="eastAsia"/>
                <w:color w:val="auto"/>
                <w:sz w:val="21"/>
                <w:szCs w:val="21"/>
              </w:rPr>
              <w:t>/</w:t>
            </w:r>
          </w:p>
        </w:tc>
        <w:tc>
          <w:tcPr>
            <w:tcW w:w="346" w:type="pct"/>
            <w:vAlign w:val="center"/>
          </w:tcPr>
          <w:p w14:paraId="45518080">
            <w:pPr>
              <w:jc w:val="center"/>
              <w:rPr>
                <w:color w:val="auto"/>
                <w:sz w:val="21"/>
                <w:szCs w:val="21"/>
              </w:rPr>
            </w:pPr>
            <w:r>
              <w:rPr>
                <w:rFonts w:hint="eastAsia"/>
                <w:color w:val="auto"/>
                <w:sz w:val="21"/>
                <w:szCs w:val="21"/>
              </w:rPr>
              <w:t>/</w:t>
            </w:r>
          </w:p>
        </w:tc>
      </w:tr>
      <w:tr w14:paraId="130882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restart"/>
            <w:vAlign w:val="center"/>
          </w:tcPr>
          <w:p w14:paraId="4EFD0831">
            <w:pPr>
              <w:jc w:val="center"/>
              <w:rPr>
                <w:color w:val="auto"/>
                <w:sz w:val="21"/>
                <w:szCs w:val="21"/>
              </w:rPr>
            </w:pPr>
            <w:r>
              <w:rPr>
                <w:rFonts w:hint="eastAsia"/>
                <w:color w:val="auto"/>
                <w:sz w:val="21"/>
                <w:szCs w:val="21"/>
              </w:rPr>
              <w:t>固体废物</w:t>
            </w:r>
          </w:p>
        </w:tc>
        <w:tc>
          <w:tcPr>
            <w:tcW w:w="410" w:type="pct"/>
            <w:shd w:val="clear" w:color="auto" w:fill="auto"/>
            <w:vAlign w:val="center"/>
          </w:tcPr>
          <w:p w14:paraId="5C301C56">
            <w:pPr>
              <w:jc w:val="center"/>
              <w:rPr>
                <w:color w:val="auto"/>
                <w:sz w:val="21"/>
                <w:szCs w:val="21"/>
              </w:rPr>
            </w:pPr>
            <w:r>
              <w:rPr>
                <w:rFonts w:hint="eastAsia"/>
                <w:color w:val="auto"/>
                <w:sz w:val="21"/>
                <w:szCs w:val="21"/>
              </w:rPr>
              <w:t>剩余</w:t>
            </w:r>
            <w:r>
              <w:rPr>
                <w:color w:val="auto"/>
                <w:sz w:val="21"/>
                <w:szCs w:val="21"/>
              </w:rPr>
              <w:t>水基钻井泥浆</w:t>
            </w:r>
          </w:p>
        </w:tc>
        <w:tc>
          <w:tcPr>
            <w:tcW w:w="2241" w:type="pct"/>
            <w:shd w:val="clear" w:color="auto" w:fill="auto"/>
            <w:vAlign w:val="center"/>
          </w:tcPr>
          <w:p w14:paraId="0DA8A98D">
            <w:pPr>
              <w:jc w:val="center"/>
              <w:rPr>
                <w:color w:val="auto"/>
                <w:sz w:val="21"/>
                <w:szCs w:val="21"/>
              </w:rPr>
            </w:pPr>
            <w:r>
              <w:rPr>
                <w:rFonts w:hint="eastAsia"/>
                <w:color w:val="auto"/>
                <w:sz w:val="21"/>
                <w:szCs w:val="21"/>
              </w:rPr>
              <w:t>剩余的水基钻井泥浆由钻井队回收，随钻井队用于后续钻井工程。</w:t>
            </w:r>
          </w:p>
        </w:tc>
        <w:tc>
          <w:tcPr>
            <w:tcW w:w="713" w:type="pct"/>
            <w:vMerge w:val="restart"/>
            <w:shd w:val="clear" w:color="auto" w:fill="auto"/>
            <w:vAlign w:val="center"/>
          </w:tcPr>
          <w:p w14:paraId="3CBBF598">
            <w:pPr>
              <w:jc w:val="center"/>
              <w:rPr>
                <w:color w:val="auto"/>
                <w:sz w:val="21"/>
                <w:szCs w:val="21"/>
              </w:rPr>
            </w:pPr>
            <w:r>
              <w:rPr>
                <w:rFonts w:hint="eastAsia"/>
                <w:color w:val="auto"/>
                <w:sz w:val="21"/>
                <w:szCs w:val="21"/>
              </w:rPr>
              <w:t>妥善处置，不产生二次污染</w:t>
            </w:r>
          </w:p>
        </w:tc>
        <w:tc>
          <w:tcPr>
            <w:tcW w:w="565" w:type="pct"/>
            <w:vMerge w:val="restart"/>
            <w:vAlign w:val="center"/>
          </w:tcPr>
          <w:p w14:paraId="11C9A6B5">
            <w:pPr>
              <w:jc w:val="center"/>
              <w:rPr>
                <w:color w:val="auto"/>
                <w:sz w:val="21"/>
                <w:szCs w:val="21"/>
              </w:rPr>
            </w:pPr>
            <w:r>
              <w:rPr>
                <w:rFonts w:hint="eastAsia"/>
                <w:color w:val="auto"/>
                <w:sz w:val="21"/>
                <w:szCs w:val="21"/>
              </w:rPr>
              <w:t>/</w:t>
            </w:r>
          </w:p>
        </w:tc>
        <w:tc>
          <w:tcPr>
            <w:tcW w:w="346" w:type="pct"/>
            <w:vMerge w:val="restart"/>
            <w:vAlign w:val="center"/>
          </w:tcPr>
          <w:p w14:paraId="000D231B">
            <w:pPr>
              <w:jc w:val="center"/>
              <w:rPr>
                <w:color w:val="auto"/>
                <w:sz w:val="21"/>
                <w:szCs w:val="21"/>
              </w:rPr>
            </w:pPr>
            <w:r>
              <w:rPr>
                <w:rFonts w:hint="eastAsia"/>
                <w:color w:val="auto"/>
                <w:sz w:val="21"/>
                <w:szCs w:val="21"/>
              </w:rPr>
              <w:t>/</w:t>
            </w:r>
          </w:p>
        </w:tc>
      </w:tr>
      <w:tr w14:paraId="2FAD32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0846A1B0">
            <w:pPr>
              <w:jc w:val="center"/>
              <w:rPr>
                <w:color w:val="auto"/>
                <w:sz w:val="21"/>
                <w:szCs w:val="21"/>
              </w:rPr>
            </w:pPr>
          </w:p>
        </w:tc>
        <w:tc>
          <w:tcPr>
            <w:tcW w:w="410" w:type="pct"/>
            <w:shd w:val="clear" w:color="auto" w:fill="auto"/>
            <w:vAlign w:val="center"/>
          </w:tcPr>
          <w:p w14:paraId="18B0948C">
            <w:pPr>
              <w:jc w:val="center"/>
              <w:rPr>
                <w:color w:val="auto"/>
                <w:sz w:val="21"/>
                <w:szCs w:val="21"/>
              </w:rPr>
            </w:pPr>
            <w:r>
              <w:rPr>
                <w:rFonts w:hint="eastAsia"/>
                <w:color w:val="auto"/>
                <w:sz w:val="21"/>
                <w:szCs w:val="21"/>
              </w:rPr>
              <w:t>剩余</w:t>
            </w:r>
            <w:r>
              <w:rPr>
                <w:color w:val="auto"/>
                <w:sz w:val="21"/>
                <w:szCs w:val="21"/>
              </w:rPr>
              <w:t>油基钻井</w:t>
            </w:r>
            <w:r>
              <w:rPr>
                <w:rFonts w:hint="eastAsia"/>
                <w:color w:val="auto"/>
                <w:sz w:val="21"/>
                <w:szCs w:val="21"/>
              </w:rPr>
              <w:t>泥浆</w:t>
            </w:r>
          </w:p>
        </w:tc>
        <w:tc>
          <w:tcPr>
            <w:tcW w:w="2241" w:type="pct"/>
            <w:shd w:val="clear" w:color="auto" w:fill="auto"/>
            <w:vAlign w:val="center"/>
          </w:tcPr>
          <w:p w14:paraId="2754992D">
            <w:pPr>
              <w:jc w:val="center"/>
              <w:rPr>
                <w:color w:val="auto"/>
                <w:sz w:val="21"/>
                <w:szCs w:val="21"/>
              </w:rPr>
            </w:pPr>
            <w:r>
              <w:rPr>
                <w:rFonts w:hint="eastAsia"/>
                <w:color w:val="auto"/>
                <w:sz w:val="21"/>
                <w:szCs w:val="21"/>
              </w:rPr>
              <w:t>项目开工前与有资质的处理单位签订协议，剩余的油基钻井泥浆由储存桶收集后暂存于#</w:t>
            </w:r>
            <w:r>
              <w:rPr>
                <w:color w:val="auto"/>
                <w:sz w:val="21"/>
                <w:szCs w:val="21"/>
              </w:rPr>
              <w:t>2</w:t>
            </w:r>
            <w:r>
              <w:rPr>
                <w:rFonts w:hint="eastAsia"/>
                <w:color w:val="auto"/>
                <w:sz w:val="21"/>
                <w:szCs w:val="21"/>
              </w:rPr>
              <w:t>为危废暂存间，后交危废资质单位拉运处置。</w:t>
            </w:r>
          </w:p>
        </w:tc>
        <w:tc>
          <w:tcPr>
            <w:tcW w:w="713" w:type="pct"/>
            <w:vMerge w:val="continue"/>
            <w:shd w:val="clear" w:color="auto" w:fill="auto"/>
            <w:vAlign w:val="center"/>
          </w:tcPr>
          <w:p w14:paraId="0CDCD31D">
            <w:pPr>
              <w:jc w:val="center"/>
              <w:rPr>
                <w:color w:val="auto"/>
                <w:sz w:val="21"/>
                <w:szCs w:val="21"/>
              </w:rPr>
            </w:pPr>
          </w:p>
        </w:tc>
        <w:tc>
          <w:tcPr>
            <w:tcW w:w="565" w:type="pct"/>
            <w:vMerge w:val="continue"/>
            <w:vAlign w:val="center"/>
          </w:tcPr>
          <w:p w14:paraId="343A9476">
            <w:pPr>
              <w:jc w:val="center"/>
              <w:rPr>
                <w:color w:val="auto"/>
                <w:sz w:val="21"/>
                <w:szCs w:val="21"/>
              </w:rPr>
            </w:pPr>
          </w:p>
        </w:tc>
        <w:tc>
          <w:tcPr>
            <w:tcW w:w="346" w:type="pct"/>
            <w:vMerge w:val="continue"/>
            <w:vAlign w:val="center"/>
          </w:tcPr>
          <w:p w14:paraId="212E3B30">
            <w:pPr>
              <w:jc w:val="center"/>
              <w:rPr>
                <w:color w:val="auto"/>
                <w:sz w:val="21"/>
                <w:szCs w:val="21"/>
              </w:rPr>
            </w:pPr>
          </w:p>
        </w:tc>
      </w:tr>
      <w:tr w14:paraId="22897C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33AE9926">
            <w:pPr>
              <w:jc w:val="center"/>
              <w:rPr>
                <w:color w:val="auto"/>
                <w:sz w:val="21"/>
                <w:szCs w:val="21"/>
              </w:rPr>
            </w:pPr>
          </w:p>
        </w:tc>
        <w:tc>
          <w:tcPr>
            <w:tcW w:w="410" w:type="pct"/>
            <w:shd w:val="clear" w:color="auto" w:fill="auto"/>
            <w:vAlign w:val="center"/>
          </w:tcPr>
          <w:p w14:paraId="398A5A81">
            <w:pPr>
              <w:jc w:val="center"/>
              <w:rPr>
                <w:color w:val="auto"/>
                <w:sz w:val="21"/>
                <w:szCs w:val="21"/>
              </w:rPr>
            </w:pPr>
            <w:r>
              <w:rPr>
                <w:color w:val="auto"/>
                <w:sz w:val="21"/>
                <w:szCs w:val="21"/>
              </w:rPr>
              <w:t>水基岩屑</w:t>
            </w:r>
          </w:p>
        </w:tc>
        <w:tc>
          <w:tcPr>
            <w:tcW w:w="2241" w:type="pct"/>
            <w:shd w:val="clear" w:color="auto" w:fill="auto"/>
            <w:vAlign w:val="center"/>
          </w:tcPr>
          <w:p w14:paraId="528F8386">
            <w:pPr>
              <w:jc w:val="center"/>
              <w:rPr>
                <w:color w:val="auto"/>
                <w:sz w:val="21"/>
                <w:szCs w:val="21"/>
              </w:rPr>
            </w:pPr>
            <w:r>
              <w:rPr>
                <w:color w:val="auto"/>
                <w:sz w:val="21"/>
                <w:szCs w:val="21"/>
              </w:rPr>
              <w:t>设置1座清洁化操作平台，用于收集、处理、暂存泥浆循环处理系统产生的固相物质。平台设专业岩屑堆存区，占地约50m</w:t>
            </w:r>
            <w:r>
              <w:rPr>
                <w:color w:val="auto"/>
                <w:sz w:val="21"/>
                <w:szCs w:val="21"/>
                <w:vertAlign w:val="superscript"/>
              </w:rPr>
              <w:t>2</w:t>
            </w:r>
            <w:r>
              <w:rPr>
                <w:color w:val="auto"/>
                <w:sz w:val="21"/>
                <w:szCs w:val="21"/>
              </w:rPr>
              <w:t>，用于暂存</w:t>
            </w:r>
            <w:r>
              <w:rPr>
                <w:rFonts w:hint="eastAsia"/>
                <w:color w:val="auto"/>
                <w:sz w:val="21"/>
                <w:szCs w:val="21"/>
              </w:rPr>
              <w:t>水基</w:t>
            </w:r>
            <w:r>
              <w:rPr>
                <w:color w:val="auto"/>
                <w:sz w:val="21"/>
                <w:szCs w:val="21"/>
              </w:rPr>
              <w:t>岩屑</w:t>
            </w:r>
            <w:r>
              <w:rPr>
                <w:rFonts w:hint="eastAsia"/>
                <w:color w:val="auto"/>
                <w:sz w:val="21"/>
                <w:szCs w:val="21"/>
              </w:rPr>
              <w:t>以及泥渣</w:t>
            </w:r>
            <w:r>
              <w:rPr>
                <w:color w:val="auto"/>
                <w:sz w:val="21"/>
                <w:szCs w:val="21"/>
              </w:rPr>
              <w:t>，后期外</w:t>
            </w:r>
            <w:r>
              <w:rPr>
                <w:rFonts w:hint="eastAsia"/>
                <w:color w:val="auto"/>
                <w:sz w:val="21"/>
                <w:szCs w:val="21"/>
              </w:rPr>
              <w:t>委</w:t>
            </w:r>
            <w:r>
              <w:rPr>
                <w:color w:val="auto"/>
                <w:sz w:val="21"/>
                <w:szCs w:val="21"/>
              </w:rPr>
              <w:t>制砖厂家等进行资源化利用</w:t>
            </w:r>
            <w:r>
              <w:rPr>
                <w:rFonts w:hint="eastAsia"/>
                <w:color w:val="auto"/>
                <w:sz w:val="21"/>
                <w:szCs w:val="21"/>
              </w:rPr>
              <w:t>。</w:t>
            </w:r>
          </w:p>
        </w:tc>
        <w:tc>
          <w:tcPr>
            <w:tcW w:w="713" w:type="pct"/>
            <w:vMerge w:val="continue"/>
            <w:shd w:val="clear" w:color="auto" w:fill="auto"/>
            <w:vAlign w:val="center"/>
          </w:tcPr>
          <w:p w14:paraId="6B182940">
            <w:pPr>
              <w:jc w:val="center"/>
              <w:rPr>
                <w:color w:val="auto"/>
                <w:sz w:val="21"/>
                <w:szCs w:val="21"/>
              </w:rPr>
            </w:pPr>
          </w:p>
        </w:tc>
        <w:tc>
          <w:tcPr>
            <w:tcW w:w="565" w:type="pct"/>
            <w:vMerge w:val="continue"/>
            <w:vAlign w:val="center"/>
          </w:tcPr>
          <w:p w14:paraId="21F6EF52">
            <w:pPr>
              <w:jc w:val="center"/>
              <w:rPr>
                <w:color w:val="auto"/>
                <w:sz w:val="21"/>
                <w:szCs w:val="21"/>
              </w:rPr>
            </w:pPr>
          </w:p>
        </w:tc>
        <w:tc>
          <w:tcPr>
            <w:tcW w:w="346" w:type="pct"/>
            <w:vMerge w:val="continue"/>
            <w:vAlign w:val="center"/>
          </w:tcPr>
          <w:p w14:paraId="574ECE73">
            <w:pPr>
              <w:jc w:val="center"/>
              <w:rPr>
                <w:color w:val="auto"/>
                <w:sz w:val="21"/>
                <w:szCs w:val="21"/>
              </w:rPr>
            </w:pPr>
          </w:p>
        </w:tc>
      </w:tr>
      <w:tr w14:paraId="15802B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48A1EDE1">
            <w:pPr>
              <w:jc w:val="center"/>
              <w:rPr>
                <w:color w:val="auto"/>
                <w:sz w:val="21"/>
                <w:szCs w:val="21"/>
              </w:rPr>
            </w:pPr>
          </w:p>
        </w:tc>
        <w:tc>
          <w:tcPr>
            <w:tcW w:w="410" w:type="pct"/>
            <w:shd w:val="clear" w:color="auto" w:fill="auto"/>
            <w:vAlign w:val="center"/>
          </w:tcPr>
          <w:p w14:paraId="56171B6B">
            <w:pPr>
              <w:jc w:val="center"/>
              <w:rPr>
                <w:color w:val="auto"/>
                <w:sz w:val="21"/>
                <w:szCs w:val="21"/>
              </w:rPr>
            </w:pPr>
            <w:r>
              <w:rPr>
                <w:rFonts w:hint="eastAsia"/>
                <w:color w:val="auto"/>
                <w:sz w:val="21"/>
                <w:szCs w:val="21"/>
              </w:rPr>
              <w:t>油基岩屑</w:t>
            </w:r>
          </w:p>
        </w:tc>
        <w:tc>
          <w:tcPr>
            <w:tcW w:w="2241" w:type="pct"/>
            <w:shd w:val="clear" w:color="auto" w:fill="auto"/>
            <w:vAlign w:val="center"/>
          </w:tcPr>
          <w:p w14:paraId="3AFCB4F3">
            <w:pPr>
              <w:jc w:val="center"/>
              <w:rPr>
                <w:color w:val="auto"/>
                <w:sz w:val="21"/>
                <w:szCs w:val="21"/>
              </w:rPr>
            </w:pPr>
            <w:r>
              <w:rPr>
                <w:rFonts w:hint="eastAsia"/>
                <w:color w:val="auto"/>
                <w:kern w:val="28"/>
                <w:sz w:val="21"/>
                <w:szCs w:val="21"/>
              </w:rPr>
              <w:t>项目开工前与有资质的处理单位签订协议，</w:t>
            </w:r>
            <w:r>
              <w:rPr>
                <w:rFonts w:hint="eastAsia"/>
                <w:color w:val="auto"/>
                <w:sz w:val="21"/>
                <w:szCs w:val="21"/>
              </w:rPr>
              <w:t>油基钻屑由储存桶或储存袋收集后暂存于#</w:t>
            </w:r>
            <w:r>
              <w:rPr>
                <w:color w:val="auto"/>
                <w:sz w:val="21"/>
                <w:szCs w:val="21"/>
              </w:rPr>
              <w:t>2</w:t>
            </w:r>
            <w:r>
              <w:rPr>
                <w:rFonts w:hint="eastAsia"/>
                <w:color w:val="auto"/>
                <w:sz w:val="21"/>
                <w:szCs w:val="21"/>
              </w:rPr>
              <w:t>为危废暂存间，后交危废资质单位拉运处置。</w:t>
            </w:r>
          </w:p>
        </w:tc>
        <w:tc>
          <w:tcPr>
            <w:tcW w:w="713" w:type="pct"/>
            <w:vMerge w:val="continue"/>
            <w:shd w:val="clear" w:color="auto" w:fill="auto"/>
            <w:vAlign w:val="center"/>
          </w:tcPr>
          <w:p w14:paraId="32C39887">
            <w:pPr>
              <w:jc w:val="center"/>
              <w:rPr>
                <w:color w:val="auto"/>
                <w:sz w:val="21"/>
                <w:szCs w:val="21"/>
              </w:rPr>
            </w:pPr>
          </w:p>
        </w:tc>
        <w:tc>
          <w:tcPr>
            <w:tcW w:w="565" w:type="pct"/>
            <w:vMerge w:val="continue"/>
            <w:vAlign w:val="center"/>
          </w:tcPr>
          <w:p w14:paraId="0E49F21C">
            <w:pPr>
              <w:jc w:val="center"/>
              <w:rPr>
                <w:color w:val="auto"/>
                <w:sz w:val="21"/>
                <w:szCs w:val="21"/>
              </w:rPr>
            </w:pPr>
          </w:p>
        </w:tc>
        <w:tc>
          <w:tcPr>
            <w:tcW w:w="346" w:type="pct"/>
            <w:vMerge w:val="continue"/>
            <w:vAlign w:val="center"/>
          </w:tcPr>
          <w:p w14:paraId="41C96004">
            <w:pPr>
              <w:jc w:val="center"/>
              <w:rPr>
                <w:color w:val="auto"/>
                <w:sz w:val="21"/>
                <w:szCs w:val="21"/>
              </w:rPr>
            </w:pPr>
          </w:p>
        </w:tc>
      </w:tr>
      <w:tr w14:paraId="09D414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5D9669D8">
            <w:pPr>
              <w:jc w:val="center"/>
              <w:rPr>
                <w:color w:val="auto"/>
                <w:sz w:val="21"/>
                <w:szCs w:val="21"/>
              </w:rPr>
            </w:pPr>
          </w:p>
        </w:tc>
        <w:tc>
          <w:tcPr>
            <w:tcW w:w="410" w:type="pct"/>
            <w:shd w:val="clear" w:color="auto" w:fill="auto"/>
            <w:vAlign w:val="center"/>
          </w:tcPr>
          <w:p w14:paraId="28189DC1">
            <w:pPr>
              <w:jc w:val="center"/>
              <w:rPr>
                <w:color w:val="auto"/>
                <w:sz w:val="21"/>
                <w:szCs w:val="21"/>
              </w:rPr>
            </w:pPr>
            <w:r>
              <w:rPr>
                <w:rFonts w:hint="eastAsia"/>
                <w:color w:val="auto"/>
                <w:sz w:val="21"/>
                <w:szCs w:val="21"/>
              </w:rPr>
              <w:t>含矿物油废物</w:t>
            </w:r>
          </w:p>
        </w:tc>
        <w:tc>
          <w:tcPr>
            <w:tcW w:w="2241" w:type="pct"/>
            <w:shd w:val="clear" w:color="auto" w:fill="auto"/>
            <w:vAlign w:val="center"/>
          </w:tcPr>
          <w:p w14:paraId="588D713A">
            <w:pPr>
              <w:jc w:val="center"/>
              <w:rPr>
                <w:color w:val="auto"/>
                <w:sz w:val="21"/>
                <w:szCs w:val="21"/>
              </w:rPr>
            </w:pPr>
            <w:r>
              <w:rPr>
                <w:rFonts w:hint="eastAsia"/>
                <w:color w:val="auto"/>
                <w:sz w:val="21"/>
                <w:szCs w:val="21"/>
              </w:rPr>
              <w:t>暂存于#</w:t>
            </w:r>
            <w:r>
              <w:rPr>
                <w:color w:val="auto"/>
                <w:sz w:val="21"/>
                <w:szCs w:val="21"/>
              </w:rPr>
              <w:t>1危废暂存间</w:t>
            </w:r>
            <w:r>
              <w:rPr>
                <w:rFonts w:hint="eastAsia"/>
                <w:color w:val="auto"/>
                <w:sz w:val="21"/>
                <w:szCs w:val="21"/>
              </w:rPr>
              <w:t>，</w:t>
            </w:r>
            <w:r>
              <w:rPr>
                <w:color w:val="auto"/>
                <w:sz w:val="21"/>
                <w:szCs w:val="21"/>
              </w:rPr>
              <w:t>定期由</w:t>
            </w:r>
            <w:r>
              <w:rPr>
                <w:rFonts w:hint="eastAsia"/>
                <w:color w:val="auto"/>
                <w:sz w:val="21"/>
                <w:szCs w:val="21"/>
              </w:rPr>
              <w:t>有危废</w:t>
            </w:r>
            <w:r>
              <w:rPr>
                <w:color w:val="auto"/>
                <w:sz w:val="21"/>
                <w:szCs w:val="21"/>
              </w:rPr>
              <w:t>资质单位运输处理</w:t>
            </w:r>
            <w:r>
              <w:rPr>
                <w:rFonts w:hint="eastAsia"/>
                <w:color w:val="auto"/>
                <w:sz w:val="21"/>
                <w:szCs w:val="21"/>
              </w:rPr>
              <w:t>.</w:t>
            </w:r>
          </w:p>
        </w:tc>
        <w:tc>
          <w:tcPr>
            <w:tcW w:w="713" w:type="pct"/>
            <w:vMerge w:val="continue"/>
            <w:shd w:val="clear" w:color="auto" w:fill="auto"/>
            <w:vAlign w:val="center"/>
          </w:tcPr>
          <w:p w14:paraId="4BDD78B7">
            <w:pPr>
              <w:jc w:val="center"/>
              <w:rPr>
                <w:color w:val="auto"/>
                <w:sz w:val="21"/>
                <w:szCs w:val="21"/>
              </w:rPr>
            </w:pPr>
          </w:p>
        </w:tc>
        <w:tc>
          <w:tcPr>
            <w:tcW w:w="565" w:type="pct"/>
            <w:vMerge w:val="continue"/>
            <w:vAlign w:val="center"/>
          </w:tcPr>
          <w:p w14:paraId="6402E444">
            <w:pPr>
              <w:jc w:val="center"/>
              <w:rPr>
                <w:color w:val="auto"/>
                <w:sz w:val="21"/>
                <w:szCs w:val="21"/>
              </w:rPr>
            </w:pPr>
          </w:p>
        </w:tc>
        <w:tc>
          <w:tcPr>
            <w:tcW w:w="346" w:type="pct"/>
            <w:vMerge w:val="continue"/>
            <w:vAlign w:val="center"/>
          </w:tcPr>
          <w:p w14:paraId="389FFC9D">
            <w:pPr>
              <w:jc w:val="center"/>
              <w:rPr>
                <w:color w:val="auto"/>
                <w:sz w:val="21"/>
                <w:szCs w:val="21"/>
              </w:rPr>
            </w:pPr>
          </w:p>
        </w:tc>
      </w:tr>
      <w:tr w14:paraId="28CC77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114AD7CA">
            <w:pPr>
              <w:jc w:val="center"/>
              <w:rPr>
                <w:color w:val="auto"/>
                <w:sz w:val="21"/>
                <w:szCs w:val="21"/>
              </w:rPr>
            </w:pPr>
          </w:p>
        </w:tc>
        <w:tc>
          <w:tcPr>
            <w:tcW w:w="410" w:type="pct"/>
            <w:shd w:val="clear" w:color="auto" w:fill="auto"/>
            <w:vAlign w:val="center"/>
          </w:tcPr>
          <w:p w14:paraId="6918082C">
            <w:pPr>
              <w:jc w:val="center"/>
              <w:rPr>
                <w:color w:val="auto"/>
                <w:sz w:val="21"/>
                <w:szCs w:val="21"/>
              </w:rPr>
            </w:pPr>
            <w:r>
              <w:rPr>
                <w:rFonts w:hint="eastAsia"/>
                <w:color w:val="auto"/>
                <w:sz w:val="21"/>
                <w:szCs w:val="21"/>
              </w:rPr>
              <w:t>废机油</w:t>
            </w:r>
          </w:p>
        </w:tc>
        <w:tc>
          <w:tcPr>
            <w:tcW w:w="2241" w:type="pct"/>
            <w:shd w:val="clear" w:color="auto" w:fill="auto"/>
            <w:vAlign w:val="center"/>
          </w:tcPr>
          <w:p w14:paraId="2F2697FF">
            <w:pPr>
              <w:jc w:val="center"/>
              <w:rPr>
                <w:color w:val="auto"/>
                <w:sz w:val="21"/>
                <w:szCs w:val="21"/>
              </w:rPr>
            </w:pPr>
            <w:r>
              <w:rPr>
                <w:rFonts w:hint="eastAsia"/>
                <w:color w:val="auto"/>
                <w:sz w:val="21"/>
                <w:szCs w:val="21"/>
              </w:rPr>
              <w:t>暂存于#</w:t>
            </w:r>
            <w:r>
              <w:rPr>
                <w:color w:val="auto"/>
                <w:sz w:val="21"/>
                <w:szCs w:val="21"/>
              </w:rPr>
              <w:t>1</w:t>
            </w:r>
            <w:r>
              <w:rPr>
                <w:rFonts w:hint="eastAsia"/>
                <w:color w:val="auto"/>
                <w:sz w:val="21"/>
                <w:szCs w:val="21"/>
              </w:rPr>
              <w:t>危废暂存间，后交由有资质的单位回收。</w:t>
            </w:r>
          </w:p>
        </w:tc>
        <w:tc>
          <w:tcPr>
            <w:tcW w:w="713" w:type="pct"/>
            <w:vMerge w:val="continue"/>
            <w:shd w:val="clear" w:color="auto" w:fill="auto"/>
            <w:vAlign w:val="center"/>
          </w:tcPr>
          <w:p w14:paraId="3D3D6575">
            <w:pPr>
              <w:jc w:val="center"/>
              <w:rPr>
                <w:color w:val="auto"/>
                <w:sz w:val="21"/>
                <w:szCs w:val="21"/>
              </w:rPr>
            </w:pPr>
          </w:p>
        </w:tc>
        <w:tc>
          <w:tcPr>
            <w:tcW w:w="565" w:type="pct"/>
            <w:vMerge w:val="continue"/>
            <w:vAlign w:val="center"/>
          </w:tcPr>
          <w:p w14:paraId="57071681">
            <w:pPr>
              <w:jc w:val="center"/>
              <w:rPr>
                <w:color w:val="auto"/>
                <w:sz w:val="21"/>
                <w:szCs w:val="21"/>
              </w:rPr>
            </w:pPr>
          </w:p>
        </w:tc>
        <w:tc>
          <w:tcPr>
            <w:tcW w:w="346" w:type="pct"/>
            <w:vMerge w:val="continue"/>
            <w:vAlign w:val="center"/>
          </w:tcPr>
          <w:p w14:paraId="7FCCD065">
            <w:pPr>
              <w:jc w:val="center"/>
              <w:rPr>
                <w:color w:val="auto"/>
                <w:sz w:val="21"/>
                <w:szCs w:val="21"/>
              </w:rPr>
            </w:pPr>
          </w:p>
        </w:tc>
      </w:tr>
      <w:tr w14:paraId="0C5B7A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5D37A1E9">
            <w:pPr>
              <w:jc w:val="center"/>
              <w:rPr>
                <w:color w:val="auto"/>
                <w:sz w:val="21"/>
                <w:szCs w:val="21"/>
              </w:rPr>
            </w:pPr>
          </w:p>
        </w:tc>
        <w:tc>
          <w:tcPr>
            <w:tcW w:w="410" w:type="pct"/>
            <w:shd w:val="clear" w:color="auto" w:fill="auto"/>
            <w:vAlign w:val="center"/>
          </w:tcPr>
          <w:p w14:paraId="79DFED81">
            <w:pPr>
              <w:jc w:val="center"/>
              <w:rPr>
                <w:color w:val="auto"/>
                <w:sz w:val="21"/>
                <w:szCs w:val="21"/>
              </w:rPr>
            </w:pPr>
            <w:r>
              <w:rPr>
                <w:rFonts w:hint="eastAsia"/>
                <w:color w:val="auto"/>
                <w:sz w:val="21"/>
                <w:szCs w:val="21"/>
              </w:rPr>
              <w:t>不沾染毒的</w:t>
            </w:r>
            <w:r>
              <w:rPr>
                <w:color w:val="auto"/>
                <w:sz w:val="21"/>
                <w:szCs w:val="21"/>
              </w:rPr>
              <w:t>废包装材料</w:t>
            </w:r>
          </w:p>
        </w:tc>
        <w:tc>
          <w:tcPr>
            <w:tcW w:w="2241" w:type="pct"/>
            <w:shd w:val="clear" w:color="auto" w:fill="auto"/>
            <w:vAlign w:val="center"/>
          </w:tcPr>
          <w:p w14:paraId="25256692">
            <w:pPr>
              <w:jc w:val="center"/>
              <w:rPr>
                <w:color w:val="auto"/>
                <w:sz w:val="21"/>
                <w:szCs w:val="21"/>
              </w:rPr>
            </w:pPr>
            <w:r>
              <w:rPr>
                <w:rFonts w:hint="eastAsia"/>
                <w:color w:val="auto"/>
                <w:sz w:val="21"/>
                <w:szCs w:val="21"/>
              </w:rPr>
              <w:t>外售有资质的单位回收利用</w:t>
            </w:r>
          </w:p>
        </w:tc>
        <w:tc>
          <w:tcPr>
            <w:tcW w:w="713" w:type="pct"/>
            <w:vMerge w:val="continue"/>
            <w:shd w:val="clear" w:color="auto" w:fill="auto"/>
            <w:vAlign w:val="center"/>
          </w:tcPr>
          <w:p w14:paraId="1205EA68">
            <w:pPr>
              <w:jc w:val="center"/>
              <w:rPr>
                <w:color w:val="auto"/>
                <w:sz w:val="21"/>
                <w:szCs w:val="21"/>
              </w:rPr>
            </w:pPr>
          </w:p>
        </w:tc>
        <w:tc>
          <w:tcPr>
            <w:tcW w:w="565" w:type="pct"/>
            <w:vMerge w:val="continue"/>
            <w:vAlign w:val="center"/>
          </w:tcPr>
          <w:p w14:paraId="031CD419">
            <w:pPr>
              <w:jc w:val="center"/>
              <w:rPr>
                <w:color w:val="auto"/>
                <w:sz w:val="21"/>
                <w:szCs w:val="21"/>
              </w:rPr>
            </w:pPr>
          </w:p>
        </w:tc>
        <w:tc>
          <w:tcPr>
            <w:tcW w:w="346" w:type="pct"/>
            <w:vMerge w:val="continue"/>
            <w:vAlign w:val="center"/>
          </w:tcPr>
          <w:p w14:paraId="2AA351AA">
            <w:pPr>
              <w:jc w:val="center"/>
              <w:rPr>
                <w:color w:val="auto"/>
                <w:sz w:val="21"/>
                <w:szCs w:val="21"/>
              </w:rPr>
            </w:pPr>
          </w:p>
        </w:tc>
      </w:tr>
      <w:tr w14:paraId="668AE6E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5F00A7C5">
            <w:pPr>
              <w:jc w:val="center"/>
              <w:rPr>
                <w:color w:val="auto"/>
                <w:sz w:val="21"/>
                <w:szCs w:val="21"/>
              </w:rPr>
            </w:pPr>
          </w:p>
        </w:tc>
        <w:tc>
          <w:tcPr>
            <w:tcW w:w="410" w:type="pct"/>
            <w:shd w:val="clear" w:color="auto" w:fill="auto"/>
            <w:vAlign w:val="center"/>
          </w:tcPr>
          <w:p w14:paraId="46EECD43">
            <w:pPr>
              <w:jc w:val="center"/>
              <w:rPr>
                <w:color w:val="auto"/>
                <w:sz w:val="21"/>
                <w:szCs w:val="21"/>
              </w:rPr>
            </w:pPr>
            <w:r>
              <w:rPr>
                <w:rFonts w:hint="eastAsia"/>
                <w:color w:val="auto"/>
                <w:sz w:val="21"/>
                <w:szCs w:val="21"/>
              </w:rPr>
              <w:t>沾染毒的</w:t>
            </w:r>
            <w:r>
              <w:rPr>
                <w:color w:val="auto"/>
                <w:sz w:val="21"/>
                <w:szCs w:val="21"/>
              </w:rPr>
              <w:t>废包装材料</w:t>
            </w:r>
          </w:p>
        </w:tc>
        <w:tc>
          <w:tcPr>
            <w:tcW w:w="2241" w:type="pct"/>
            <w:shd w:val="clear" w:color="auto" w:fill="auto"/>
            <w:vAlign w:val="center"/>
          </w:tcPr>
          <w:p w14:paraId="724B3C92">
            <w:pPr>
              <w:jc w:val="center"/>
              <w:rPr>
                <w:color w:val="auto"/>
                <w:sz w:val="21"/>
                <w:szCs w:val="21"/>
              </w:rPr>
            </w:pPr>
            <w:r>
              <w:rPr>
                <w:rFonts w:hint="eastAsia"/>
                <w:color w:val="auto"/>
                <w:sz w:val="21"/>
                <w:szCs w:val="21"/>
              </w:rPr>
              <w:t>集中收集于</w:t>
            </w:r>
            <w:r>
              <w:rPr>
                <w:color w:val="auto"/>
                <w:sz w:val="21"/>
                <w:szCs w:val="21"/>
              </w:rPr>
              <w:t>#1</w:t>
            </w:r>
            <w:r>
              <w:rPr>
                <w:rFonts w:hint="eastAsia"/>
                <w:color w:val="auto"/>
                <w:sz w:val="21"/>
                <w:szCs w:val="21"/>
              </w:rPr>
              <w:t>危废暂存间，后交有资质单位处置。</w:t>
            </w:r>
          </w:p>
        </w:tc>
        <w:tc>
          <w:tcPr>
            <w:tcW w:w="713" w:type="pct"/>
            <w:vMerge w:val="continue"/>
            <w:shd w:val="clear" w:color="auto" w:fill="auto"/>
            <w:vAlign w:val="center"/>
          </w:tcPr>
          <w:p w14:paraId="02718518">
            <w:pPr>
              <w:jc w:val="center"/>
              <w:rPr>
                <w:color w:val="auto"/>
                <w:sz w:val="21"/>
                <w:szCs w:val="21"/>
              </w:rPr>
            </w:pPr>
          </w:p>
        </w:tc>
        <w:tc>
          <w:tcPr>
            <w:tcW w:w="565" w:type="pct"/>
            <w:vMerge w:val="continue"/>
            <w:vAlign w:val="center"/>
          </w:tcPr>
          <w:p w14:paraId="41D0AD45">
            <w:pPr>
              <w:jc w:val="center"/>
              <w:rPr>
                <w:color w:val="auto"/>
                <w:sz w:val="21"/>
                <w:szCs w:val="21"/>
              </w:rPr>
            </w:pPr>
          </w:p>
        </w:tc>
        <w:tc>
          <w:tcPr>
            <w:tcW w:w="346" w:type="pct"/>
            <w:vMerge w:val="continue"/>
            <w:vAlign w:val="center"/>
          </w:tcPr>
          <w:p w14:paraId="69B8EEA1">
            <w:pPr>
              <w:jc w:val="center"/>
              <w:rPr>
                <w:color w:val="auto"/>
                <w:sz w:val="21"/>
                <w:szCs w:val="21"/>
              </w:rPr>
            </w:pPr>
          </w:p>
        </w:tc>
      </w:tr>
      <w:tr w14:paraId="50E5A2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102E84DA">
            <w:pPr>
              <w:jc w:val="center"/>
              <w:rPr>
                <w:color w:val="auto"/>
                <w:sz w:val="21"/>
                <w:szCs w:val="21"/>
              </w:rPr>
            </w:pPr>
          </w:p>
        </w:tc>
        <w:tc>
          <w:tcPr>
            <w:tcW w:w="410" w:type="pct"/>
            <w:shd w:val="clear" w:color="auto" w:fill="auto"/>
            <w:vAlign w:val="center"/>
          </w:tcPr>
          <w:p w14:paraId="5DCAF14C">
            <w:pPr>
              <w:jc w:val="center"/>
              <w:rPr>
                <w:color w:val="auto"/>
                <w:sz w:val="21"/>
                <w:szCs w:val="21"/>
              </w:rPr>
            </w:pPr>
            <w:r>
              <w:rPr>
                <w:rFonts w:hint="eastAsia"/>
                <w:color w:val="auto"/>
                <w:sz w:val="21"/>
                <w:szCs w:val="21"/>
              </w:rPr>
              <w:t>泥渣</w:t>
            </w:r>
          </w:p>
        </w:tc>
        <w:tc>
          <w:tcPr>
            <w:tcW w:w="2241" w:type="pct"/>
            <w:shd w:val="clear" w:color="auto" w:fill="auto"/>
            <w:vAlign w:val="center"/>
          </w:tcPr>
          <w:p w14:paraId="64640A29">
            <w:pPr>
              <w:jc w:val="center"/>
              <w:rPr>
                <w:color w:val="auto"/>
                <w:sz w:val="21"/>
                <w:szCs w:val="21"/>
              </w:rPr>
            </w:pPr>
            <w:r>
              <w:rPr>
                <w:rFonts w:hint="eastAsia"/>
                <w:color w:val="auto"/>
                <w:sz w:val="21"/>
                <w:szCs w:val="21"/>
              </w:rPr>
              <w:t>同水基岩屑一起处置。</w:t>
            </w:r>
          </w:p>
        </w:tc>
        <w:tc>
          <w:tcPr>
            <w:tcW w:w="713" w:type="pct"/>
            <w:vMerge w:val="continue"/>
            <w:shd w:val="clear" w:color="auto" w:fill="auto"/>
            <w:vAlign w:val="center"/>
          </w:tcPr>
          <w:p w14:paraId="3655CFAC">
            <w:pPr>
              <w:jc w:val="center"/>
              <w:rPr>
                <w:color w:val="auto"/>
                <w:sz w:val="21"/>
                <w:szCs w:val="21"/>
              </w:rPr>
            </w:pPr>
          </w:p>
        </w:tc>
        <w:tc>
          <w:tcPr>
            <w:tcW w:w="565" w:type="pct"/>
            <w:vMerge w:val="continue"/>
            <w:vAlign w:val="center"/>
          </w:tcPr>
          <w:p w14:paraId="51208634">
            <w:pPr>
              <w:jc w:val="center"/>
              <w:rPr>
                <w:color w:val="auto"/>
                <w:sz w:val="21"/>
                <w:szCs w:val="21"/>
              </w:rPr>
            </w:pPr>
          </w:p>
        </w:tc>
        <w:tc>
          <w:tcPr>
            <w:tcW w:w="346" w:type="pct"/>
            <w:vMerge w:val="continue"/>
            <w:vAlign w:val="center"/>
          </w:tcPr>
          <w:p w14:paraId="3AB8BD6A">
            <w:pPr>
              <w:jc w:val="center"/>
              <w:rPr>
                <w:color w:val="auto"/>
                <w:sz w:val="21"/>
                <w:szCs w:val="21"/>
              </w:rPr>
            </w:pPr>
          </w:p>
        </w:tc>
      </w:tr>
      <w:tr w14:paraId="5928B4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723" w:type="pct"/>
            <w:vMerge w:val="continue"/>
            <w:vAlign w:val="center"/>
          </w:tcPr>
          <w:p w14:paraId="3CA06192">
            <w:pPr>
              <w:jc w:val="center"/>
              <w:rPr>
                <w:color w:val="auto"/>
                <w:sz w:val="21"/>
                <w:szCs w:val="21"/>
              </w:rPr>
            </w:pPr>
          </w:p>
        </w:tc>
        <w:tc>
          <w:tcPr>
            <w:tcW w:w="410" w:type="pct"/>
            <w:shd w:val="clear" w:color="auto" w:fill="auto"/>
            <w:vAlign w:val="center"/>
          </w:tcPr>
          <w:p w14:paraId="72DC1954">
            <w:pPr>
              <w:jc w:val="center"/>
              <w:rPr>
                <w:color w:val="auto"/>
                <w:sz w:val="21"/>
                <w:szCs w:val="21"/>
              </w:rPr>
            </w:pPr>
            <w:r>
              <w:rPr>
                <w:rFonts w:hint="eastAsia"/>
                <w:color w:val="auto"/>
                <w:sz w:val="21"/>
                <w:szCs w:val="21"/>
              </w:rPr>
              <w:t>生活垃圾</w:t>
            </w:r>
          </w:p>
        </w:tc>
        <w:tc>
          <w:tcPr>
            <w:tcW w:w="2241" w:type="pct"/>
            <w:shd w:val="clear" w:color="auto" w:fill="auto"/>
            <w:vAlign w:val="center"/>
          </w:tcPr>
          <w:p w14:paraId="02727B72">
            <w:pPr>
              <w:jc w:val="center"/>
              <w:rPr>
                <w:color w:val="auto"/>
                <w:sz w:val="21"/>
                <w:szCs w:val="21"/>
              </w:rPr>
            </w:pPr>
            <w:r>
              <w:rPr>
                <w:rFonts w:hint="eastAsia"/>
                <w:color w:val="auto"/>
                <w:sz w:val="21"/>
                <w:szCs w:val="21"/>
              </w:rPr>
              <w:t>生活垃圾定点收集后，由环卫部门统一清运处置。</w:t>
            </w:r>
          </w:p>
        </w:tc>
        <w:tc>
          <w:tcPr>
            <w:tcW w:w="713" w:type="pct"/>
            <w:vMerge w:val="continue"/>
            <w:shd w:val="clear" w:color="auto" w:fill="auto"/>
            <w:vAlign w:val="center"/>
          </w:tcPr>
          <w:p w14:paraId="0615F712">
            <w:pPr>
              <w:jc w:val="center"/>
              <w:rPr>
                <w:color w:val="auto"/>
                <w:sz w:val="21"/>
                <w:szCs w:val="21"/>
              </w:rPr>
            </w:pPr>
          </w:p>
        </w:tc>
        <w:tc>
          <w:tcPr>
            <w:tcW w:w="565" w:type="pct"/>
            <w:vMerge w:val="continue"/>
            <w:vAlign w:val="center"/>
          </w:tcPr>
          <w:p w14:paraId="1B6AE128">
            <w:pPr>
              <w:jc w:val="center"/>
              <w:rPr>
                <w:color w:val="auto"/>
                <w:sz w:val="21"/>
                <w:szCs w:val="21"/>
              </w:rPr>
            </w:pPr>
          </w:p>
        </w:tc>
        <w:tc>
          <w:tcPr>
            <w:tcW w:w="346" w:type="pct"/>
            <w:vMerge w:val="continue"/>
            <w:vAlign w:val="center"/>
          </w:tcPr>
          <w:p w14:paraId="3A2F782B">
            <w:pPr>
              <w:jc w:val="center"/>
              <w:rPr>
                <w:color w:val="auto"/>
                <w:sz w:val="21"/>
                <w:szCs w:val="21"/>
              </w:rPr>
            </w:pPr>
          </w:p>
        </w:tc>
      </w:tr>
      <w:tr w14:paraId="247B3E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48918A77">
            <w:pPr>
              <w:jc w:val="center"/>
              <w:rPr>
                <w:color w:val="auto"/>
                <w:sz w:val="21"/>
                <w:szCs w:val="21"/>
              </w:rPr>
            </w:pPr>
            <w:r>
              <w:rPr>
                <w:rFonts w:hint="eastAsia"/>
                <w:color w:val="auto"/>
                <w:sz w:val="21"/>
                <w:szCs w:val="21"/>
              </w:rPr>
              <w:t>电磁环境</w:t>
            </w:r>
          </w:p>
        </w:tc>
        <w:tc>
          <w:tcPr>
            <w:tcW w:w="2651" w:type="pct"/>
            <w:gridSpan w:val="2"/>
            <w:vAlign w:val="center"/>
          </w:tcPr>
          <w:p w14:paraId="1279DC7B">
            <w:pPr>
              <w:jc w:val="center"/>
              <w:rPr>
                <w:color w:val="auto"/>
                <w:sz w:val="21"/>
                <w:szCs w:val="21"/>
              </w:rPr>
            </w:pPr>
            <w:r>
              <w:rPr>
                <w:rFonts w:hint="eastAsia"/>
                <w:color w:val="auto"/>
                <w:sz w:val="21"/>
                <w:szCs w:val="21"/>
              </w:rPr>
              <w:t>/</w:t>
            </w:r>
          </w:p>
        </w:tc>
        <w:tc>
          <w:tcPr>
            <w:tcW w:w="713" w:type="pct"/>
            <w:vAlign w:val="center"/>
          </w:tcPr>
          <w:p w14:paraId="680C1580">
            <w:pPr>
              <w:jc w:val="center"/>
              <w:rPr>
                <w:color w:val="auto"/>
                <w:sz w:val="21"/>
                <w:szCs w:val="21"/>
              </w:rPr>
            </w:pPr>
            <w:r>
              <w:rPr>
                <w:rFonts w:hint="eastAsia"/>
                <w:color w:val="auto"/>
                <w:sz w:val="21"/>
                <w:szCs w:val="21"/>
              </w:rPr>
              <w:t>/</w:t>
            </w:r>
          </w:p>
        </w:tc>
        <w:tc>
          <w:tcPr>
            <w:tcW w:w="565" w:type="pct"/>
            <w:vAlign w:val="center"/>
          </w:tcPr>
          <w:p w14:paraId="32A1BFE5">
            <w:pPr>
              <w:jc w:val="center"/>
              <w:rPr>
                <w:color w:val="auto"/>
                <w:sz w:val="21"/>
                <w:szCs w:val="21"/>
              </w:rPr>
            </w:pPr>
            <w:r>
              <w:rPr>
                <w:rFonts w:hint="eastAsia"/>
                <w:color w:val="auto"/>
                <w:sz w:val="21"/>
                <w:szCs w:val="21"/>
              </w:rPr>
              <w:t>/</w:t>
            </w:r>
          </w:p>
        </w:tc>
        <w:tc>
          <w:tcPr>
            <w:tcW w:w="346" w:type="pct"/>
            <w:vAlign w:val="center"/>
          </w:tcPr>
          <w:p w14:paraId="024B795B">
            <w:pPr>
              <w:jc w:val="center"/>
              <w:rPr>
                <w:color w:val="auto"/>
                <w:sz w:val="21"/>
                <w:szCs w:val="21"/>
              </w:rPr>
            </w:pPr>
            <w:r>
              <w:rPr>
                <w:rFonts w:hint="eastAsia"/>
                <w:color w:val="auto"/>
                <w:sz w:val="21"/>
                <w:szCs w:val="21"/>
              </w:rPr>
              <w:t>/</w:t>
            </w:r>
          </w:p>
        </w:tc>
      </w:tr>
      <w:tr w14:paraId="2CF323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2710CF56">
            <w:pPr>
              <w:jc w:val="center"/>
              <w:rPr>
                <w:color w:val="auto"/>
                <w:sz w:val="21"/>
                <w:szCs w:val="21"/>
              </w:rPr>
            </w:pPr>
            <w:r>
              <w:rPr>
                <w:rFonts w:hint="eastAsia"/>
                <w:color w:val="auto"/>
                <w:sz w:val="21"/>
                <w:szCs w:val="21"/>
              </w:rPr>
              <w:t>环境风险</w:t>
            </w:r>
          </w:p>
        </w:tc>
        <w:tc>
          <w:tcPr>
            <w:tcW w:w="2651" w:type="pct"/>
            <w:gridSpan w:val="2"/>
            <w:vAlign w:val="center"/>
          </w:tcPr>
          <w:p w14:paraId="4AEEE0CC">
            <w:pPr>
              <w:jc w:val="center"/>
              <w:rPr>
                <w:color w:val="auto"/>
                <w:sz w:val="21"/>
                <w:szCs w:val="21"/>
              </w:rPr>
            </w:pPr>
            <w:r>
              <w:rPr>
                <w:color w:val="auto"/>
                <w:sz w:val="21"/>
                <w:szCs w:val="21"/>
              </w:rPr>
              <w:t>钻井及</w:t>
            </w:r>
            <w:r>
              <w:rPr>
                <w:rFonts w:hint="eastAsia"/>
                <w:color w:val="auto"/>
                <w:sz w:val="21"/>
                <w:szCs w:val="21"/>
              </w:rPr>
              <w:t>试采</w:t>
            </w:r>
            <w:r>
              <w:rPr>
                <w:color w:val="auto"/>
                <w:sz w:val="21"/>
                <w:szCs w:val="21"/>
              </w:rPr>
              <w:t>压裂过程中严格按照规范和设计施工；柴油储罐地面应做硬化，罐底设置防渗膜，并在四周设置围堰；根据《钻井井控技术规程》（SY/T 6426-2005），钻井现场应配备独立点火系统，点火人员应佩戴防护器具，并在上风方向，将气体引至放喷池点火；开工建设前应进一步开展水文地质条件勘察，查明地下溶洞、暗河分布情况，采用清水强钻套管封隔技术避免钻井液漏失；当池体发生渗漏时，应立即将池体中废水全部转运井场场内用罐体或采用罐车拉运至其他钻井平台池体内暂存；制定应急预案并加强演练；加强环境风险管及物资储备等；加强岩屑、废水运过程的风险管理。</w:t>
            </w:r>
          </w:p>
        </w:tc>
        <w:tc>
          <w:tcPr>
            <w:tcW w:w="713" w:type="pct"/>
            <w:vAlign w:val="center"/>
          </w:tcPr>
          <w:p w14:paraId="4932C1AF">
            <w:pPr>
              <w:jc w:val="center"/>
              <w:rPr>
                <w:color w:val="auto"/>
                <w:sz w:val="21"/>
                <w:szCs w:val="21"/>
              </w:rPr>
            </w:pPr>
            <w:r>
              <w:rPr>
                <w:rFonts w:hint="eastAsia"/>
                <w:color w:val="auto"/>
                <w:sz w:val="21"/>
                <w:szCs w:val="21"/>
              </w:rPr>
              <w:t>/</w:t>
            </w:r>
          </w:p>
        </w:tc>
        <w:tc>
          <w:tcPr>
            <w:tcW w:w="565" w:type="pct"/>
            <w:vAlign w:val="center"/>
          </w:tcPr>
          <w:p w14:paraId="3B3D2CAB">
            <w:pPr>
              <w:jc w:val="center"/>
              <w:rPr>
                <w:color w:val="auto"/>
                <w:sz w:val="21"/>
                <w:szCs w:val="21"/>
              </w:rPr>
            </w:pPr>
            <w:r>
              <w:rPr>
                <w:rFonts w:hint="eastAsia"/>
                <w:color w:val="auto"/>
                <w:sz w:val="21"/>
                <w:szCs w:val="21"/>
              </w:rPr>
              <w:t>/</w:t>
            </w:r>
          </w:p>
        </w:tc>
        <w:tc>
          <w:tcPr>
            <w:tcW w:w="346" w:type="pct"/>
            <w:vAlign w:val="center"/>
          </w:tcPr>
          <w:p w14:paraId="34E76AA6">
            <w:pPr>
              <w:jc w:val="center"/>
              <w:rPr>
                <w:color w:val="auto"/>
                <w:sz w:val="21"/>
                <w:szCs w:val="21"/>
              </w:rPr>
            </w:pPr>
            <w:r>
              <w:rPr>
                <w:rFonts w:hint="eastAsia"/>
                <w:color w:val="auto"/>
                <w:sz w:val="21"/>
                <w:szCs w:val="21"/>
              </w:rPr>
              <w:t>/</w:t>
            </w:r>
          </w:p>
        </w:tc>
      </w:tr>
      <w:tr w14:paraId="3C873D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06A85389">
            <w:pPr>
              <w:jc w:val="center"/>
              <w:rPr>
                <w:color w:val="auto"/>
                <w:sz w:val="21"/>
                <w:szCs w:val="21"/>
              </w:rPr>
            </w:pPr>
            <w:r>
              <w:rPr>
                <w:rFonts w:hint="eastAsia"/>
                <w:color w:val="auto"/>
                <w:sz w:val="21"/>
                <w:szCs w:val="21"/>
              </w:rPr>
              <w:t>环境监测</w:t>
            </w:r>
          </w:p>
        </w:tc>
        <w:tc>
          <w:tcPr>
            <w:tcW w:w="2651" w:type="pct"/>
            <w:gridSpan w:val="2"/>
            <w:vAlign w:val="center"/>
          </w:tcPr>
          <w:p w14:paraId="02996ACB">
            <w:pPr>
              <w:jc w:val="center"/>
              <w:rPr>
                <w:color w:val="auto"/>
                <w:sz w:val="21"/>
                <w:szCs w:val="21"/>
              </w:rPr>
            </w:pPr>
            <w:r>
              <w:rPr>
                <w:rFonts w:hint="eastAsia"/>
                <w:color w:val="auto"/>
                <w:sz w:val="21"/>
                <w:szCs w:val="21"/>
              </w:rPr>
              <w:t>/</w:t>
            </w:r>
          </w:p>
        </w:tc>
        <w:tc>
          <w:tcPr>
            <w:tcW w:w="713" w:type="pct"/>
            <w:vAlign w:val="center"/>
          </w:tcPr>
          <w:p w14:paraId="52A28DD1">
            <w:pPr>
              <w:jc w:val="center"/>
              <w:rPr>
                <w:color w:val="auto"/>
                <w:sz w:val="21"/>
                <w:szCs w:val="21"/>
              </w:rPr>
            </w:pPr>
            <w:r>
              <w:rPr>
                <w:rFonts w:hint="eastAsia"/>
                <w:color w:val="auto"/>
                <w:sz w:val="21"/>
                <w:szCs w:val="21"/>
              </w:rPr>
              <w:t>/</w:t>
            </w:r>
          </w:p>
        </w:tc>
        <w:tc>
          <w:tcPr>
            <w:tcW w:w="565" w:type="pct"/>
            <w:vAlign w:val="center"/>
          </w:tcPr>
          <w:p w14:paraId="41275AE0">
            <w:pPr>
              <w:jc w:val="center"/>
              <w:rPr>
                <w:color w:val="auto"/>
                <w:sz w:val="21"/>
                <w:szCs w:val="21"/>
              </w:rPr>
            </w:pPr>
            <w:r>
              <w:rPr>
                <w:rFonts w:hint="eastAsia"/>
                <w:color w:val="auto"/>
                <w:sz w:val="21"/>
                <w:szCs w:val="21"/>
              </w:rPr>
              <w:t>/</w:t>
            </w:r>
          </w:p>
        </w:tc>
        <w:tc>
          <w:tcPr>
            <w:tcW w:w="346" w:type="pct"/>
            <w:vAlign w:val="center"/>
          </w:tcPr>
          <w:p w14:paraId="1DD62CF4">
            <w:pPr>
              <w:jc w:val="center"/>
              <w:rPr>
                <w:color w:val="auto"/>
                <w:sz w:val="21"/>
                <w:szCs w:val="21"/>
              </w:rPr>
            </w:pPr>
            <w:r>
              <w:rPr>
                <w:rFonts w:hint="eastAsia"/>
                <w:color w:val="auto"/>
                <w:sz w:val="21"/>
                <w:szCs w:val="21"/>
              </w:rPr>
              <w:t>/</w:t>
            </w:r>
          </w:p>
        </w:tc>
      </w:tr>
      <w:tr w14:paraId="5CE065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3" w:type="pct"/>
            <w:vAlign w:val="center"/>
          </w:tcPr>
          <w:p w14:paraId="2B4EF519">
            <w:pPr>
              <w:jc w:val="center"/>
              <w:rPr>
                <w:color w:val="auto"/>
                <w:sz w:val="21"/>
                <w:szCs w:val="21"/>
              </w:rPr>
            </w:pPr>
            <w:r>
              <w:rPr>
                <w:rFonts w:hint="eastAsia"/>
                <w:color w:val="auto"/>
                <w:sz w:val="21"/>
                <w:szCs w:val="21"/>
              </w:rPr>
              <w:t>其他</w:t>
            </w:r>
          </w:p>
        </w:tc>
        <w:tc>
          <w:tcPr>
            <w:tcW w:w="2651" w:type="pct"/>
            <w:gridSpan w:val="2"/>
            <w:vAlign w:val="center"/>
          </w:tcPr>
          <w:p w14:paraId="0F1D9042">
            <w:pPr>
              <w:jc w:val="center"/>
              <w:rPr>
                <w:color w:val="auto"/>
                <w:sz w:val="21"/>
                <w:szCs w:val="21"/>
              </w:rPr>
            </w:pPr>
            <w:r>
              <w:rPr>
                <w:rFonts w:hint="eastAsia"/>
                <w:color w:val="auto"/>
                <w:sz w:val="21"/>
                <w:szCs w:val="21"/>
              </w:rPr>
              <w:t>/</w:t>
            </w:r>
          </w:p>
        </w:tc>
        <w:tc>
          <w:tcPr>
            <w:tcW w:w="713" w:type="pct"/>
            <w:vAlign w:val="center"/>
          </w:tcPr>
          <w:p w14:paraId="7C33F516">
            <w:pPr>
              <w:jc w:val="center"/>
              <w:rPr>
                <w:color w:val="auto"/>
                <w:sz w:val="21"/>
                <w:szCs w:val="21"/>
              </w:rPr>
            </w:pPr>
            <w:r>
              <w:rPr>
                <w:rFonts w:hint="eastAsia"/>
                <w:color w:val="auto"/>
                <w:sz w:val="21"/>
                <w:szCs w:val="21"/>
              </w:rPr>
              <w:t>/</w:t>
            </w:r>
          </w:p>
        </w:tc>
        <w:tc>
          <w:tcPr>
            <w:tcW w:w="565" w:type="pct"/>
            <w:vAlign w:val="center"/>
          </w:tcPr>
          <w:p w14:paraId="704E4746">
            <w:pPr>
              <w:jc w:val="center"/>
              <w:rPr>
                <w:color w:val="auto"/>
                <w:sz w:val="21"/>
                <w:szCs w:val="21"/>
              </w:rPr>
            </w:pPr>
            <w:r>
              <w:rPr>
                <w:rFonts w:hint="eastAsia"/>
                <w:color w:val="auto"/>
                <w:sz w:val="21"/>
                <w:szCs w:val="21"/>
              </w:rPr>
              <w:t>/</w:t>
            </w:r>
          </w:p>
        </w:tc>
        <w:tc>
          <w:tcPr>
            <w:tcW w:w="346" w:type="pct"/>
            <w:vAlign w:val="center"/>
          </w:tcPr>
          <w:p w14:paraId="0611330E">
            <w:pPr>
              <w:jc w:val="center"/>
              <w:rPr>
                <w:color w:val="auto"/>
                <w:sz w:val="21"/>
                <w:szCs w:val="21"/>
              </w:rPr>
            </w:pPr>
            <w:r>
              <w:rPr>
                <w:rFonts w:hint="eastAsia"/>
                <w:color w:val="auto"/>
                <w:sz w:val="21"/>
                <w:szCs w:val="21"/>
              </w:rPr>
              <w:t>/</w:t>
            </w:r>
          </w:p>
        </w:tc>
      </w:tr>
    </w:tbl>
    <w:p w14:paraId="722DF4E3">
      <w:pPr>
        <w:spacing w:line="360" w:lineRule="auto"/>
        <w:rPr>
          <w:color w:val="auto"/>
        </w:rPr>
      </w:pPr>
    </w:p>
    <w:p w14:paraId="23346643">
      <w:pPr>
        <w:spacing w:line="360" w:lineRule="auto"/>
        <w:rPr>
          <w:color w:val="auto"/>
        </w:rPr>
      </w:pPr>
    </w:p>
    <w:p w14:paraId="2C43CEE4">
      <w:pPr>
        <w:rPr>
          <w:color w:val="auto"/>
        </w:rPr>
      </w:pPr>
    </w:p>
    <w:p w14:paraId="4064BD4C">
      <w:pPr>
        <w:rPr>
          <w:color w:val="auto"/>
        </w:rPr>
      </w:pPr>
    </w:p>
    <w:p w14:paraId="73BED67C">
      <w:pPr>
        <w:pStyle w:val="2"/>
        <w:rPr>
          <w:color w:val="auto"/>
        </w:rPr>
        <w:sectPr>
          <w:pgSz w:w="11906" w:h="16838"/>
          <w:pgMar w:top="1417" w:right="1417" w:bottom="1417" w:left="1417" w:header="851" w:footer="992" w:gutter="0"/>
          <w:cols w:space="425" w:num="1"/>
          <w:docGrid w:type="lines" w:linePitch="312" w:charSpace="0"/>
        </w:sectPr>
      </w:pPr>
    </w:p>
    <w:p w14:paraId="7B3756FE">
      <w:pPr>
        <w:pStyle w:val="2"/>
        <w:rPr>
          <w:color w:val="auto"/>
        </w:rPr>
      </w:pPr>
      <w:bookmarkStart w:id="31" w:name="_Toc11506"/>
      <w:r>
        <w:rPr>
          <w:rFonts w:hint="eastAsia"/>
          <w:color w:val="auto"/>
        </w:rPr>
        <w:t>七、结论</w:t>
      </w:r>
      <w:bookmarkEnd w:id="31"/>
    </w:p>
    <w:tbl>
      <w:tblPr>
        <w:tblStyle w:val="19"/>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4132CB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tcPr>
          <w:p w14:paraId="15114989">
            <w:pPr>
              <w:pStyle w:val="7"/>
              <w:spacing w:after="0" w:line="480" w:lineRule="exact"/>
              <w:ind w:left="0" w:leftChars="0" w:firstLine="480" w:firstLineChars="200"/>
              <w:rPr>
                <w:color w:val="auto"/>
                <w:kern w:val="2"/>
              </w:rPr>
            </w:pPr>
            <w:r>
              <w:rPr>
                <w:color w:val="auto"/>
                <w:kern w:val="2"/>
              </w:rPr>
              <w:t>桂融页4平台页岩气勘探开发项目</w:t>
            </w:r>
            <w:r>
              <w:rPr>
                <w:rFonts w:hint="eastAsia"/>
                <w:color w:val="auto"/>
                <w:kern w:val="2"/>
              </w:rPr>
              <w:t>位于柳州市融水苗族自治县和睦镇，建设单位为广西页岩气勘探开发有限公司，</w:t>
            </w:r>
            <w:r>
              <w:rPr>
                <w:color w:val="auto"/>
                <w:kern w:val="2"/>
              </w:rPr>
              <w:t>项目</w:t>
            </w:r>
            <w:r>
              <w:rPr>
                <w:rFonts w:hint="eastAsia"/>
                <w:color w:val="auto"/>
                <w:kern w:val="2"/>
              </w:rPr>
              <w:t>总投资33000万元，</w:t>
            </w:r>
            <w:r>
              <w:rPr>
                <w:rFonts w:hint="eastAsia"/>
                <w:color w:val="auto"/>
              </w:rPr>
              <w:t>项目位于现有用地范围内，无新增用地</w:t>
            </w:r>
            <w:r>
              <w:rPr>
                <w:color w:val="auto"/>
                <w:kern w:val="2"/>
              </w:rPr>
              <w:t>，</w:t>
            </w:r>
            <w:r>
              <w:rPr>
                <w:rFonts w:hint="eastAsia"/>
                <w:color w:val="auto"/>
                <w:kern w:val="2"/>
              </w:rPr>
              <w:t>不涉及</w:t>
            </w:r>
            <w:r>
              <w:rPr>
                <w:color w:val="auto"/>
                <w:kern w:val="2"/>
              </w:rPr>
              <w:t>占用基本农田总面积</w:t>
            </w:r>
            <w:r>
              <w:rPr>
                <w:rFonts w:hint="eastAsia"/>
                <w:color w:val="auto"/>
                <w:kern w:val="2"/>
              </w:rPr>
              <w:t>。项目部署页岩气探井，</w:t>
            </w:r>
            <w:r>
              <w:rPr>
                <w:color w:val="auto"/>
                <w:kern w:val="2"/>
              </w:rPr>
              <w:t>探明</w:t>
            </w:r>
            <w:r>
              <w:rPr>
                <w:rFonts w:hint="eastAsia"/>
                <w:color w:val="auto"/>
                <w:kern w:val="2"/>
              </w:rPr>
              <w:t>区域页岩气</w:t>
            </w:r>
            <w:r>
              <w:rPr>
                <w:color w:val="auto"/>
                <w:kern w:val="2"/>
              </w:rPr>
              <w:t>储存情况</w:t>
            </w:r>
            <w:r>
              <w:rPr>
                <w:rFonts w:hint="eastAsia"/>
                <w:color w:val="auto"/>
                <w:kern w:val="2"/>
              </w:rPr>
              <w:t>。项目已取得柳州市融水苗族自治县发展和改革局备案，项目代码为：2606-450225-04-01-600042。</w:t>
            </w:r>
          </w:p>
          <w:p w14:paraId="533EB89A">
            <w:pPr>
              <w:pStyle w:val="7"/>
              <w:spacing w:after="0" w:line="480" w:lineRule="exact"/>
              <w:ind w:left="0" w:leftChars="0" w:firstLine="480" w:firstLineChars="200"/>
              <w:rPr>
                <w:color w:val="auto"/>
                <w:kern w:val="2"/>
              </w:rPr>
            </w:pPr>
            <w:r>
              <w:rPr>
                <w:rFonts w:hint="eastAsia"/>
                <w:color w:val="auto"/>
                <w:kern w:val="2"/>
              </w:rPr>
              <w:t>桂融页4平台页岩气勘探开发项目</w:t>
            </w:r>
            <w:r>
              <w:rPr>
                <w:color w:val="auto"/>
                <w:kern w:val="2"/>
              </w:rPr>
              <w:t>符合</w:t>
            </w:r>
            <w:r>
              <w:rPr>
                <w:rFonts w:hint="eastAsia"/>
                <w:color w:val="auto"/>
                <w:kern w:val="2"/>
              </w:rPr>
              <w:t>国家</w:t>
            </w:r>
            <w:r>
              <w:rPr>
                <w:color w:val="auto"/>
                <w:kern w:val="2"/>
              </w:rPr>
              <w:t>产业政策要求</w:t>
            </w:r>
            <w:r>
              <w:rPr>
                <w:rFonts w:hint="eastAsia"/>
                <w:color w:val="auto"/>
                <w:kern w:val="2"/>
              </w:rPr>
              <w:t>及区域规划要求，选址</w:t>
            </w:r>
            <w:r>
              <w:rPr>
                <w:color w:val="auto"/>
                <w:kern w:val="2"/>
              </w:rPr>
              <w:t>及平面布置</w:t>
            </w:r>
            <w:r>
              <w:rPr>
                <w:rFonts w:hint="eastAsia"/>
                <w:color w:val="auto"/>
                <w:kern w:val="2"/>
              </w:rPr>
              <w:t>合理，符合符合生态环境管控分区的相关要求。项目的开发建设将不可避免地对区域生态、地表水、地下水、空气和声环境质量等产生一定的不利影响，通过采取完善可行的污染防治和生态保护措施，加强项目服务期满后的生态恢复，建设单位在工程建设和生产过程中只要切实做好环境保护“三同时”工作，严格落实工程开采设计方案及本报告中提出的各项污染防治措施，可将工程建设对环境不利影响程度降至最低限度，并为环境所接受，实现经济、社会和环境的可持续发展。</w:t>
            </w:r>
          </w:p>
          <w:p w14:paraId="283CCFC0">
            <w:pPr>
              <w:pStyle w:val="7"/>
              <w:spacing w:after="0" w:line="480" w:lineRule="exact"/>
              <w:ind w:left="0" w:leftChars="0" w:firstLine="480" w:firstLineChars="200"/>
              <w:rPr>
                <w:color w:val="auto"/>
                <w:kern w:val="2"/>
              </w:rPr>
            </w:pPr>
            <w:r>
              <w:rPr>
                <w:rFonts w:hint="eastAsia"/>
                <w:color w:val="auto"/>
                <w:kern w:val="2"/>
              </w:rPr>
              <w:t>因此，从环境保护的角度而言，本项目选址合理，建设可行</w:t>
            </w:r>
            <w:r>
              <w:rPr>
                <w:color w:val="auto"/>
                <w:kern w:val="2"/>
              </w:rPr>
              <w:t>。</w:t>
            </w:r>
          </w:p>
          <w:p w14:paraId="3FFAD07E">
            <w:pPr>
              <w:adjustRightInd w:val="0"/>
              <w:snapToGrid w:val="0"/>
              <w:ind w:firstLine="315"/>
              <w:rPr>
                <w:rFonts w:ascii="宋体" w:hAnsi="宋体" w:cs="宋体"/>
                <w:color w:val="auto"/>
                <w:szCs w:val="21"/>
              </w:rPr>
            </w:pPr>
          </w:p>
          <w:p w14:paraId="141D4027">
            <w:pPr>
              <w:adjustRightInd w:val="0"/>
              <w:snapToGrid w:val="0"/>
              <w:ind w:firstLine="315"/>
              <w:rPr>
                <w:rFonts w:ascii="宋体" w:hAnsi="宋体" w:cs="宋体"/>
                <w:color w:val="auto"/>
                <w:szCs w:val="21"/>
              </w:rPr>
            </w:pPr>
          </w:p>
        </w:tc>
      </w:tr>
    </w:tbl>
    <w:p w14:paraId="54B58ADF">
      <w:pPr>
        <w:spacing w:line="360" w:lineRule="auto"/>
        <w:rPr>
          <w:color w:val="auto"/>
        </w:rPr>
      </w:pPr>
    </w:p>
    <w:p w14:paraId="539D6EA4">
      <w:pPr>
        <w:adjustRightInd w:val="0"/>
        <w:snapToGrid w:val="0"/>
        <w:spacing w:line="360" w:lineRule="auto"/>
        <w:rPr>
          <w:color w:val="auto"/>
        </w:rPr>
      </w:pPr>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1ED97">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883706">
    <w:pPr>
      <w:pStyle w:val="10"/>
      <w:framePr w:wrap="around" w:vAnchor="text" w:hAnchor="margin" w:xAlign="outside" w:y="1"/>
      <w:rPr>
        <w:rStyle w:val="22"/>
      </w:rPr>
    </w:pPr>
    <w:r>
      <w:rPr>
        <w:rStyle w:val="22"/>
      </w:rPr>
      <w:fldChar w:fldCharType="begin"/>
    </w:r>
    <w:r>
      <w:rPr>
        <w:rStyle w:val="22"/>
      </w:rPr>
      <w:instrText xml:space="preserve">PAGE  </w:instrText>
    </w:r>
    <w:r>
      <w:rPr>
        <w:rStyle w:val="22"/>
      </w:rPr>
      <w:fldChar w:fldCharType="end"/>
    </w:r>
  </w:p>
  <w:p w14:paraId="1CB3D88B">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6C85D">
    <w:pPr>
      <w:pStyle w:val="10"/>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435B92">
    <w:pPr>
      <w:pStyle w:val="10"/>
      <w:ind w:right="360" w:firstLine="360"/>
    </w:pPr>
    <w:r>
      <mc:AlternateContent>
        <mc:Choice Requires="wps">
          <w:drawing>
            <wp:anchor distT="0" distB="0" distL="114300" distR="114300" simplePos="0" relativeHeight="251659264" behindDoc="0" locked="0" layoutInCell="1" allowOverlap="1">
              <wp:simplePos x="0" y="0"/>
              <wp:positionH relativeFrom="margin">
                <wp:posOffset>2844800</wp:posOffset>
              </wp:positionH>
              <wp:positionV relativeFrom="paragraph">
                <wp:posOffset>0</wp:posOffset>
              </wp:positionV>
              <wp:extent cx="357505" cy="1828800"/>
              <wp:effectExtent l="0" t="0" r="4445" b="14605"/>
              <wp:wrapNone/>
              <wp:docPr id="6" name="文本框 6"/>
              <wp:cNvGraphicFramePr/>
              <a:graphic xmlns:a="http://schemas.openxmlformats.org/drawingml/2006/main">
                <a:graphicData uri="http://schemas.microsoft.com/office/word/2010/wordprocessingShape">
                  <wps:wsp>
                    <wps:cNvSpPr txBox="1"/>
                    <wps:spPr>
                      <a:xfrm>
                        <a:off x="0" y="0"/>
                        <a:ext cx="357809"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0476C1">
                          <w:pPr>
                            <w:pStyle w:val="10"/>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24pt;margin-top:0pt;height:144pt;width:28.15pt;mso-position-horizontal-relative:margin;z-index:251659264;mso-width-relative:page;mso-height-relative:page;" filled="f" stroked="f" coordsize="21600,21600" o:gfxdata="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MwUO2NcAAAAIAQAADwAAAAAAAAABACAAAAAiAAAAZHJzL2Rvd25yZXYueG1s&#10;UEsBAhQAFAAAAAgAh07iQJ6iZWMyAgAAVgQAAA4AAAAAAAAAAQAgAAAAJgEAAGRycy9lMm9Eb2Mu&#10;eG1sUEsFBgAAAAAGAAYAWQEAAMoFAAAAAA==&#10;">
              <v:fill on="f" focussize="0,0"/>
              <v:stroke on="f" weight="0.5pt"/>
              <v:imagedata o:title=""/>
              <o:lock v:ext="edit" aspectratio="f"/>
              <v:textbox inset="0mm,0mm,0mm,0mm" style="mso-fit-shape-to-text:t;">
                <w:txbxContent>
                  <w:p w14:paraId="130476C1">
                    <w:pPr>
                      <w:pStyle w:val="10"/>
                    </w:pPr>
                    <w:r>
                      <w:fldChar w:fldCharType="begin"/>
                    </w:r>
                    <w:r>
                      <w:instrText xml:space="preserve"> PAGE  \* MERGEFORMAT </w:instrText>
                    </w:r>
                    <w:r>
                      <w:fldChar w:fldCharType="separate"/>
                    </w:r>
                    <w:r>
                      <w:t>69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E0B"/>
    <w:rsid w:val="00004BE9"/>
    <w:rsid w:val="0002584A"/>
    <w:rsid w:val="0003687C"/>
    <w:rsid w:val="000475D8"/>
    <w:rsid w:val="00053D0F"/>
    <w:rsid w:val="00061679"/>
    <w:rsid w:val="00070020"/>
    <w:rsid w:val="00073551"/>
    <w:rsid w:val="00076052"/>
    <w:rsid w:val="000938B7"/>
    <w:rsid w:val="000A709D"/>
    <w:rsid w:val="000C1FED"/>
    <w:rsid w:val="000E0435"/>
    <w:rsid w:val="000F6E0B"/>
    <w:rsid w:val="001206BB"/>
    <w:rsid w:val="00126975"/>
    <w:rsid w:val="00132594"/>
    <w:rsid w:val="00135A9D"/>
    <w:rsid w:val="001467E8"/>
    <w:rsid w:val="0016569A"/>
    <w:rsid w:val="00166E7E"/>
    <w:rsid w:val="001728EC"/>
    <w:rsid w:val="00177B8D"/>
    <w:rsid w:val="001955F6"/>
    <w:rsid w:val="001969B7"/>
    <w:rsid w:val="001A3AF6"/>
    <w:rsid w:val="001B0DFF"/>
    <w:rsid w:val="001D0544"/>
    <w:rsid w:val="001F6EA9"/>
    <w:rsid w:val="00203BB2"/>
    <w:rsid w:val="0023525F"/>
    <w:rsid w:val="0024465E"/>
    <w:rsid w:val="002606CF"/>
    <w:rsid w:val="00274CAF"/>
    <w:rsid w:val="002828E5"/>
    <w:rsid w:val="002931EC"/>
    <w:rsid w:val="002B0C38"/>
    <w:rsid w:val="002D1137"/>
    <w:rsid w:val="002D158E"/>
    <w:rsid w:val="002D22B9"/>
    <w:rsid w:val="002D52AB"/>
    <w:rsid w:val="002E6FE0"/>
    <w:rsid w:val="002F3380"/>
    <w:rsid w:val="00311C99"/>
    <w:rsid w:val="00314E28"/>
    <w:rsid w:val="003170E3"/>
    <w:rsid w:val="003174AB"/>
    <w:rsid w:val="00327C70"/>
    <w:rsid w:val="00330C19"/>
    <w:rsid w:val="00335A17"/>
    <w:rsid w:val="00335A36"/>
    <w:rsid w:val="00337846"/>
    <w:rsid w:val="00340887"/>
    <w:rsid w:val="00346141"/>
    <w:rsid w:val="00351DAF"/>
    <w:rsid w:val="00354DAA"/>
    <w:rsid w:val="00357931"/>
    <w:rsid w:val="00370731"/>
    <w:rsid w:val="00372883"/>
    <w:rsid w:val="00373C09"/>
    <w:rsid w:val="00373F06"/>
    <w:rsid w:val="0037657E"/>
    <w:rsid w:val="00380558"/>
    <w:rsid w:val="003877BE"/>
    <w:rsid w:val="003A0A52"/>
    <w:rsid w:val="003B09A1"/>
    <w:rsid w:val="003B2C08"/>
    <w:rsid w:val="003C2D3B"/>
    <w:rsid w:val="003D1C65"/>
    <w:rsid w:val="003D1CE2"/>
    <w:rsid w:val="003E2513"/>
    <w:rsid w:val="00433A40"/>
    <w:rsid w:val="00435279"/>
    <w:rsid w:val="004403AB"/>
    <w:rsid w:val="0044325F"/>
    <w:rsid w:val="0044407A"/>
    <w:rsid w:val="00456BC0"/>
    <w:rsid w:val="00474524"/>
    <w:rsid w:val="00476833"/>
    <w:rsid w:val="004A1A1B"/>
    <w:rsid w:val="004A6A3A"/>
    <w:rsid w:val="004C3E69"/>
    <w:rsid w:val="004C7738"/>
    <w:rsid w:val="004D6261"/>
    <w:rsid w:val="004E2729"/>
    <w:rsid w:val="004F0EE7"/>
    <w:rsid w:val="004F4C24"/>
    <w:rsid w:val="004F5E02"/>
    <w:rsid w:val="004F78C6"/>
    <w:rsid w:val="00503964"/>
    <w:rsid w:val="00533171"/>
    <w:rsid w:val="00543AA3"/>
    <w:rsid w:val="0054763C"/>
    <w:rsid w:val="00554F6C"/>
    <w:rsid w:val="00571128"/>
    <w:rsid w:val="00574047"/>
    <w:rsid w:val="005746A8"/>
    <w:rsid w:val="0058424B"/>
    <w:rsid w:val="0059190D"/>
    <w:rsid w:val="005919A3"/>
    <w:rsid w:val="00594544"/>
    <w:rsid w:val="0059528A"/>
    <w:rsid w:val="005A2D65"/>
    <w:rsid w:val="005A7EEA"/>
    <w:rsid w:val="005B3413"/>
    <w:rsid w:val="005C1D03"/>
    <w:rsid w:val="005D3CF3"/>
    <w:rsid w:val="005E2F7D"/>
    <w:rsid w:val="005E41F6"/>
    <w:rsid w:val="005E6CFA"/>
    <w:rsid w:val="006026A3"/>
    <w:rsid w:val="006202DC"/>
    <w:rsid w:val="006229AE"/>
    <w:rsid w:val="006326A6"/>
    <w:rsid w:val="00637469"/>
    <w:rsid w:val="00657570"/>
    <w:rsid w:val="006652A4"/>
    <w:rsid w:val="00667782"/>
    <w:rsid w:val="00685A33"/>
    <w:rsid w:val="006876FC"/>
    <w:rsid w:val="006902DB"/>
    <w:rsid w:val="006B36AD"/>
    <w:rsid w:val="006B6087"/>
    <w:rsid w:val="006B7F45"/>
    <w:rsid w:val="006C5DF4"/>
    <w:rsid w:val="006D2DFC"/>
    <w:rsid w:val="006E3312"/>
    <w:rsid w:val="006F1209"/>
    <w:rsid w:val="006F6806"/>
    <w:rsid w:val="00700D4B"/>
    <w:rsid w:val="007121C1"/>
    <w:rsid w:val="007150DC"/>
    <w:rsid w:val="007171EC"/>
    <w:rsid w:val="00720F82"/>
    <w:rsid w:val="00723872"/>
    <w:rsid w:val="00727183"/>
    <w:rsid w:val="0074110B"/>
    <w:rsid w:val="00747F49"/>
    <w:rsid w:val="0075484D"/>
    <w:rsid w:val="00754E51"/>
    <w:rsid w:val="00771B4D"/>
    <w:rsid w:val="00775247"/>
    <w:rsid w:val="00781022"/>
    <w:rsid w:val="007856D0"/>
    <w:rsid w:val="007879AC"/>
    <w:rsid w:val="007912EB"/>
    <w:rsid w:val="007A4758"/>
    <w:rsid w:val="007A5F0B"/>
    <w:rsid w:val="007A75B2"/>
    <w:rsid w:val="007B5346"/>
    <w:rsid w:val="007B577C"/>
    <w:rsid w:val="007C42FF"/>
    <w:rsid w:val="007C6048"/>
    <w:rsid w:val="007D01A9"/>
    <w:rsid w:val="007D1446"/>
    <w:rsid w:val="007D2222"/>
    <w:rsid w:val="007E024E"/>
    <w:rsid w:val="007E55CB"/>
    <w:rsid w:val="007F41B9"/>
    <w:rsid w:val="007F4CA8"/>
    <w:rsid w:val="007F612B"/>
    <w:rsid w:val="00822436"/>
    <w:rsid w:val="00825DD2"/>
    <w:rsid w:val="00827425"/>
    <w:rsid w:val="008358F4"/>
    <w:rsid w:val="00837065"/>
    <w:rsid w:val="008438A5"/>
    <w:rsid w:val="00844E63"/>
    <w:rsid w:val="008546FA"/>
    <w:rsid w:val="00857E55"/>
    <w:rsid w:val="00880455"/>
    <w:rsid w:val="008852C4"/>
    <w:rsid w:val="00892F04"/>
    <w:rsid w:val="00895CD7"/>
    <w:rsid w:val="008B5235"/>
    <w:rsid w:val="008F179D"/>
    <w:rsid w:val="008F63FC"/>
    <w:rsid w:val="008F7A65"/>
    <w:rsid w:val="00901063"/>
    <w:rsid w:val="009174E8"/>
    <w:rsid w:val="00940CFE"/>
    <w:rsid w:val="00952873"/>
    <w:rsid w:val="00953976"/>
    <w:rsid w:val="00956C51"/>
    <w:rsid w:val="00962205"/>
    <w:rsid w:val="00963D43"/>
    <w:rsid w:val="00964910"/>
    <w:rsid w:val="00965A55"/>
    <w:rsid w:val="009732EB"/>
    <w:rsid w:val="009804F7"/>
    <w:rsid w:val="00982AB1"/>
    <w:rsid w:val="00983A65"/>
    <w:rsid w:val="00984522"/>
    <w:rsid w:val="00993799"/>
    <w:rsid w:val="009946B1"/>
    <w:rsid w:val="0099608B"/>
    <w:rsid w:val="009964B0"/>
    <w:rsid w:val="009E1A08"/>
    <w:rsid w:val="009F7D2C"/>
    <w:rsid w:val="00A1128D"/>
    <w:rsid w:val="00A20842"/>
    <w:rsid w:val="00A20DD4"/>
    <w:rsid w:val="00A4012B"/>
    <w:rsid w:val="00A405E9"/>
    <w:rsid w:val="00A4419A"/>
    <w:rsid w:val="00A475A7"/>
    <w:rsid w:val="00A4790A"/>
    <w:rsid w:val="00A56C35"/>
    <w:rsid w:val="00A8447E"/>
    <w:rsid w:val="00A956AD"/>
    <w:rsid w:val="00AA32AF"/>
    <w:rsid w:val="00AC36EF"/>
    <w:rsid w:val="00AD1D5A"/>
    <w:rsid w:val="00AD4916"/>
    <w:rsid w:val="00AD582B"/>
    <w:rsid w:val="00AE31EA"/>
    <w:rsid w:val="00AE36B3"/>
    <w:rsid w:val="00AE6385"/>
    <w:rsid w:val="00AE672C"/>
    <w:rsid w:val="00AF2FB3"/>
    <w:rsid w:val="00AF4ADE"/>
    <w:rsid w:val="00B05AE6"/>
    <w:rsid w:val="00B064E3"/>
    <w:rsid w:val="00B07114"/>
    <w:rsid w:val="00B12B50"/>
    <w:rsid w:val="00B14F74"/>
    <w:rsid w:val="00B21338"/>
    <w:rsid w:val="00B224B8"/>
    <w:rsid w:val="00B354F9"/>
    <w:rsid w:val="00B7267C"/>
    <w:rsid w:val="00B8140A"/>
    <w:rsid w:val="00B877D5"/>
    <w:rsid w:val="00BA69E6"/>
    <w:rsid w:val="00BB25A2"/>
    <w:rsid w:val="00BB41A1"/>
    <w:rsid w:val="00BB6F8B"/>
    <w:rsid w:val="00BC4DD4"/>
    <w:rsid w:val="00BD31F2"/>
    <w:rsid w:val="00BD63AB"/>
    <w:rsid w:val="00BD7A24"/>
    <w:rsid w:val="00BE23D1"/>
    <w:rsid w:val="00BE442C"/>
    <w:rsid w:val="00BE4996"/>
    <w:rsid w:val="00BF17F1"/>
    <w:rsid w:val="00BF23EC"/>
    <w:rsid w:val="00BF5C74"/>
    <w:rsid w:val="00BF774C"/>
    <w:rsid w:val="00C10A45"/>
    <w:rsid w:val="00C22EE1"/>
    <w:rsid w:val="00C24F3F"/>
    <w:rsid w:val="00C26BEF"/>
    <w:rsid w:val="00C31531"/>
    <w:rsid w:val="00C37C45"/>
    <w:rsid w:val="00C37EC7"/>
    <w:rsid w:val="00C65B72"/>
    <w:rsid w:val="00C6756C"/>
    <w:rsid w:val="00C67996"/>
    <w:rsid w:val="00C8057D"/>
    <w:rsid w:val="00C83DB8"/>
    <w:rsid w:val="00C93A87"/>
    <w:rsid w:val="00C958CD"/>
    <w:rsid w:val="00C979CA"/>
    <w:rsid w:val="00CA1852"/>
    <w:rsid w:val="00CB151E"/>
    <w:rsid w:val="00CB40BC"/>
    <w:rsid w:val="00CB664B"/>
    <w:rsid w:val="00CB7C5C"/>
    <w:rsid w:val="00CC64AD"/>
    <w:rsid w:val="00CE51FC"/>
    <w:rsid w:val="00CF42D8"/>
    <w:rsid w:val="00CF5FEE"/>
    <w:rsid w:val="00D03267"/>
    <w:rsid w:val="00D1320E"/>
    <w:rsid w:val="00D176CB"/>
    <w:rsid w:val="00D21308"/>
    <w:rsid w:val="00D24775"/>
    <w:rsid w:val="00D4525F"/>
    <w:rsid w:val="00D548BF"/>
    <w:rsid w:val="00D7619E"/>
    <w:rsid w:val="00D76CBB"/>
    <w:rsid w:val="00D77EF3"/>
    <w:rsid w:val="00D93F53"/>
    <w:rsid w:val="00DC1B0F"/>
    <w:rsid w:val="00DC2C7A"/>
    <w:rsid w:val="00DC44CF"/>
    <w:rsid w:val="00DC4C1F"/>
    <w:rsid w:val="00DC6244"/>
    <w:rsid w:val="00DF1130"/>
    <w:rsid w:val="00E00421"/>
    <w:rsid w:val="00E03240"/>
    <w:rsid w:val="00E05890"/>
    <w:rsid w:val="00E06D4A"/>
    <w:rsid w:val="00E13F52"/>
    <w:rsid w:val="00E15BB5"/>
    <w:rsid w:val="00E227AD"/>
    <w:rsid w:val="00E23FA2"/>
    <w:rsid w:val="00E3633C"/>
    <w:rsid w:val="00E44C37"/>
    <w:rsid w:val="00E66FBD"/>
    <w:rsid w:val="00E67436"/>
    <w:rsid w:val="00E71F3C"/>
    <w:rsid w:val="00E77FDE"/>
    <w:rsid w:val="00E82631"/>
    <w:rsid w:val="00E91AA4"/>
    <w:rsid w:val="00EA16E4"/>
    <w:rsid w:val="00EB23E3"/>
    <w:rsid w:val="00EB7478"/>
    <w:rsid w:val="00EC21D9"/>
    <w:rsid w:val="00EC411F"/>
    <w:rsid w:val="00ED3A38"/>
    <w:rsid w:val="00EF6813"/>
    <w:rsid w:val="00F05BFF"/>
    <w:rsid w:val="00F2320A"/>
    <w:rsid w:val="00F2385B"/>
    <w:rsid w:val="00F315DE"/>
    <w:rsid w:val="00F41AF9"/>
    <w:rsid w:val="00F4425A"/>
    <w:rsid w:val="00F47614"/>
    <w:rsid w:val="00F509E8"/>
    <w:rsid w:val="00F51EBF"/>
    <w:rsid w:val="00F678D4"/>
    <w:rsid w:val="00F715D2"/>
    <w:rsid w:val="00F729D1"/>
    <w:rsid w:val="00F90594"/>
    <w:rsid w:val="00F91CFC"/>
    <w:rsid w:val="00FA4323"/>
    <w:rsid w:val="00FB3BD7"/>
    <w:rsid w:val="00FC31F4"/>
    <w:rsid w:val="00FC7B8E"/>
    <w:rsid w:val="00FD6140"/>
    <w:rsid w:val="00FF14B5"/>
    <w:rsid w:val="00FF19A8"/>
    <w:rsid w:val="00FF4DA5"/>
    <w:rsid w:val="00FF51BA"/>
    <w:rsid w:val="01244621"/>
    <w:rsid w:val="0157519A"/>
    <w:rsid w:val="016263D0"/>
    <w:rsid w:val="01665D29"/>
    <w:rsid w:val="01791910"/>
    <w:rsid w:val="017C35AF"/>
    <w:rsid w:val="017D3DE0"/>
    <w:rsid w:val="01964035"/>
    <w:rsid w:val="01984408"/>
    <w:rsid w:val="01C12D56"/>
    <w:rsid w:val="01C4482F"/>
    <w:rsid w:val="01DB732C"/>
    <w:rsid w:val="01E501DC"/>
    <w:rsid w:val="01EA6560"/>
    <w:rsid w:val="01EF1254"/>
    <w:rsid w:val="01F130DE"/>
    <w:rsid w:val="01F62CE7"/>
    <w:rsid w:val="020223B4"/>
    <w:rsid w:val="022A4754"/>
    <w:rsid w:val="025D1349"/>
    <w:rsid w:val="025D5943"/>
    <w:rsid w:val="02646EC3"/>
    <w:rsid w:val="026B301F"/>
    <w:rsid w:val="02786674"/>
    <w:rsid w:val="02855ADA"/>
    <w:rsid w:val="02AF7A07"/>
    <w:rsid w:val="02D94437"/>
    <w:rsid w:val="02E27421"/>
    <w:rsid w:val="02E712E7"/>
    <w:rsid w:val="02F322D6"/>
    <w:rsid w:val="02FD591C"/>
    <w:rsid w:val="03015F57"/>
    <w:rsid w:val="030D2310"/>
    <w:rsid w:val="032837D8"/>
    <w:rsid w:val="032F7F04"/>
    <w:rsid w:val="033352B4"/>
    <w:rsid w:val="03341770"/>
    <w:rsid w:val="033E21D9"/>
    <w:rsid w:val="03437709"/>
    <w:rsid w:val="034D18F6"/>
    <w:rsid w:val="035844BF"/>
    <w:rsid w:val="038028D0"/>
    <w:rsid w:val="03A01799"/>
    <w:rsid w:val="03A85168"/>
    <w:rsid w:val="03A964DC"/>
    <w:rsid w:val="03AE4595"/>
    <w:rsid w:val="03B84D7D"/>
    <w:rsid w:val="03BB4A4D"/>
    <w:rsid w:val="03CA1642"/>
    <w:rsid w:val="03DA5004"/>
    <w:rsid w:val="043A3327"/>
    <w:rsid w:val="044413AF"/>
    <w:rsid w:val="045C29A5"/>
    <w:rsid w:val="046E16BD"/>
    <w:rsid w:val="04702783"/>
    <w:rsid w:val="047168CE"/>
    <w:rsid w:val="0475016D"/>
    <w:rsid w:val="049308DF"/>
    <w:rsid w:val="04A3264E"/>
    <w:rsid w:val="04A8430B"/>
    <w:rsid w:val="04AE0DE7"/>
    <w:rsid w:val="04C44C50"/>
    <w:rsid w:val="04D159E5"/>
    <w:rsid w:val="04D913DF"/>
    <w:rsid w:val="04DF0722"/>
    <w:rsid w:val="04E424B5"/>
    <w:rsid w:val="04F83365"/>
    <w:rsid w:val="05121E5F"/>
    <w:rsid w:val="05203FE9"/>
    <w:rsid w:val="0523154B"/>
    <w:rsid w:val="05502988"/>
    <w:rsid w:val="05A31106"/>
    <w:rsid w:val="05A415A0"/>
    <w:rsid w:val="05F369EA"/>
    <w:rsid w:val="05F45D62"/>
    <w:rsid w:val="05F54FB7"/>
    <w:rsid w:val="0609622F"/>
    <w:rsid w:val="060D0CAC"/>
    <w:rsid w:val="061B68BD"/>
    <w:rsid w:val="061F1D7C"/>
    <w:rsid w:val="062B4677"/>
    <w:rsid w:val="06326DF2"/>
    <w:rsid w:val="06363E96"/>
    <w:rsid w:val="06452FE0"/>
    <w:rsid w:val="065708C5"/>
    <w:rsid w:val="0677277E"/>
    <w:rsid w:val="067972B6"/>
    <w:rsid w:val="06842602"/>
    <w:rsid w:val="069877BF"/>
    <w:rsid w:val="069B70BB"/>
    <w:rsid w:val="069E241C"/>
    <w:rsid w:val="06A47B8E"/>
    <w:rsid w:val="06CB1DE9"/>
    <w:rsid w:val="06CD7CD4"/>
    <w:rsid w:val="06D46400"/>
    <w:rsid w:val="06F8077F"/>
    <w:rsid w:val="06FE5FE8"/>
    <w:rsid w:val="07087E2D"/>
    <w:rsid w:val="070E3A86"/>
    <w:rsid w:val="071E02A7"/>
    <w:rsid w:val="07216AE2"/>
    <w:rsid w:val="072D0C16"/>
    <w:rsid w:val="07416356"/>
    <w:rsid w:val="074E1026"/>
    <w:rsid w:val="07555774"/>
    <w:rsid w:val="07605794"/>
    <w:rsid w:val="076A133A"/>
    <w:rsid w:val="07721B2F"/>
    <w:rsid w:val="07740A5B"/>
    <w:rsid w:val="07A1571D"/>
    <w:rsid w:val="07A47DF8"/>
    <w:rsid w:val="07BA3C2B"/>
    <w:rsid w:val="07BD0A8A"/>
    <w:rsid w:val="07F22DD6"/>
    <w:rsid w:val="080E48E0"/>
    <w:rsid w:val="081450A2"/>
    <w:rsid w:val="081B6CEF"/>
    <w:rsid w:val="08231BEF"/>
    <w:rsid w:val="08265BB6"/>
    <w:rsid w:val="082B1431"/>
    <w:rsid w:val="08375A09"/>
    <w:rsid w:val="084321CD"/>
    <w:rsid w:val="084A5DB4"/>
    <w:rsid w:val="084C02C2"/>
    <w:rsid w:val="084D42FA"/>
    <w:rsid w:val="08570C9E"/>
    <w:rsid w:val="085A61E0"/>
    <w:rsid w:val="086700EA"/>
    <w:rsid w:val="08902440"/>
    <w:rsid w:val="089F384B"/>
    <w:rsid w:val="08C006CB"/>
    <w:rsid w:val="08C16272"/>
    <w:rsid w:val="08D51B22"/>
    <w:rsid w:val="08ED2566"/>
    <w:rsid w:val="08F72AE8"/>
    <w:rsid w:val="0902043D"/>
    <w:rsid w:val="091832EC"/>
    <w:rsid w:val="0925355E"/>
    <w:rsid w:val="093178CF"/>
    <w:rsid w:val="093E635C"/>
    <w:rsid w:val="09444A23"/>
    <w:rsid w:val="0950759D"/>
    <w:rsid w:val="09756E61"/>
    <w:rsid w:val="0988001F"/>
    <w:rsid w:val="098801C0"/>
    <w:rsid w:val="098E4324"/>
    <w:rsid w:val="09971B6F"/>
    <w:rsid w:val="0998157E"/>
    <w:rsid w:val="09A368CB"/>
    <w:rsid w:val="09A9574F"/>
    <w:rsid w:val="09BD1E54"/>
    <w:rsid w:val="09C0608D"/>
    <w:rsid w:val="09E663FF"/>
    <w:rsid w:val="09E87633"/>
    <w:rsid w:val="09F11276"/>
    <w:rsid w:val="09F55DFC"/>
    <w:rsid w:val="09F90396"/>
    <w:rsid w:val="09FF7F7B"/>
    <w:rsid w:val="0A1C6BD9"/>
    <w:rsid w:val="0A266E9A"/>
    <w:rsid w:val="0A271134"/>
    <w:rsid w:val="0A3710E6"/>
    <w:rsid w:val="0A3E4B46"/>
    <w:rsid w:val="0A4C410A"/>
    <w:rsid w:val="0A502727"/>
    <w:rsid w:val="0A547B4E"/>
    <w:rsid w:val="0A6A3802"/>
    <w:rsid w:val="0A7C05CE"/>
    <w:rsid w:val="0A8607B2"/>
    <w:rsid w:val="0A890A4A"/>
    <w:rsid w:val="0A8C7CD9"/>
    <w:rsid w:val="0A8C7FBE"/>
    <w:rsid w:val="0AAE7313"/>
    <w:rsid w:val="0ABB3949"/>
    <w:rsid w:val="0ABE6FA0"/>
    <w:rsid w:val="0AC12A9E"/>
    <w:rsid w:val="0AC54254"/>
    <w:rsid w:val="0ACB230C"/>
    <w:rsid w:val="0AD448F0"/>
    <w:rsid w:val="0AE26C87"/>
    <w:rsid w:val="0AF63404"/>
    <w:rsid w:val="0B246449"/>
    <w:rsid w:val="0B5F4794"/>
    <w:rsid w:val="0B6C3473"/>
    <w:rsid w:val="0B707ABC"/>
    <w:rsid w:val="0B7F5EBF"/>
    <w:rsid w:val="0B9B354F"/>
    <w:rsid w:val="0BA3661B"/>
    <w:rsid w:val="0BAE1596"/>
    <w:rsid w:val="0BD471D4"/>
    <w:rsid w:val="0BD7787A"/>
    <w:rsid w:val="0BDB08FB"/>
    <w:rsid w:val="0BFD2665"/>
    <w:rsid w:val="0C005169"/>
    <w:rsid w:val="0C037C83"/>
    <w:rsid w:val="0C077E6C"/>
    <w:rsid w:val="0C1B5380"/>
    <w:rsid w:val="0C284D6E"/>
    <w:rsid w:val="0C2D3A23"/>
    <w:rsid w:val="0C320437"/>
    <w:rsid w:val="0C32748E"/>
    <w:rsid w:val="0C436536"/>
    <w:rsid w:val="0C512169"/>
    <w:rsid w:val="0C5A1A46"/>
    <w:rsid w:val="0C7110A4"/>
    <w:rsid w:val="0C7B3576"/>
    <w:rsid w:val="0C7E0C38"/>
    <w:rsid w:val="0CA65281"/>
    <w:rsid w:val="0CA912FB"/>
    <w:rsid w:val="0CA94FC8"/>
    <w:rsid w:val="0CAA2BAA"/>
    <w:rsid w:val="0CB90E5F"/>
    <w:rsid w:val="0CBC61D0"/>
    <w:rsid w:val="0CC65FAA"/>
    <w:rsid w:val="0CCC3B8E"/>
    <w:rsid w:val="0CD319E1"/>
    <w:rsid w:val="0CE04884"/>
    <w:rsid w:val="0CEA5F93"/>
    <w:rsid w:val="0CF312AB"/>
    <w:rsid w:val="0CF64684"/>
    <w:rsid w:val="0D0B4005"/>
    <w:rsid w:val="0D121819"/>
    <w:rsid w:val="0D190FA4"/>
    <w:rsid w:val="0D35136C"/>
    <w:rsid w:val="0D462AB4"/>
    <w:rsid w:val="0D483549"/>
    <w:rsid w:val="0D51729D"/>
    <w:rsid w:val="0D525723"/>
    <w:rsid w:val="0D5A560E"/>
    <w:rsid w:val="0D5E30A2"/>
    <w:rsid w:val="0D806A54"/>
    <w:rsid w:val="0D893B0F"/>
    <w:rsid w:val="0D954021"/>
    <w:rsid w:val="0D976A32"/>
    <w:rsid w:val="0DAB2AFE"/>
    <w:rsid w:val="0DCE6B40"/>
    <w:rsid w:val="0DD35D8B"/>
    <w:rsid w:val="0DD41B2B"/>
    <w:rsid w:val="0DF56994"/>
    <w:rsid w:val="0E2A0BE6"/>
    <w:rsid w:val="0E2C28B8"/>
    <w:rsid w:val="0E361BBD"/>
    <w:rsid w:val="0E3E0792"/>
    <w:rsid w:val="0E3E4562"/>
    <w:rsid w:val="0E52390A"/>
    <w:rsid w:val="0E653D12"/>
    <w:rsid w:val="0E6C2D7C"/>
    <w:rsid w:val="0E727307"/>
    <w:rsid w:val="0E7501B1"/>
    <w:rsid w:val="0E8419E7"/>
    <w:rsid w:val="0E864717"/>
    <w:rsid w:val="0EA50A08"/>
    <w:rsid w:val="0EA70B0D"/>
    <w:rsid w:val="0EAB6F06"/>
    <w:rsid w:val="0EAD6BD1"/>
    <w:rsid w:val="0EBC4BEA"/>
    <w:rsid w:val="0EBF3023"/>
    <w:rsid w:val="0EC01807"/>
    <w:rsid w:val="0ECC3E0E"/>
    <w:rsid w:val="0ED762AF"/>
    <w:rsid w:val="0EE65380"/>
    <w:rsid w:val="0EE835AD"/>
    <w:rsid w:val="0EEC63FB"/>
    <w:rsid w:val="0F4212B6"/>
    <w:rsid w:val="0F5B6D1D"/>
    <w:rsid w:val="0F5E00CF"/>
    <w:rsid w:val="0F6F2996"/>
    <w:rsid w:val="0F7F18EB"/>
    <w:rsid w:val="0F813820"/>
    <w:rsid w:val="0F865924"/>
    <w:rsid w:val="0F9C2E02"/>
    <w:rsid w:val="0FAC6B21"/>
    <w:rsid w:val="0FAD7036"/>
    <w:rsid w:val="0FBD4B70"/>
    <w:rsid w:val="0FC1323B"/>
    <w:rsid w:val="0FC46C9D"/>
    <w:rsid w:val="0FCE6196"/>
    <w:rsid w:val="0FD54020"/>
    <w:rsid w:val="0FE422AB"/>
    <w:rsid w:val="0FF355A0"/>
    <w:rsid w:val="0FF63667"/>
    <w:rsid w:val="10113277"/>
    <w:rsid w:val="101747CE"/>
    <w:rsid w:val="10271411"/>
    <w:rsid w:val="10292C00"/>
    <w:rsid w:val="103113D5"/>
    <w:rsid w:val="1041184B"/>
    <w:rsid w:val="104E3FFA"/>
    <w:rsid w:val="105F55E2"/>
    <w:rsid w:val="106D14ED"/>
    <w:rsid w:val="10772D2F"/>
    <w:rsid w:val="10826170"/>
    <w:rsid w:val="10861954"/>
    <w:rsid w:val="108C5E19"/>
    <w:rsid w:val="10943BDF"/>
    <w:rsid w:val="10984ACA"/>
    <w:rsid w:val="10A75676"/>
    <w:rsid w:val="10BF50D3"/>
    <w:rsid w:val="10C205B6"/>
    <w:rsid w:val="10EC1FC4"/>
    <w:rsid w:val="11026C2E"/>
    <w:rsid w:val="11084967"/>
    <w:rsid w:val="112A48C1"/>
    <w:rsid w:val="113507FD"/>
    <w:rsid w:val="113B10DA"/>
    <w:rsid w:val="113C436A"/>
    <w:rsid w:val="113D42A2"/>
    <w:rsid w:val="1145536B"/>
    <w:rsid w:val="11573ADD"/>
    <w:rsid w:val="11677BA5"/>
    <w:rsid w:val="11684816"/>
    <w:rsid w:val="1169784C"/>
    <w:rsid w:val="11697D54"/>
    <w:rsid w:val="11764E4D"/>
    <w:rsid w:val="117F02B5"/>
    <w:rsid w:val="118C2F9A"/>
    <w:rsid w:val="118E357D"/>
    <w:rsid w:val="11912792"/>
    <w:rsid w:val="11927A25"/>
    <w:rsid w:val="11B950AA"/>
    <w:rsid w:val="11CE72AB"/>
    <w:rsid w:val="11D50124"/>
    <w:rsid w:val="11D754FF"/>
    <w:rsid w:val="11E108FF"/>
    <w:rsid w:val="11E556BF"/>
    <w:rsid w:val="11E626AA"/>
    <w:rsid w:val="11F26A76"/>
    <w:rsid w:val="11F54917"/>
    <w:rsid w:val="11F9667A"/>
    <w:rsid w:val="11FA3134"/>
    <w:rsid w:val="11FF0820"/>
    <w:rsid w:val="1235042F"/>
    <w:rsid w:val="12482C1F"/>
    <w:rsid w:val="125F68E4"/>
    <w:rsid w:val="12621992"/>
    <w:rsid w:val="126B2A04"/>
    <w:rsid w:val="1272241C"/>
    <w:rsid w:val="127356E5"/>
    <w:rsid w:val="127E5044"/>
    <w:rsid w:val="128743C9"/>
    <w:rsid w:val="12A1106E"/>
    <w:rsid w:val="12A8345C"/>
    <w:rsid w:val="12AD37D9"/>
    <w:rsid w:val="12B25504"/>
    <w:rsid w:val="12BA7F95"/>
    <w:rsid w:val="12BF0530"/>
    <w:rsid w:val="12D63140"/>
    <w:rsid w:val="12DF79E5"/>
    <w:rsid w:val="12E8124F"/>
    <w:rsid w:val="131068CB"/>
    <w:rsid w:val="13166F68"/>
    <w:rsid w:val="131B1157"/>
    <w:rsid w:val="132F3001"/>
    <w:rsid w:val="135033D0"/>
    <w:rsid w:val="13627F2E"/>
    <w:rsid w:val="137C78D7"/>
    <w:rsid w:val="137D740B"/>
    <w:rsid w:val="13A1742E"/>
    <w:rsid w:val="13A71B62"/>
    <w:rsid w:val="13AB2C68"/>
    <w:rsid w:val="13B033E9"/>
    <w:rsid w:val="13C215C8"/>
    <w:rsid w:val="13D311D5"/>
    <w:rsid w:val="13DE723B"/>
    <w:rsid w:val="13E97E92"/>
    <w:rsid w:val="13F111A4"/>
    <w:rsid w:val="14022721"/>
    <w:rsid w:val="14071F8B"/>
    <w:rsid w:val="14100BCE"/>
    <w:rsid w:val="14141798"/>
    <w:rsid w:val="142005FD"/>
    <w:rsid w:val="14216CE3"/>
    <w:rsid w:val="14237038"/>
    <w:rsid w:val="142E41BA"/>
    <w:rsid w:val="142F5D47"/>
    <w:rsid w:val="14332BE3"/>
    <w:rsid w:val="14341FEC"/>
    <w:rsid w:val="143C2A55"/>
    <w:rsid w:val="14436E93"/>
    <w:rsid w:val="144A465D"/>
    <w:rsid w:val="144D2785"/>
    <w:rsid w:val="14511E66"/>
    <w:rsid w:val="14572BEC"/>
    <w:rsid w:val="145B6F43"/>
    <w:rsid w:val="14655EBE"/>
    <w:rsid w:val="1485418E"/>
    <w:rsid w:val="14891A12"/>
    <w:rsid w:val="1492341C"/>
    <w:rsid w:val="14A44728"/>
    <w:rsid w:val="14AA056F"/>
    <w:rsid w:val="14DA0B86"/>
    <w:rsid w:val="14DB589D"/>
    <w:rsid w:val="15220604"/>
    <w:rsid w:val="153A459B"/>
    <w:rsid w:val="15434CB8"/>
    <w:rsid w:val="15541411"/>
    <w:rsid w:val="155A6420"/>
    <w:rsid w:val="1563059D"/>
    <w:rsid w:val="15865F3C"/>
    <w:rsid w:val="15933541"/>
    <w:rsid w:val="15B33CE7"/>
    <w:rsid w:val="15BF2FBD"/>
    <w:rsid w:val="15C947BC"/>
    <w:rsid w:val="15DA19F1"/>
    <w:rsid w:val="15E23CFF"/>
    <w:rsid w:val="15E66DB4"/>
    <w:rsid w:val="15F93FA7"/>
    <w:rsid w:val="15FE4A48"/>
    <w:rsid w:val="160C2D5B"/>
    <w:rsid w:val="161069E8"/>
    <w:rsid w:val="16185464"/>
    <w:rsid w:val="161C0503"/>
    <w:rsid w:val="161F2008"/>
    <w:rsid w:val="16261E9D"/>
    <w:rsid w:val="1634271C"/>
    <w:rsid w:val="164B6AF4"/>
    <w:rsid w:val="165C2EF4"/>
    <w:rsid w:val="166B11EC"/>
    <w:rsid w:val="169B78AB"/>
    <w:rsid w:val="16AF0CC7"/>
    <w:rsid w:val="16B135AC"/>
    <w:rsid w:val="16B34625"/>
    <w:rsid w:val="16CA6849"/>
    <w:rsid w:val="16CF65B5"/>
    <w:rsid w:val="16F00577"/>
    <w:rsid w:val="16FD5250"/>
    <w:rsid w:val="170171BF"/>
    <w:rsid w:val="17037AE7"/>
    <w:rsid w:val="170D7A25"/>
    <w:rsid w:val="17126131"/>
    <w:rsid w:val="172179B8"/>
    <w:rsid w:val="17403D2B"/>
    <w:rsid w:val="175E7E33"/>
    <w:rsid w:val="17785C5D"/>
    <w:rsid w:val="17B86896"/>
    <w:rsid w:val="17E458DD"/>
    <w:rsid w:val="17E71C68"/>
    <w:rsid w:val="17ED15AE"/>
    <w:rsid w:val="18014797"/>
    <w:rsid w:val="180A4C18"/>
    <w:rsid w:val="180D54EE"/>
    <w:rsid w:val="181D2A38"/>
    <w:rsid w:val="181F63D4"/>
    <w:rsid w:val="18230EA4"/>
    <w:rsid w:val="182E620C"/>
    <w:rsid w:val="183022DF"/>
    <w:rsid w:val="18305985"/>
    <w:rsid w:val="1865086B"/>
    <w:rsid w:val="18787658"/>
    <w:rsid w:val="187C1F63"/>
    <w:rsid w:val="188D780C"/>
    <w:rsid w:val="188E03E9"/>
    <w:rsid w:val="189A735D"/>
    <w:rsid w:val="18A72D74"/>
    <w:rsid w:val="18C300A9"/>
    <w:rsid w:val="18C80AE4"/>
    <w:rsid w:val="18D85FA7"/>
    <w:rsid w:val="18D96F87"/>
    <w:rsid w:val="18E45469"/>
    <w:rsid w:val="18F756C4"/>
    <w:rsid w:val="19226288"/>
    <w:rsid w:val="193D466C"/>
    <w:rsid w:val="19421EC4"/>
    <w:rsid w:val="19432256"/>
    <w:rsid w:val="1953127F"/>
    <w:rsid w:val="19541AE6"/>
    <w:rsid w:val="195D33C9"/>
    <w:rsid w:val="196317B3"/>
    <w:rsid w:val="19715320"/>
    <w:rsid w:val="198D2611"/>
    <w:rsid w:val="19BB5F1B"/>
    <w:rsid w:val="19CC6298"/>
    <w:rsid w:val="19E742D0"/>
    <w:rsid w:val="19E758FC"/>
    <w:rsid w:val="1A216B43"/>
    <w:rsid w:val="1A2B2F73"/>
    <w:rsid w:val="1A425F84"/>
    <w:rsid w:val="1A4679FD"/>
    <w:rsid w:val="1A521539"/>
    <w:rsid w:val="1A5E5AF6"/>
    <w:rsid w:val="1A654D38"/>
    <w:rsid w:val="1A6D7369"/>
    <w:rsid w:val="1A7D0C87"/>
    <w:rsid w:val="1A7D3DC7"/>
    <w:rsid w:val="1A83584E"/>
    <w:rsid w:val="1AA9696A"/>
    <w:rsid w:val="1AB85163"/>
    <w:rsid w:val="1AB963C1"/>
    <w:rsid w:val="1ABD4EA9"/>
    <w:rsid w:val="1ACB0ACC"/>
    <w:rsid w:val="1ACF1F41"/>
    <w:rsid w:val="1AE56A06"/>
    <w:rsid w:val="1AE6762D"/>
    <w:rsid w:val="1AED7D11"/>
    <w:rsid w:val="1AF54EB5"/>
    <w:rsid w:val="1AF9326B"/>
    <w:rsid w:val="1B0A74B1"/>
    <w:rsid w:val="1B126F35"/>
    <w:rsid w:val="1B1E3568"/>
    <w:rsid w:val="1B1F1D2F"/>
    <w:rsid w:val="1B2D1349"/>
    <w:rsid w:val="1B573066"/>
    <w:rsid w:val="1B6855AC"/>
    <w:rsid w:val="1B8E53B0"/>
    <w:rsid w:val="1B95162E"/>
    <w:rsid w:val="1BAF4DC7"/>
    <w:rsid w:val="1BB042C8"/>
    <w:rsid w:val="1BD83AE2"/>
    <w:rsid w:val="1BDE43E2"/>
    <w:rsid w:val="1C052B18"/>
    <w:rsid w:val="1C0A07D0"/>
    <w:rsid w:val="1C1107A0"/>
    <w:rsid w:val="1C1173F8"/>
    <w:rsid w:val="1C197B20"/>
    <w:rsid w:val="1C1C343C"/>
    <w:rsid w:val="1C2776CE"/>
    <w:rsid w:val="1C370605"/>
    <w:rsid w:val="1C4447B0"/>
    <w:rsid w:val="1C4B35E5"/>
    <w:rsid w:val="1C5A0C6F"/>
    <w:rsid w:val="1C717227"/>
    <w:rsid w:val="1C731180"/>
    <w:rsid w:val="1C7565C3"/>
    <w:rsid w:val="1C776C8C"/>
    <w:rsid w:val="1CA92C52"/>
    <w:rsid w:val="1CAB1A1B"/>
    <w:rsid w:val="1CCD1C11"/>
    <w:rsid w:val="1CCE3D7E"/>
    <w:rsid w:val="1CD60886"/>
    <w:rsid w:val="1CDB5968"/>
    <w:rsid w:val="1CFF02CB"/>
    <w:rsid w:val="1D7F67FE"/>
    <w:rsid w:val="1D853D5A"/>
    <w:rsid w:val="1D8A70A0"/>
    <w:rsid w:val="1D9005D0"/>
    <w:rsid w:val="1DAC79AE"/>
    <w:rsid w:val="1DAD013B"/>
    <w:rsid w:val="1DB9339B"/>
    <w:rsid w:val="1DCD2BE3"/>
    <w:rsid w:val="1DD05275"/>
    <w:rsid w:val="1DDA7DEF"/>
    <w:rsid w:val="1DDB5112"/>
    <w:rsid w:val="1DDC0D2F"/>
    <w:rsid w:val="1DE8288E"/>
    <w:rsid w:val="1E0F2E7C"/>
    <w:rsid w:val="1E1A1553"/>
    <w:rsid w:val="1E2E0376"/>
    <w:rsid w:val="1E3013DB"/>
    <w:rsid w:val="1E31357C"/>
    <w:rsid w:val="1E3A6788"/>
    <w:rsid w:val="1E530268"/>
    <w:rsid w:val="1E652BA8"/>
    <w:rsid w:val="1E717FB5"/>
    <w:rsid w:val="1E75067C"/>
    <w:rsid w:val="1E754EE2"/>
    <w:rsid w:val="1E811079"/>
    <w:rsid w:val="1E8B2680"/>
    <w:rsid w:val="1E94348E"/>
    <w:rsid w:val="1E9D47F9"/>
    <w:rsid w:val="1E9E6834"/>
    <w:rsid w:val="1EA622A1"/>
    <w:rsid w:val="1EA932A4"/>
    <w:rsid w:val="1EB401A7"/>
    <w:rsid w:val="1EB46476"/>
    <w:rsid w:val="1EB63404"/>
    <w:rsid w:val="1EC31FCE"/>
    <w:rsid w:val="1EC9735C"/>
    <w:rsid w:val="1ECE6E68"/>
    <w:rsid w:val="1ED61CF8"/>
    <w:rsid w:val="1ED90489"/>
    <w:rsid w:val="1EE65FB4"/>
    <w:rsid w:val="1EF10AF8"/>
    <w:rsid w:val="1F12241E"/>
    <w:rsid w:val="1F3577F8"/>
    <w:rsid w:val="1F4E3041"/>
    <w:rsid w:val="1F584EA0"/>
    <w:rsid w:val="1F6139B2"/>
    <w:rsid w:val="1F871E12"/>
    <w:rsid w:val="1F8E7274"/>
    <w:rsid w:val="1F9074BA"/>
    <w:rsid w:val="1FA97090"/>
    <w:rsid w:val="1FAA7B96"/>
    <w:rsid w:val="1FB178C5"/>
    <w:rsid w:val="1FB47630"/>
    <w:rsid w:val="1FC22830"/>
    <w:rsid w:val="1FCB1FE9"/>
    <w:rsid w:val="1FF0759F"/>
    <w:rsid w:val="1FF75985"/>
    <w:rsid w:val="20243BCC"/>
    <w:rsid w:val="202D53B0"/>
    <w:rsid w:val="203A1613"/>
    <w:rsid w:val="204458F2"/>
    <w:rsid w:val="20544497"/>
    <w:rsid w:val="205B05ED"/>
    <w:rsid w:val="205D3E51"/>
    <w:rsid w:val="206D2B5A"/>
    <w:rsid w:val="20714A30"/>
    <w:rsid w:val="207D067D"/>
    <w:rsid w:val="20804AD3"/>
    <w:rsid w:val="208745C9"/>
    <w:rsid w:val="209334BC"/>
    <w:rsid w:val="209669C7"/>
    <w:rsid w:val="209D6898"/>
    <w:rsid w:val="20AB09C3"/>
    <w:rsid w:val="20BB2A0D"/>
    <w:rsid w:val="20CF1E7E"/>
    <w:rsid w:val="20E60D3C"/>
    <w:rsid w:val="20EC136B"/>
    <w:rsid w:val="20FB0A34"/>
    <w:rsid w:val="20FC5E23"/>
    <w:rsid w:val="21040A26"/>
    <w:rsid w:val="21075B38"/>
    <w:rsid w:val="211516F9"/>
    <w:rsid w:val="21246D4B"/>
    <w:rsid w:val="212E395B"/>
    <w:rsid w:val="21302260"/>
    <w:rsid w:val="213278F1"/>
    <w:rsid w:val="21385284"/>
    <w:rsid w:val="213E6377"/>
    <w:rsid w:val="21424ABC"/>
    <w:rsid w:val="21646607"/>
    <w:rsid w:val="2167037F"/>
    <w:rsid w:val="21804F12"/>
    <w:rsid w:val="21847DF1"/>
    <w:rsid w:val="218A4384"/>
    <w:rsid w:val="218C66F5"/>
    <w:rsid w:val="21AF7EBB"/>
    <w:rsid w:val="21B4551C"/>
    <w:rsid w:val="21BC63D3"/>
    <w:rsid w:val="21CB7CF8"/>
    <w:rsid w:val="21CE1FE0"/>
    <w:rsid w:val="21DD2E7D"/>
    <w:rsid w:val="21F60ECC"/>
    <w:rsid w:val="221D126A"/>
    <w:rsid w:val="22275D7A"/>
    <w:rsid w:val="224E3432"/>
    <w:rsid w:val="224F3382"/>
    <w:rsid w:val="22526A34"/>
    <w:rsid w:val="225504C6"/>
    <w:rsid w:val="22766CA1"/>
    <w:rsid w:val="22877F6D"/>
    <w:rsid w:val="228D6F42"/>
    <w:rsid w:val="228F5682"/>
    <w:rsid w:val="22A306C8"/>
    <w:rsid w:val="22AA7723"/>
    <w:rsid w:val="22B81CD6"/>
    <w:rsid w:val="22BC691D"/>
    <w:rsid w:val="22EB681C"/>
    <w:rsid w:val="22F6163B"/>
    <w:rsid w:val="23047A63"/>
    <w:rsid w:val="23333D5B"/>
    <w:rsid w:val="233F66E9"/>
    <w:rsid w:val="2345468C"/>
    <w:rsid w:val="23496075"/>
    <w:rsid w:val="2350283C"/>
    <w:rsid w:val="235363B3"/>
    <w:rsid w:val="23941B73"/>
    <w:rsid w:val="239E4506"/>
    <w:rsid w:val="23A47E7D"/>
    <w:rsid w:val="23A62637"/>
    <w:rsid w:val="23B02A47"/>
    <w:rsid w:val="23B24235"/>
    <w:rsid w:val="23BC00E5"/>
    <w:rsid w:val="23C45EFB"/>
    <w:rsid w:val="23E37872"/>
    <w:rsid w:val="23FD4332"/>
    <w:rsid w:val="240C227B"/>
    <w:rsid w:val="241B40F9"/>
    <w:rsid w:val="242804A2"/>
    <w:rsid w:val="24280900"/>
    <w:rsid w:val="2428145C"/>
    <w:rsid w:val="24354CA9"/>
    <w:rsid w:val="243760E4"/>
    <w:rsid w:val="2438487D"/>
    <w:rsid w:val="243E24BD"/>
    <w:rsid w:val="24404390"/>
    <w:rsid w:val="24520FC6"/>
    <w:rsid w:val="24B677D2"/>
    <w:rsid w:val="24BA0D81"/>
    <w:rsid w:val="24CC3E3B"/>
    <w:rsid w:val="24D3669F"/>
    <w:rsid w:val="24F4121D"/>
    <w:rsid w:val="24FA1A15"/>
    <w:rsid w:val="252B342C"/>
    <w:rsid w:val="252D4CC5"/>
    <w:rsid w:val="25442879"/>
    <w:rsid w:val="254C6870"/>
    <w:rsid w:val="25514666"/>
    <w:rsid w:val="25586D5D"/>
    <w:rsid w:val="255F4C72"/>
    <w:rsid w:val="256718FC"/>
    <w:rsid w:val="25683B22"/>
    <w:rsid w:val="257F6C45"/>
    <w:rsid w:val="258C2C8B"/>
    <w:rsid w:val="25A016EC"/>
    <w:rsid w:val="25A01C17"/>
    <w:rsid w:val="25A4393B"/>
    <w:rsid w:val="25AC0046"/>
    <w:rsid w:val="25AD32E2"/>
    <w:rsid w:val="25E1336D"/>
    <w:rsid w:val="25E3790E"/>
    <w:rsid w:val="25EE47D7"/>
    <w:rsid w:val="26270520"/>
    <w:rsid w:val="26343C96"/>
    <w:rsid w:val="263A7E6B"/>
    <w:rsid w:val="26463E82"/>
    <w:rsid w:val="264D3736"/>
    <w:rsid w:val="266652ED"/>
    <w:rsid w:val="26744685"/>
    <w:rsid w:val="2677016F"/>
    <w:rsid w:val="267A1703"/>
    <w:rsid w:val="26904E03"/>
    <w:rsid w:val="269E29B0"/>
    <w:rsid w:val="26B16ECD"/>
    <w:rsid w:val="26C625C0"/>
    <w:rsid w:val="26F61189"/>
    <w:rsid w:val="26F82574"/>
    <w:rsid w:val="271B0EAA"/>
    <w:rsid w:val="271D6AF2"/>
    <w:rsid w:val="272A0E33"/>
    <w:rsid w:val="272B402F"/>
    <w:rsid w:val="272D1A40"/>
    <w:rsid w:val="272D4881"/>
    <w:rsid w:val="27320807"/>
    <w:rsid w:val="27321755"/>
    <w:rsid w:val="273F6E60"/>
    <w:rsid w:val="27475ABC"/>
    <w:rsid w:val="274B2347"/>
    <w:rsid w:val="274C2B57"/>
    <w:rsid w:val="276E6156"/>
    <w:rsid w:val="277125EE"/>
    <w:rsid w:val="278142F9"/>
    <w:rsid w:val="27A446D0"/>
    <w:rsid w:val="27A8202D"/>
    <w:rsid w:val="27B2037A"/>
    <w:rsid w:val="27B33C48"/>
    <w:rsid w:val="27C74624"/>
    <w:rsid w:val="27E54004"/>
    <w:rsid w:val="27E73CD3"/>
    <w:rsid w:val="28185184"/>
    <w:rsid w:val="281B4CC3"/>
    <w:rsid w:val="282D47B2"/>
    <w:rsid w:val="28391826"/>
    <w:rsid w:val="283D12EA"/>
    <w:rsid w:val="28403904"/>
    <w:rsid w:val="284917B3"/>
    <w:rsid w:val="2850218A"/>
    <w:rsid w:val="286677D8"/>
    <w:rsid w:val="286F3F95"/>
    <w:rsid w:val="288B5901"/>
    <w:rsid w:val="288E20FA"/>
    <w:rsid w:val="28B7132D"/>
    <w:rsid w:val="28E25D0E"/>
    <w:rsid w:val="28E8225A"/>
    <w:rsid w:val="28EB05AF"/>
    <w:rsid w:val="28EF4FD6"/>
    <w:rsid w:val="28FA2A4F"/>
    <w:rsid w:val="28FB3C2F"/>
    <w:rsid w:val="29083672"/>
    <w:rsid w:val="2918544F"/>
    <w:rsid w:val="292413E3"/>
    <w:rsid w:val="2925720D"/>
    <w:rsid w:val="292C6CD4"/>
    <w:rsid w:val="293015DA"/>
    <w:rsid w:val="293E2974"/>
    <w:rsid w:val="293E7D8A"/>
    <w:rsid w:val="294946C2"/>
    <w:rsid w:val="294F4776"/>
    <w:rsid w:val="295C6589"/>
    <w:rsid w:val="296323DA"/>
    <w:rsid w:val="2970348C"/>
    <w:rsid w:val="29766983"/>
    <w:rsid w:val="29802F8C"/>
    <w:rsid w:val="2984262C"/>
    <w:rsid w:val="299A0974"/>
    <w:rsid w:val="29A64208"/>
    <w:rsid w:val="29C51F50"/>
    <w:rsid w:val="29CF6CD0"/>
    <w:rsid w:val="29D71CDA"/>
    <w:rsid w:val="29DD501C"/>
    <w:rsid w:val="29FE3744"/>
    <w:rsid w:val="29FE6881"/>
    <w:rsid w:val="2A0616E3"/>
    <w:rsid w:val="2A19366C"/>
    <w:rsid w:val="2A34545A"/>
    <w:rsid w:val="2A5A7537"/>
    <w:rsid w:val="2A5C178B"/>
    <w:rsid w:val="2A5D6CC3"/>
    <w:rsid w:val="2A675525"/>
    <w:rsid w:val="2A6A33A4"/>
    <w:rsid w:val="2A6D5D89"/>
    <w:rsid w:val="2A7173E7"/>
    <w:rsid w:val="2A77194B"/>
    <w:rsid w:val="2A9E2F7F"/>
    <w:rsid w:val="2A9F2DDF"/>
    <w:rsid w:val="2AB107CB"/>
    <w:rsid w:val="2AB65A01"/>
    <w:rsid w:val="2AB74D6A"/>
    <w:rsid w:val="2ABD223C"/>
    <w:rsid w:val="2AD4533E"/>
    <w:rsid w:val="2AD90BA6"/>
    <w:rsid w:val="2ADA7DA1"/>
    <w:rsid w:val="2ADC51D1"/>
    <w:rsid w:val="2AF35351"/>
    <w:rsid w:val="2B060D18"/>
    <w:rsid w:val="2B0D26F5"/>
    <w:rsid w:val="2B1A27E3"/>
    <w:rsid w:val="2B1F1409"/>
    <w:rsid w:val="2B572495"/>
    <w:rsid w:val="2B57369B"/>
    <w:rsid w:val="2B5A0337"/>
    <w:rsid w:val="2B5A3971"/>
    <w:rsid w:val="2B766CEA"/>
    <w:rsid w:val="2B7D3C27"/>
    <w:rsid w:val="2B830B12"/>
    <w:rsid w:val="2B90625D"/>
    <w:rsid w:val="2B945CB0"/>
    <w:rsid w:val="2BA07B26"/>
    <w:rsid w:val="2BA55EB9"/>
    <w:rsid w:val="2BD208CC"/>
    <w:rsid w:val="2BDB33AD"/>
    <w:rsid w:val="2BFF2C28"/>
    <w:rsid w:val="2C0D21B1"/>
    <w:rsid w:val="2C151089"/>
    <w:rsid w:val="2C182502"/>
    <w:rsid w:val="2C1F6303"/>
    <w:rsid w:val="2C2A294A"/>
    <w:rsid w:val="2C2D6BBA"/>
    <w:rsid w:val="2C344EB4"/>
    <w:rsid w:val="2C444745"/>
    <w:rsid w:val="2C637B18"/>
    <w:rsid w:val="2C7B2FE8"/>
    <w:rsid w:val="2C81528A"/>
    <w:rsid w:val="2C8244F0"/>
    <w:rsid w:val="2C863006"/>
    <w:rsid w:val="2C863605"/>
    <w:rsid w:val="2CA20A18"/>
    <w:rsid w:val="2CAC2314"/>
    <w:rsid w:val="2CAD1F18"/>
    <w:rsid w:val="2CAF5E9E"/>
    <w:rsid w:val="2CBD5904"/>
    <w:rsid w:val="2CD353DC"/>
    <w:rsid w:val="2CED10D2"/>
    <w:rsid w:val="2D00468F"/>
    <w:rsid w:val="2D0659D0"/>
    <w:rsid w:val="2D150A31"/>
    <w:rsid w:val="2D4C4FFD"/>
    <w:rsid w:val="2D524624"/>
    <w:rsid w:val="2D621EC1"/>
    <w:rsid w:val="2D672DAD"/>
    <w:rsid w:val="2D676132"/>
    <w:rsid w:val="2D692017"/>
    <w:rsid w:val="2D760426"/>
    <w:rsid w:val="2D7D0AAB"/>
    <w:rsid w:val="2D8717B1"/>
    <w:rsid w:val="2DA05C8A"/>
    <w:rsid w:val="2DB66F7C"/>
    <w:rsid w:val="2DCC709E"/>
    <w:rsid w:val="2DCF1479"/>
    <w:rsid w:val="2DDC3DA0"/>
    <w:rsid w:val="2DDE4F3B"/>
    <w:rsid w:val="2DE5157A"/>
    <w:rsid w:val="2DE7282C"/>
    <w:rsid w:val="2DF63BB8"/>
    <w:rsid w:val="2E0F49FC"/>
    <w:rsid w:val="2E1159A9"/>
    <w:rsid w:val="2E122A62"/>
    <w:rsid w:val="2E140E38"/>
    <w:rsid w:val="2E3F27F3"/>
    <w:rsid w:val="2E497A46"/>
    <w:rsid w:val="2E5B133F"/>
    <w:rsid w:val="2E7B2308"/>
    <w:rsid w:val="2E825006"/>
    <w:rsid w:val="2E826DF8"/>
    <w:rsid w:val="2E8508FB"/>
    <w:rsid w:val="2E853ABD"/>
    <w:rsid w:val="2E8A7E9E"/>
    <w:rsid w:val="2E991178"/>
    <w:rsid w:val="2EA43279"/>
    <w:rsid w:val="2EC669D8"/>
    <w:rsid w:val="2EC86418"/>
    <w:rsid w:val="2ED21F8D"/>
    <w:rsid w:val="2ED26D9E"/>
    <w:rsid w:val="2EF22F8F"/>
    <w:rsid w:val="2EF949A4"/>
    <w:rsid w:val="2EFB6D0E"/>
    <w:rsid w:val="2EFC7D9A"/>
    <w:rsid w:val="2F093AD0"/>
    <w:rsid w:val="2F235946"/>
    <w:rsid w:val="2F495266"/>
    <w:rsid w:val="2F531D1B"/>
    <w:rsid w:val="2F5E185B"/>
    <w:rsid w:val="2F71475A"/>
    <w:rsid w:val="2F8A20EA"/>
    <w:rsid w:val="2F9B28CE"/>
    <w:rsid w:val="2FA34921"/>
    <w:rsid w:val="2FC1323D"/>
    <w:rsid w:val="2FC87C7C"/>
    <w:rsid w:val="2FCB7D9B"/>
    <w:rsid w:val="2FCD7F4F"/>
    <w:rsid w:val="2FE4756A"/>
    <w:rsid w:val="30175DBE"/>
    <w:rsid w:val="301D111A"/>
    <w:rsid w:val="301D19FD"/>
    <w:rsid w:val="302C73AD"/>
    <w:rsid w:val="303B5E5F"/>
    <w:rsid w:val="306C0E44"/>
    <w:rsid w:val="307732E2"/>
    <w:rsid w:val="308754B3"/>
    <w:rsid w:val="3089737D"/>
    <w:rsid w:val="309B33C4"/>
    <w:rsid w:val="30BA0288"/>
    <w:rsid w:val="30BE0DE4"/>
    <w:rsid w:val="30CE2A80"/>
    <w:rsid w:val="30D64284"/>
    <w:rsid w:val="30DA7426"/>
    <w:rsid w:val="30DC77C4"/>
    <w:rsid w:val="30DF6BFC"/>
    <w:rsid w:val="30EC323D"/>
    <w:rsid w:val="30F67B98"/>
    <w:rsid w:val="313F28FF"/>
    <w:rsid w:val="3147122C"/>
    <w:rsid w:val="315345DD"/>
    <w:rsid w:val="31553682"/>
    <w:rsid w:val="315D128C"/>
    <w:rsid w:val="31612EAD"/>
    <w:rsid w:val="31636EC6"/>
    <w:rsid w:val="318A0C86"/>
    <w:rsid w:val="318F0405"/>
    <w:rsid w:val="31972566"/>
    <w:rsid w:val="31A32339"/>
    <w:rsid w:val="31A3782E"/>
    <w:rsid w:val="31BC766E"/>
    <w:rsid w:val="31BE6EF9"/>
    <w:rsid w:val="31C559E0"/>
    <w:rsid w:val="31C72410"/>
    <w:rsid w:val="31CF4146"/>
    <w:rsid w:val="3207768B"/>
    <w:rsid w:val="320D7387"/>
    <w:rsid w:val="32110481"/>
    <w:rsid w:val="322D1E36"/>
    <w:rsid w:val="32382140"/>
    <w:rsid w:val="32384F20"/>
    <w:rsid w:val="326071AE"/>
    <w:rsid w:val="32620892"/>
    <w:rsid w:val="32625925"/>
    <w:rsid w:val="326464F5"/>
    <w:rsid w:val="326538AB"/>
    <w:rsid w:val="3291513D"/>
    <w:rsid w:val="329545AB"/>
    <w:rsid w:val="32AC0577"/>
    <w:rsid w:val="32BC3287"/>
    <w:rsid w:val="32C5169A"/>
    <w:rsid w:val="32DA0724"/>
    <w:rsid w:val="32E05771"/>
    <w:rsid w:val="33070B92"/>
    <w:rsid w:val="330D1432"/>
    <w:rsid w:val="33150BE9"/>
    <w:rsid w:val="332E3836"/>
    <w:rsid w:val="33517CAD"/>
    <w:rsid w:val="335437ED"/>
    <w:rsid w:val="33584ED9"/>
    <w:rsid w:val="33775400"/>
    <w:rsid w:val="339B68F8"/>
    <w:rsid w:val="33A402DF"/>
    <w:rsid w:val="33B94FAC"/>
    <w:rsid w:val="33DE7882"/>
    <w:rsid w:val="33ED4D80"/>
    <w:rsid w:val="33F447A6"/>
    <w:rsid w:val="33F75884"/>
    <w:rsid w:val="33F80F4F"/>
    <w:rsid w:val="342F28A9"/>
    <w:rsid w:val="343B19FD"/>
    <w:rsid w:val="3440085E"/>
    <w:rsid w:val="3460247C"/>
    <w:rsid w:val="34744AC4"/>
    <w:rsid w:val="3488735E"/>
    <w:rsid w:val="34905AB3"/>
    <w:rsid w:val="34961DD5"/>
    <w:rsid w:val="349845AE"/>
    <w:rsid w:val="34AD252D"/>
    <w:rsid w:val="34B2064F"/>
    <w:rsid w:val="34B81902"/>
    <w:rsid w:val="34C2060F"/>
    <w:rsid w:val="34C77D40"/>
    <w:rsid w:val="34D729A4"/>
    <w:rsid w:val="34D86C57"/>
    <w:rsid w:val="34EC310D"/>
    <w:rsid w:val="34F35AAC"/>
    <w:rsid w:val="34F53301"/>
    <w:rsid w:val="34FC4743"/>
    <w:rsid w:val="35070550"/>
    <w:rsid w:val="350F074A"/>
    <w:rsid w:val="35137A5A"/>
    <w:rsid w:val="35287696"/>
    <w:rsid w:val="35293C2C"/>
    <w:rsid w:val="352D16BF"/>
    <w:rsid w:val="353C2EE2"/>
    <w:rsid w:val="353D512A"/>
    <w:rsid w:val="354E658E"/>
    <w:rsid w:val="35563BF9"/>
    <w:rsid w:val="3573224E"/>
    <w:rsid w:val="35825BEA"/>
    <w:rsid w:val="35854DD5"/>
    <w:rsid w:val="358D5AB1"/>
    <w:rsid w:val="358F4DC1"/>
    <w:rsid w:val="35A428FE"/>
    <w:rsid w:val="35C41EE5"/>
    <w:rsid w:val="361633EE"/>
    <w:rsid w:val="361E1B63"/>
    <w:rsid w:val="363F6180"/>
    <w:rsid w:val="36457EE0"/>
    <w:rsid w:val="36461250"/>
    <w:rsid w:val="36582278"/>
    <w:rsid w:val="36657FBF"/>
    <w:rsid w:val="36723C5D"/>
    <w:rsid w:val="36962A57"/>
    <w:rsid w:val="36B76393"/>
    <w:rsid w:val="36BF508E"/>
    <w:rsid w:val="36C10604"/>
    <w:rsid w:val="36CF10AF"/>
    <w:rsid w:val="36CF3A8F"/>
    <w:rsid w:val="36D76BBC"/>
    <w:rsid w:val="36EF5067"/>
    <w:rsid w:val="36F47BD7"/>
    <w:rsid w:val="37015F32"/>
    <w:rsid w:val="37021D7F"/>
    <w:rsid w:val="3705167A"/>
    <w:rsid w:val="370C7AB1"/>
    <w:rsid w:val="370D2A75"/>
    <w:rsid w:val="37195C4B"/>
    <w:rsid w:val="374121DC"/>
    <w:rsid w:val="37683EE0"/>
    <w:rsid w:val="37795953"/>
    <w:rsid w:val="377F1EB1"/>
    <w:rsid w:val="37814ACD"/>
    <w:rsid w:val="379423C4"/>
    <w:rsid w:val="37CB540B"/>
    <w:rsid w:val="37D0585D"/>
    <w:rsid w:val="37D746BF"/>
    <w:rsid w:val="37D80564"/>
    <w:rsid w:val="37F24791"/>
    <w:rsid w:val="37F42B83"/>
    <w:rsid w:val="37FE07AC"/>
    <w:rsid w:val="380C47FF"/>
    <w:rsid w:val="380D1430"/>
    <w:rsid w:val="38136C32"/>
    <w:rsid w:val="38203BB8"/>
    <w:rsid w:val="38346594"/>
    <w:rsid w:val="383A77EC"/>
    <w:rsid w:val="38423DDB"/>
    <w:rsid w:val="384533CA"/>
    <w:rsid w:val="384669F0"/>
    <w:rsid w:val="385045B8"/>
    <w:rsid w:val="38602168"/>
    <w:rsid w:val="386121DB"/>
    <w:rsid w:val="386B069F"/>
    <w:rsid w:val="386F3749"/>
    <w:rsid w:val="387717A3"/>
    <w:rsid w:val="387A3DF1"/>
    <w:rsid w:val="38906AA4"/>
    <w:rsid w:val="38AE04BE"/>
    <w:rsid w:val="38AF7E7C"/>
    <w:rsid w:val="38B56106"/>
    <w:rsid w:val="38B733DC"/>
    <w:rsid w:val="38BB2474"/>
    <w:rsid w:val="38BB5939"/>
    <w:rsid w:val="38BC3D0A"/>
    <w:rsid w:val="38C814BC"/>
    <w:rsid w:val="38CC1D4A"/>
    <w:rsid w:val="38CD30C2"/>
    <w:rsid w:val="38E20AE5"/>
    <w:rsid w:val="38E55D2E"/>
    <w:rsid w:val="38E65252"/>
    <w:rsid w:val="38EF71A8"/>
    <w:rsid w:val="38F3675E"/>
    <w:rsid w:val="38FF1E46"/>
    <w:rsid w:val="39096C1C"/>
    <w:rsid w:val="3920251C"/>
    <w:rsid w:val="39332771"/>
    <w:rsid w:val="393A05AE"/>
    <w:rsid w:val="39517C6D"/>
    <w:rsid w:val="3964373A"/>
    <w:rsid w:val="398919E9"/>
    <w:rsid w:val="39915A3C"/>
    <w:rsid w:val="39936430"/>
    <w:rsid w:val="39C12A01"/>
    <w:rsid w:val="39D0185D"/>
    <w:rsid w:val="3A054308"/>
    <w:rsid w:val="3A0979D2"/>
    <w:rsid w:val="3A19646C"/>
    <w:rsid w:val="3A1D0A28"/>
    <w:rsid w:val="3A1E65D5"/>
    <w:rsid w:val="3A360333"/>
    <w:rsid w:val="3A4C349E"/>
    <w:rsid w:val="3A4C6BC8"/>
    <w:rsid w:val="3A537871"/>
    <w:rsid w:val="3A680E3F"/>
    <w:rsid w:val="3A797CAF"/>
    <w:rsid w:val="3A8013C4"/>
    <w:rsid w:val="3A816B64"/>
    <w:rsid w:val="3A855E4B"/>
    <w:rsid w:val="3A8C79E3"/>
    <w:rsid w:val="3AA47C6A"/>
    <w:rsid w:val="3AD24EEF"/>
    <w:rsid w:val="3ADA3247"/>
    <w:rsid w:val="3AEF2CC1"/>
    <w:rsid w:val="3AF47C1B"/>
    <w:rsid w:val="3AF63074"/>
    <w:rsid w:val="3B015E51"/>
    <w:rsid w:val="3B15706C"/>
    <w:rsid w:val="3B183024"/>
    <w:rsid w:val="3B2B7CC6"/>
    <w:rsid w:val="3B412E2C"/>
    <w:rsid w:val="3B4D02BA"/>
    <w:rsid w:val="3B7B2140"/>
    <w:rsid w:val="3B840DFA"/>
    <w:rsid w:val="3B8778CC"/>
    <w:rsid w:val="3BD07B00"/>
    <w:rsid w:val="3BE01225"/>
    <w:rsid w:val="3BE204C0"/>
    <w:rsid w:val="3BE2439E"/>
    <w:rsid w:val="3BF36C24"/>
    <w:rsid w:val="3C1575BD"/>
    <w:rsid w:val="3C300B26"/>
    <w:rsid w:val="3C3B0531"/>
    <w:rsid w:val="3C3C047F"/>
    <w:rsid w:val="3C4612D3"/>
    <w:rsid w:val="3C5309BF"/>
    <w:rsid w:val="3C6B5486"/>
    <w:rsid w:val="3C723726"/>
    <w:rsid w:val="3CA134EE"/>
    <w:rsid w:val="3CD71139"/>
    <w:rsid w:val="3CE25EFE"/>
    <w:rsid w:val="3CE70CAF"/>
    <w:rsid w:val="3D0839BD"/>
    <w:rsid w:val="3D151B91"/>
    <w:rsid w:val="3D3A352A"/>
    <w:rsid w:val="3D441FED"/>
    <w:rsid w:val="3D494625"/>
    <w:rsid w:val="3D4D5F5A"/>
    <w:rsid w:val="3D6B2084"/>
    <w:rsid w:val="3D702504"/>
    <w:rsid w:val="3D8C0CD2"/>
    <w:rsid w:val="3D912013"/>
    <w:rsid w:val="3DA94510"/>
    <w:rsid w:val="3DAC1542"/>
    <w:rsid w:val="3DB57EC0"/>
    <w:rsid w:val="3DBA6693"/>
    <w:rsid w:val="3DCE530E"/>
    <w:rsid w:val="3DD31485"/>
    <w:rsid w:val="3DD900D3"/>
    <w:rsid w:val="3DE356DF"/>
    <w:rsid w:val="3DEE1BBC"/>
    <w:rsid w:val="3E014B14"/>
    <w:rsid w:val="3E067CFD"/>
    <w:rsid w:val="3E0F671B"/>
    <w:rsid w:val="3E172B81"/>
    <w:rsid w:val="3E194BC1"/>
    <w:rsid w:val="3E2164E1"/>
    <w:rsid w:val="3E224490"/>
    <w:rsid w:val="3E446F18"/>
    <w:rsid w:val="3E950941"/>
    <w:rsid w:val="3E9A09DD"/>
    <w:rsid w:val="3EAC360C"/>
    <w:rsid w:val="3EB22AC4"/>
    <w:rsid w:val="3EB62A88"/>
    <w:rsid w:val="3ED823F9"/>
    <w:rsid w:val="3EDD2FA1"/>
    <w:rsid w:val="3EE253B6"/>
    <w:rsid w:val="3EEA4650"/>
    <w:rsid w:val="3F001C77"/>
    <w:rsid w:val="3F166996"/>
    <w:rsid w:val="3F1A1C36"/>
    <w:rsid w:val="3F211237"/>
    <w:rsid w:val="3F2521B4"/>
    <w:rsid w:val="3F6935AC"/>
    <w:rsid w:val="3F7337E4"/>
    <w:rsid w:val="3F8A5D87"/>
    <w:rsid w:val="3FA31732"/>
    <w:rsid w:val="3FC11C91"/>
    <w:rsid w:val="3FC85556"/>
    <w:rsid w:val="3FCA60A0"/>
    <w:rsid w:val="3FD339BE"/>
    <w:rsid w:val="3FE75D27"/>
    <w:rsid w:val="3FE86DCF"/>
    <w:rsid w:val="3FEC682B"/>
    <w:rsid w:val="3FF33D1E"/>
    <w:rsid w:val="3FFC3696"/>
    <w:rsid w:val="40025241"/>
    <w:rsid w:val="40100EB2"/>
    <w:rsid w:val="401D7D40"/>
    <w:rsid w:val="402306C7"/>
    <w:rsid w:val="40293F5C"/>
    <w:rsid w:val="403A3A3D"/>
    <w:rsid w:val="40482DF1"/>
    <w:rsid w:val="404B5797"/>
    <w:rsid w:val="405C1992"/>
    <w:rsid w:val="406C721E"/>
    <w:rsid w:val="407B6789"/>
    <w:rsid w:val="407C3144"/>
    <w:rsid w:val="4089199B"/>
    <w:rsid w:val="408B0726"/>
    <w:rsid w:val="40916693"/>
    <w:rsid w:val="40A17C80"/>
    <w:rsid w:val="40A83374"/>
    <w:rsid w:val="40BF2E6A"/>
    <w:rsid w:val="40DD570A"/>
    <w:rsid w:val="40EB5809"/>
    <w:rsid w:val="40F9018D"/>
    <w:rsid w:val="412A1D04"/>
    <w:rsid w:val="414B0714"/>
    <w:rsid w:val="41571B1C"/>
    <w:rsid w:val="416C40CA"/>
    <w:rsid w:val="41776EC9"/>
    <w:rsid w:val="41802DC5"/>
    <w:rsid w:val="4183079C"/>
    <w:rsid w:val="4183522A"/>
    <w:rsid w:val="41966661"/>
    <w:rsid w:val="419C5EAC"/>
    <w:rsid w:val="41A738B4"/>
    <w:rsid w:val="41B374CC"/>
    <w:rsid w:val="41C23FA9"/>
    <w:rsid w:val="41C37DD5"/>
    <w:rsid w:val="41CE1149"/>
    <w:rsid w:val="41D87BA6"/>
    <w:rsid w:val="41EA0DF0"/>
    <w:rsid w:val="41FA1C76"/>
    <w:rsid w:val="41FA3417"/>
    <w:rsid w:val="41FF6CEC"/>
    <w:rsid w:val="421219E3"/>
    <w:rsid w:val="4212200B"/>
    <w:rsid w:val="421A127D"/>
    <w:rsid w:val="423801ED"/>
    <w:rsid w:val="423F5252"/>
    <w:rsid w:val="426470F1"/>
    <w:rsid w:val="426A2031"/>
    <w:rsid w:val="427907BD"/>
    <w:rsid w:val="429B1188"/>
    <w:rsid w:val="429E3EC7"/>
    <w:rsid w:val="42A04AB5"/>
    <w:rsid w:val="42A60BCB"/>
    <w:rsid w:val="42CE7920"/>
    <w:rsid w:val="42D65694"/>
    <w:rsid w:val="42D7540B"/>
    <w:rsid w:val="42EB12B2"/>
    <w:rsid w:val="42FB67D6"/>
    <w:rsid w:val="43002D2E"/>
    <w:rsid w:val="430D13D6"/>
    <w:rsid w:val="430F22F3"/>
    <w:rsid w:val="431B61D5"/>
    <w:rsid w:val="432A0CB1"/>
    <w:rsid w:val="432E070E"/>
    <w:rsid w:val="432F0C10"/>
    <w:rsid w:val="43381A0A"/>
    <w:rsid w:val="43476D05"/>
    <w:rsid w:val="434F0041"/>
    <w:rsid w:val="43542429"/>
    <w:rsid w:val="43790B48"/>
    <w:rsid w:val="43922BDF"/>
    <w:rsid w:val="439B2DF4"/>
    <w:rsid w:val="43A70965"/>
    <w:rsid w:val="43AE386B"/>
    <w:rsid w:val="43B21382"/>
    <w:rsid w:val="43C63B4B"/>
    <w:rsid w:val="43D246A3"/>
    <w:rsid w:val="43E16ACE"/>
    <w:rsid w:val="43E2016A"/>
    <w:rsid w:val="43F5099E"/>
    <w:rsid w:val="43FD65F5"/>
    <w:rsid w:val="44013D6C"/>
    <w:rsid w:val="44102666"/>
    <w:rsid w:val="44126C12"/>
    <w:rsid w:val="441B242B"/>
    <w:rsid w:val="44227CCE"/>
    <w:rsid w:val="443863F3"/>
    <w:rsid w:val="44524A6B"/>
    <w:rsid w:val="44525FA3"/>
    <w:rsid w:val="445D697A"/>
    <w:rsid w:val="445D7CFA"/>
    <w:rsid w:val="446B0A53"/>
    <w:rsid w:val="447A36BA"/>
    <w:rsid w:val="447B2820"/>
    <w:rsid w:val="447E084B"/>
    <w:rsid w:val="447F0B8B"/>
    <w:rsid w:val="44842511"/>
    <w:rsid w:val="448928E2"/>
    <w:rsid w:val="448C6831"/>
    <w:rsid w:val="44AF17C3"/>
    <w:rsid w:val="44CB5710"/>
    <w:rsid w:val="44D24FDB"/>
    <w:rsid w:val="44DF70AD"/>
    <w:rsid w:val="44FC5D12"/>
    <w:rsid w:val="45161630"/>
    <w:rsid w:val="451E4402"/>
    <w:rsid w:val="45240149"/>
    <w:rsid w:val="455372F3"/>
    <w:rsid w:val="455B43CD"/>
    <w:rsid w:val="45662B8A"/>
    <w:rsid w:val="457D5C9A"/>
    <w:rsid w:val="457E617A"/>
    <w:rsid w:val="459763D9"/>
    <w:rsid w:val="45CC5137"/>
    <w:rsid w:val="45CF513D"/>
    <w:rsid w:val="45D3399D"/>
    <w:rsid w:val="45D65FB6"/>
    <w:rsid w:val="460D2615"/>
    <w:rsid w:val="46246427"/>
    <w:rsid w:val="46252B46"/>
    <w:rsid w:val="46286D47"/>
    <w:rsid w:val="462F4F0C"/>
    <w:rsid w:val="4632168D"/>
    <w:rsid w:val="46390031"/>
    <w:rsid w:val="4647072E"/>
    <w:rsid w:val="46470C62"/>
    <w:rsid w:val="464876C7"/>
    <w:rsid w:val="465540F8"/>
    <w:rsid w:val="46643EB4"/>
    <w:rsid w:val="466704B9"/>
    <w:rsid w:val="466D39F7"/>
    <w:rsid w:val="467578DF"/>
    <w:rsid w:val="467632F5"/>
    <w:rsid w:val="467D2BBC"/>
    <w:rsid w:val="46803A74"/>
    <w:rsid w:val="46916EDC"/>
    <w:rsid w:val="46920CD8"/>
    <w:rsid w:val="46972D4E"/>
    <w:rsid w:val="46C112BF"/>
    <w:rsid w:val="46C413FB"/>
    <w:rsid w:val="46C6641E"/>
    <w:rsid w:val="46D57B43"/>
    <w:rsid w:val="46E252F4"/>
    <w:rsid w:val="46F70B49"/>
    <w:rsid w:val="46FC4752"/>
    <w:rsid w:val="4732716A"/>
    <w:rsid w:val="473330EB"/>
    <w:rsid w:val="47390F16"/>
    <w:rsid w:val="473B2D2E"/>
    <w:rsid w:val="473C2E9C"/>
    <w:rsid w:val="473D47BE"/>
    <w:rsid w:val="474036FF"/>
    <w:rsid w:val="47650201"/>
    <w:rsid w:val="477D766F"/>
    <w:rsid w:val="47814868"/>
    <w:rsid w:val="4781511E"/>
    <w:rsid w:val="478A0E65"/>
    <w:rsid w:val="478B2F79"/>
    <w:rsid w:val="478D7E27"/>
    <w:rsid w:val="478F1F1C"/>
    <w:rsid w:val="47924781"/>
    <w:rsid w:val="479B298E"/>
    <w:rsid w:val="479F2648"/>
    <w:rsid w:val="47B14214"/>
    <w:rsid w:val="47B27E52"/>
    <w:rsid w:val="47C13AB9"/>
    <w:rsid w:val="47CB0DD4"/>
    <w:rsid w:val="47D81425"/>
    <w:rsid w:val="47E03C64"/>
    <w:rsid w:val="47E04813"/>
    <w:rsid w:val="47E7773B"/>
    <w:rsid w:val="47F97BBD"/>
    <w:rsid w:val="48055756"/>
    <w:rsid w:val="48115524"/>
    <w:rsid w:val="481E106D"/>
    <w:rsid w:val="4830418F"/>
    <w:rsid w:val="4832777A"/>
    <w:rsid w:val="483B0352"/>
    <w:rsid w:val="483E7E42"/>
    <w:rsid w:val="483F6031"/>
    <w:rsid w:val="484823E7"/>
    <w:rsid w:val="484B0EAD"/>
    <w:rsid w:val="484C4966"/>
    <w:rsid w:val="48711FC6"/>
    <w:rsid w:val="487E10C7"/>
    <w:rsid w:val="48804B67"/>
    <w:rsid w:val="488D6991"/>
    <w:rsid w:val="489A44A7"/>
    <w:rsid w:val="489C29F3"/>
    <w:rsid w:val="48A22C73"/>
    <w:rsid w:val="48B047FD"/>
    <w:rsid w:val="48B82181"/>
    <w:rsid w:val="48CA7D55"/>
    <w:rsid w:val="48CF17A9"/>
    <w:rsid w:val="48D25B39"/>
    <w:rsid w:val="48D51E71"/>
    <w:rsid w:val="48D6619C"/>
    <w:rsid w:val="48EF1D6E"/>
    <w:rsid w:val="48EF48D8"/>
    <w:rsid w:val="490374DB"/>
    <w:rsid w:val="490840A4"/>
    <w:rsid w:val="49210BCF"/>
    <w:rsid w:val="49210C26"/>
    <w:rsid w:val="49276C84"/>
    <w:rsid w:val="49362A2E"/>
    <w:rsid w:val="493D0FC1"/>
    <w:rsid w:val="49567362"/>
    <w:rsid w:val="495844F4"/>
    <w:rsid w:val="495B6F77"/>
    <w:rsid w:val="496020FD"/>
    <w:rsid w:val="496228FC"/>
    <w:rsid w:val="49746716"/>
    <w:rsid w:val="49871DFB"/>
    <w:rsid w:val="498A273D"/>
    <w:rsid w:val="498C7C51"/>
    <w:rsid w:val="49AB16D2"/>
    <w:rsid w:val="49B2583F"/>
    <w:rsid w:val="49B67535"/>
    <w:rsid w:val="49B93C25"/>
    <w:rsid w:val="49BD6122"/>
    <w:rsid w:val="49CB017D"/>
    <w:rsid w:val="49E50D9C"/>
    <w:rsid w:val="49EC59C5"/>
    <w:rsid w:val="49F4295A"/>
    <w:rsid w:val="49FF4613"/>
    <w:rsid w:val="4A036364"/>
    <w:rsid w:val="4A412814"/>
    <w:rsid w:val="4A435BE4"/>
    <w:rsid w:val="4A69645A"/>
    <w:rsid w:val="4A726910"/>
    <w:rsid w:val="4A80342C"/>
    <w:rsid w:val="4A89557F"/>
    <w:rsid w:val="4A97792E"/>
    <w:rsid w:val="4A993A56"/>
    <w:rsid w:val="4AA73066"/>
    <w:rsid w:val="4AB77C70"/>
    <w:rsid w:val="4AC6148D"/>
    <w:rsid w:val="4ADE204F"/>
    <w:rsid w:val="4AF0701B"/>
    <w:rsid w:val="4AF409F7"/>
    <w:rsid w:val="4AF52F16"/>
    <w:rsid w:val="4B0D1D4C"/>
    <w:rsid w:val="4B163357"/>
    <w:rsid w:val="4B5A712B"/>
    <w:rsid w:val="4B7A3D3A"/>
    <w:rsid w:val="4B7C0DDC"/>
    <w:rsid w:val="4B8E716A"/>
    <w:rsid w:val="4B944488"/>
    <w:rsid w:val="4B9B4365"/>
    <w:rsid w:val="4BA47C79"/>
    <w:rsid w:val="4BA57DDC"/>
    <w:rsid w:val="4BA95761"/>
    <w:rsid w:val="4BBF1DF6"/>
    <w:rsid w:val="4BC13F6B"/>
    <w:rsid w:val="4BC67AD3"/>
    <w:rsid w:val="4BC83453"/>
    <w:rsid w:val="4BCC71E5"/>
    <w:rsid w:val="4BDF07AE"/>
    <w:rsid w:val="4BE657BE"/>
    <w:rsid w:val="4BF71803"/>
    <w:rsid w:val="4BFA0524"/>
    <w:rsid w:val="4C084AEB"/>
    <w:rsid w:val="4C0D0258"/>
    <w:rsid w:val="4C137A41"/>
    <w:rsid w:val="4C2A705C"/>
    <w:rsid w:val="4C3E0C5C"/>
    <w:rsid w:val="4C5756A1"/>
    <w:rsid w:val="4C6876EA"/>
    <w:rsid w:val="4C6E596B"/>
    <w:rsid w:val="4C6F44FE"/>
    <w:rsid w:val="4C6F473B"/>
    <w:rsid w:val="4C8E6103"/>
    <w:rsid w:val="4C940EBC"/>
    <w:rsid w:val="4CAF7561"/>
    <w:rsid w:val="4CB031DA"/>
    <w:rsid w:val="4CB4634D"/>
    <w:rsid w:val="4CB63C0F"/>
    <w:rsid w:val="4CB720E2"/>
    <w:rsid w:val="4CB916B2"/>
    <w:rsid w:val="4CC50E44"/>
    <w:rsid w:val="4CEB3E3B"/>
    <w:rsid w:val="4CEF78AD"/>
    <w:rsid w:val="4CFD5548"/>
    <w:rsid w:val="4D060528"/>
    <w:rsid w:val="4D0722B3"/>
    <w:rsid w:val="4D221992"/>
    <w:rsid w:val="4D2264A2"/>
    <w:rsid w:val="4D2C295F"/>
    <w:rsid w:val="4D3112F1"/>
    <w:rsid w:val="4D4952BF"/>
    <w:rsid w:val="4D730617"/>
    <w:rsid w:val="4D85261A"/>
    <w:rsid w:val="4D8D4760"/>
    <w:rsid w:val="4D9C0FE1"/>
    <w:rsid w:val="4DA573A0"/>
    <w:rsid w:val="4DBA7528"/>
    <w:rsid w:val="4DBC7473"/>
    <w:rsid w:val="4DBF37D4"/>
    <w:rsid w:val="4DC04486"/>
    <w:rsid w:val="4DD03170"/>
    <w:rsid w:val="4DE6570A"/>
    <w:rsid w:val="4E1D7B05"/>
    <w:rsid w:val="4E1F451F"/>
    <w:rsid w:val="4E207825"/>
    <w:rsid w:val="4E260F21"/>
    <w:rsid w:val="4E2B1FD8"/>
    <w:rsid w:val="4E447FC1"/>
    <w:rsid w:val="4E4D5283"/>
    <w:rsid w:val="4E5C7C01"/>
    <w:rsid w:val="4E7A2BCF"/>
    <w:rsid w:val="4E94701A"/>
    <w:rsid w:val="4E9620BB"/>
    <w:rsid w:val="4EBB28A2"/>
    <w:rsid w:val="4EC23215"/>
    <w:rsid w:val="4ECA0682"/>
    <w:rsid w:val="4ED74DB7"/>
    <w:rsid w:val="4EDE5EDB"/>
    <w:rsid w:val="4EE40473"/>
    <w:rsid w:val="4EE95DB8"/>
    <w:rsid w:val="4EEE021A"/>
    <w:rsid w:val="4EEE6073"/>
    <w:rsid w:val="4F0728F6"/>
    <w:rsid w:val="4F0D06C9"/>
    <w:rsid w:val="4F0E5EFA"/>
    <w:rsid w:val="4F0F38DC"/>
    <w:rsid w:val="4F2139D6"/>
    <w:rsid w:val="4F227869"/>
    <w:rsid w:val="4F2B0890"/>
    <w:rsid w:val="4F3A021A"/>
    <w:rsid w:val="4F3F682D"/>
    <w:rsid w:val="4F404315"/>
    <w:rsid w:val="4F456A1E"/>
    <w:rsid w:val="4F581824"/>
    <w:rsid w:val="4F7F76BE"/>
    <w:rsid w:val="4F9A13F5"/>
    <w:rsid w:val="4FAF4286"/>
    <w:rsid w:val="4FB05A0F"/>
    <w:rsid w:val="4FBA1568"/>
    <w:rsid w:val="4FCB17CB"/>
    <w:rsid w:val="4FCC5BEA"/>
    <w:rsid w:val="4FD0447C"/>
    <w:rsid w:val="4FE14264"/>
    <w:rsid w:val="50027DE4"/>
    <w:rsid w:val="502B7BDF"/>
    <w:rsid w:val="504E68E8"/>
    <w:rsid w:val="505056E8"/>
    <w:rsid w:val="507F1214"/>
    <w:rsid w:val="50920C65"/>
    <w:rsid w:val="50B102F3"/>
    <w:rsid w:val="50B37DCB"/>
    <w:rsid w:val="50B44ECF"/>
    <w:rsid w:val="50B52250"/>
    <w:rsid w:val="50D2472C"/>
    <w:rsid w:val="50D35B59"/>
    <w:rsid w:val="50D62CD2"/>
    <w:rsid w:val="50F97C41"/>
    <w:rsid w:val="50FB7D5F"/>
    <w:rsid w:val="50FF6744"/>
    <w:rsid w:val="51055F7A"/>
    <w:rsid w:val="510949BE"/>
    <w:rsid w:val="51261C66"/>
    <w:rsid w:val="51376BE3"/>
    <w:rsid w:val="514644B4"/>
    <w:rsid w:val="514A62BA"/>
    <w:rsid w:val="515E721F"/>
    <w:rsid w:val="5176064D"/>
    <w:rsid w:val="517D376B"/>
    <w:rsid w:val="51A12AFB"/>
    <w:rsid w:val="51BA26B1"/>
    <w:rsid w:val="51E16481"/>
    <w:rsid w:val="51EF7048"/>
    <w:rsid w:val="51F87B34"/>
    <w:rsid w:val="51F96C9B"/>
    <w:rsid w:val="51FC21E4"/>
    <w:rsid w:val="52102850"/>
    <w:rsid w:val="52152AD3"/>
    <w:rsid w:val="52156097"/>
    <w:rsid w:val="52176A10"/>
    <w:rsid w:val="52256B34"/>
    <w:rsid w:val="52317262"/>
    <w:rsid w:val="523B35E9"/>
    <w:rsid w:val="524F566D"/>
    <w:rsid w:val="52602559"/>
    <w:rsid w:val="527D27E1"/>
    <w:rsid w:val="52803148"/>
    <w:rsid w:val="5289438E"/>
    <w:rsid w:val="528F444F"/>
    <w:rsid w:val="529A3CEF"/>
    <w:rsid w:val="52B8338D"/>
    <w:rsid w:val="52BC3084"/>
    <w:rsid w:val="52CA1025"/>
    <w:rsid w:val="52CB49C9"/>
    <w:rsid w:val="52D36504"/>
    <w:rsid w:val="52D57F2C"/>
    <w:rsid w:val="52E2532A"/>
    <w:rsid w:val="52E64303"/>
    <w:rsid w:val="52F33252"/>
    <w:rsid w:val="530F19F6"/>
    <w:rsid w:val="53262401"/>
    <w:rsid w:val="533401C3"/>
    <w:rsid w:val="53367425"/>
    <w:rsid w:val="533B35B3"/>
    <w:rsid w:val="53402974"/>
    <w:rsid w:val="534C78B7"/>
    <w:rsid w:val="53572ABA"/>
    <w:rsid w:val="538E4E06"/>
    <w:rsid w:val="53A42878"/>
    <w:rsid w:val="53B32D36"/>
    <w:rsid w:val="53C61200"/>
    <w:rsid w:val="53C953AC"/>
    <w:rsid w:val="53E15798"/>
    <w:rsid w:val="53E76E83"/>
    <w:rsid w:val="53FE126C"/>
    <w:rsid w:val="541404D8"/>
    <w:rsid w:val="541D6638"/>
    <w:rsid w:val="54335B48"/>
    <w:rsid w:val="543A251A"/>
    <w:rsid w:val="54426790"/>
    <w:rsid w:val="5445003E"/>
    <w:rsid w:val="544B054F"/>
    <w:rsid w:val="546E37CD"/>
    <w:rsid w:val="54712CBC"/>
    <w:rsid w:val="548A4B3B"/>
    <w:rsid w:val="54A21295"/>
    <w:rsid w:val="54A966EC"/>
    <w:rsid w:val="54BF0AFC"/>
    <w:rsid w:val="54CD0150"/>
    <w:rsid w:val="54DD4202"/>
    <w:rsid w:val="54F84E72"/>
    <w:rsid w:val="550E5C29"/>
    <w:rsid w:val="552130F7"/>
    <w:rsid w:val="552727DC"/>
    <w:rsid w:val="5541285A"/>
    <w:rsid w:val="554271C4"/>
    <w:rsid w:val="554923E8"/>
    <w:rsid w:val="554E608A"/>
    <w:rsid w:val="555331A2"/>
    <w:rsid w:val="55784B7C"/>
    <w:rsid w:val="557936E5"/>
    <w:rsid w:val="55887DDA"/>
    <w:rsid w:val="558956BD"/>
    <w:rsid w:val="558E5019"/>
    <w:rsid w:val="559317CE"/>
    <w:rsid w:val="559925C9"/>
    <w:rsid w:val="559A2991"/>
    <w:rsid w:val="55AB1632"/>
    <w:rsid w:val="55CA66C5"/>
    <w:rsid w:val="55D271ED"/>
    <w:rsid w:val="56006661"/>
    <w:rsid w:val="5608364E"/>
    <w:rsid w:val="560C498D"/>
    <w:rsid w:val="561671C7"/>
    <w:rsid w:val="562167B6"/>
    <w:rsid w:val="562F5386"/>
    <w:rsid w:val="56410322"/>
    <w:rsid w:val="56427575"/>
    <w:rsid w:val="565459A5"/>
    <w:rsid w:val="56636996"/>
    <w:rsid w:val="56644F18"/>
    <w:rsid w:val="56713798"/>
    <w:rsid w:val="56774543"/>
    <w:rsid w:val="568A41B8"/>
    <w:rsid w:val="569157D9"/>
    <w:rsid w:val="569647B0"/>
    <w:rsid w:val="56965CBB"/>
    <w:rsid w:val="56A73B56"/>
    <w:rsid w:val="56BC2035"/>
    <w:rsid w:val="56D26326"/>
    <w:rsid w:val="56D57390"/>
    <w:rsid w:val="56E63719"/>
    <w:rsid w:val="56EF3298"/>
    <w:rsid w:val="56FA19D7"/>
    <w:rsid w:val="572A1225"/>
    <w:rsid w:val="57422161"/>
    <w:rsid w:val="57511001"/>
    <w:rsid w:val="57576191"/>
    <w:rsid w:val="57896F73"/>
    <w:rsid w:val="57A06424"/>
    <w:rsid w:val="57BF4520"/>
    <w:rsid w:val="57C9716B"/>
    <w:rsid w:val="57F55B48"/>
    <w:rsid w:val="58151B95"/>
    <w:rsid w:val="581A55BD"/>
    <w:rsid w:val="583061A2"/>
    <w:rsid w:val="583214E0"/>
    <w:rsid w:val="58346B6C"/>
    <w:rsid w:val="58382B00"/>
    <w:rsid w:val="583A4B1D"/>
    <w:rsid w:val="5844626F"/>
    <w:rsid w:val="58563839"/>
    <w:rsid w:val="58566ABE"/>
    <w:rsid w:val="586704EE"/>
    <w:rsid w:val="58794112"/>
    <w:rsid w:val="587D5A67"/>
    <w:rsid w:val="58831317"/>
    <w:rsid w:val="588B2C30"/>
    <w:rsid w:val="588F26AC"/>
    <w:rsid w:val="589A10C5"/>
    <w:rsid w:val="589C3B71"/>
    <w:rsid w:val="589F7573"/>
    <w:rsid w:val="58AB65D4"/>
    <w:rsid w:val="58BD6658"/>
    <w:rsid w:val="58C00021"/>
    <w:rsid w:val="58E649BF"/>
    <w:rsid w:val="58F01C46"/>
    <w:rsid w:val="58FB3EB9"/>
    <w:rsid w:val="59052357"/>
    <w:rsid w:val="591D34DB"/>
    <w:rsid w:val="591E0A5B"/>
    <w:rsid w:val="592E45F7"/>
    <w:rsid w:val="59387CF1"/>
    <w:rsid w:val="593C5C6E"/>
    <w:rsid w:val="59466198"/>
    <w:rsid w:val="594776A6"/>
    <w:rsid w:val="5954396A"/>
    <w:rsid w:val="595C7F09"/>
    <w:rsid w:val="59625E31"/>
    <w:rsid w:val="59637210"/>
    <w:rsid w:val="596423C7"/>
    <w:rsid w:val="59700B54"/>
    <w:rsid w:val="597B613F"/>
    <w:rsid w:val="59905993"/>
    <w:rsid w:val="59962171"/>
    <w:rsid w:val="59A06101"/>
    <w:rsid w:val="59AF0116"/>
    <w:rsid w:val="59C53F20"/>
    <w:rsid w:val="59CE513A"/>
    <w:rsid w:val="59E56370"/>
    <w:rsid w:val="59ED0ECA"/>
    <w:rsid w:val="59EF526E"/>
    <w:rsid w:val="59F754D4"/>
    <w:rsid w:val="59F852A3"/>
    <w:rsid w:val="5A02347B"/>
    <w:rsid w:val="5A037B4C"/>
    <w:rsid w:val="5A174648"/>
    <w:rsid w:val="5A2413B5"/>
    <w:rsid w:val="5A291087"/>
    <w:rsid w:val="5A3023B2"/>
    <w:rsid w:val="5A3C70BA"/>
    <w:rsid w:val="5A4C2E1A"/>
    <w:rsid w:val="5A661D73"/>
    <w:rsid w:val="5A6A4AC7"/>
    <w:rsid w:val="5A780093"/>
    <w:rsid w:val="5A7A54CE"/>
    <w:rsid w:val="5A8646B8"/>
    <w:rsid w:val="5A8C0DC9"/>
    <w:rsid w:val="5AB7355C"/>
    <w:rsid w:val="5AB90BE6"/>
    <w:rsid w:val="5AB96052"/>
    <w:rsid w:val="5AC11211"/>
    <w:rsid w:val="5AD679F3"/>
    <w:rsid w:val="5ADF715C"/>
    <w:rsid w:val="5AEB3D17"/>
    <w:rsid w:val="5AF768D8"/>
    <w:rsid w:val="5B030417"/>
    <w:rsid w:val="5B3C106E"/>
    <w:rsid w:val="5B4364EF"/>
    <w:rsid w:val="5B50656D"/>
    <w:rsid w:val="5B6156E4"/>
    <w:rsid w:val="5B6A754F"/>
    <w:rsid w:val="5B76627F"/>
    <w:rsid w:val="5B777810"/>
    <w:rsid w:val="5B884987"/>
    <w:rsid w:val="5B8E60D2"/>
    <w:rsid w:val="5BB82486"/>
    <w:rsid w:val="5BBD16AF"/>
    <w:rsid w:val="5BBD3A7B"/>
    <w:rsid w:val="5BBF40BE"/>
    <w:rsid w:val="5BCF54DC"/>
    <w:rsid w:val="5C21228D"/>
    <w:rsid w:val="5C241A34"/>
    <w:rsid w:val="5C391A9C"/>
    <w:rsid w:val="5C407C48"/>
    <w:rsid w:val="5C430AD1"/>
    <w:rsid w:val="5C5117B3"/>
    <w:rsid w:val="5C515A7E"/>
    <w:rsid w:val="5C6B200B"/>
    <w:rsid w:val="5C7A658A"/>
    <w:rsid w:val="5C8E36A5"/>
    <w:rsid w:val="5C9122C7"/>
    <w:rsid w:val="5C95791C"/>
    <w:rsid w:val="5C984715"/>
    <w:rsid w:val="5C9A3649"/>
    <w:rsid w:val="5C9C0978"/>
    <w:rsid w:val="5CA803EF"/>
    <w:rsid w:val="5CA95067"/>
    <w:rsid w:val="5CAE5530"/>
    <w:rsid w:val="5CB47069"/>
    <w:rsid w:val="5CE317B4"/>
    <w:rsid w:val="5CE62B2B"/>
    <w:rsid w:val="5CE770B7"/>
    <w:rsid w:val="5CF36147"/>
    <w:rsid w:val="5CF95962"/>
    <w:rsid w:val="5D074498"/>
    <w:rsid w:val="5D0821DE"/>
    <w:rsid w:val="5D0B304B"/>
    <w:rsid w:val="5D111C5E"/>
    <w:rsid w:val="5D28668E"/>
    <w:rsid w:val="5D3D6C21"/>
    <w:rsid w:val="5D47571F"/>
    <w:rsid w:val="5D480901"/>
    <w:rsid w:val="5D6972B8"/>
    <w:rsid w:val="5D9A6A7F"/>
    <w:rsid w:val="5DA65EFA"/>
    <w:rsid w:val="5DB46C14"/>
    <w:rsid w:val="5DB605EE"/>
    <w:rsid w:val="5DBB35B0"/>
    <w:rsid w:val="5DC82124"/>
    <w:rsid w:val="5DC87793"/>
    <w:rsid w:val="5DD25CE7"/>
    <w:rsid w:val="5DE172A3"/>
    <w:rsid w:val="5DEC24CB"/>
    <w:rsid w:val="5E1426CF"/>
    <w:rsid w:val="5E1440A8"/>
    <w:rsid w:val="5E194749"/>
    <w:rsid w:val="5E274FB5"/>
    <w:rsid w:val="5E383BE3"/>
    <w:rsid w:val="5E474598"/>
    <w:rsid w:val="5E4A1800"/>
    <w:rsid w:val="5E4D504A"/>
    <w:rsid w:val="5E5508DC"/>
    <w:rsid w:val="5E5C2C3F"/>
    <w:rsid w:val="5E5C6BB6"/>
    <w:rsid w:val="5E6A6AA9"/>
    <w:rsid w:val="5E6B5A26"/>
    <w:rsid w:val="5E6E3E77"/>
    <w:rsid w:val="5E8319BB"/>
    <w:rsid w:val="5E9D7ED7"/>
    <w:rsid w:val="5EA74FE4"/>
    <w:rsid w:val="5EAA4F37"/>
    <w:rsid w:val="5EC24EED"/>
    <w:rsid w:val="5ED127AC"/>
    <w:rsid w:val="5ED43970"/>
    <w:rsid w:val="5ED60731"/>
    <w:rsid w:val="5EF075AC"/>
    <w:rsid w:val="5EF70887"/>
    <w:rsid w:val="5F05051F"/>
    <w:rsid w:val="5F166B0F"/>
    <w:rsid w:val="5F2A273D"/>
    <w:rsid w:val="5F3B162F"/>
    <w:rsid w:val="5F3F29C6"/>
    <w:rsid w:val="5F4E67B3"/>
    <w:rsid w:val="5F5A55DE"/>
    <w:rsid w:val="5F5C111E"/>
    <w:rsid w:val="5F600B19"/>
    <w:rsid w:val="5F645C02"/>
    <w:rsid w:val="5F6612AE"/>
    <w:rsid w:val="5F67652C"/>
    <w:rsid w:val="5F7315C8"/>
    <w:rsid w:val="5F7946F3"/>
    <w:rsid w:val="5F7E7D68"/>
    <w:rsid w:val="5FB9731C"/>
    <w:rsid w:val="5FC212FA"/>
    <w:rsid w:val="5FCA04E2"/>
    <w:rsid w:val="5FD90998"/>
    <w:rsid w:val="5FD97050"/>
    <w:rsid w:val="5FF031B0"/>
    <w:rsid w:val="60023F4E"/>
    <w:rsid w:val="60055A6E"/>
    <w:rsid w:val="60085DAB"/>
    <w:rsid w:val="601C620F"/>
    <w:rsid w:val="60341DFF"/>
    <w:rsid w:val="603F4DB5"/>
    <w:rsid w:val="604F5B68"/>
    <w:rsid w:val="605835C4"/>
    <w:rsid w:val="6061058D"/>
    <w:rsid w:val="60706A53"/>
    <w:rsid w:val="60A70456"/>
    <w:rsid w:val="60B7563E"/>
    <w:rsid w:val="60C52D5B"/>
    <w:rsid w:val="60E05AE3"/>
    <w:rsid w:val="60E6652B"/>
    <w:rsid w:val="61001CBE"/>
    <w:rsid w:val="612F3FFC"/>
    <w:rsid w:val="614E5143"/>
    <w:rsid w:val="61650CC4"/>
    <w:rsid w:val="617C580C"/>
    <w:rsid w:val="618042CE"/>
    <w:rsid w:val="61871248"/>
    <w:rsid w:val="618D5A2F"/>
    <w:rsid w:val="61991CD2"/>
    <w:rsid w:val="619C5EAE"/>
    <w:rsid w:val="61A51A8C"/>
    <w:rsid w:val="61C543A6"/>
    <w:rsid w:val="61CA1E0A"/>
    <w:rsid w:val="61E3761B"/>
    <w:rsid w:val="61F17C25"/>
    <w:rsid w:val="61FE648F"/>
    <w:rsid w:val="620271DE"/>
    <w:rsid w:val="620840DA"/>
    <w:rsid w:val="620C4E8C"/>
    <w:rsid w:val="621243C2"/>
    <w:rsid w:val="622321CB"/>
    <w:rsid w:val="622666B1"/>
    <w:rsid w:val="62307EA6"/>
    <w:rsid w:val="6237513C"/>
    <w:rsid w:val="62382A94"/>
    <w:rsid w:val="62433B5B"/>
    <w:rsid w:val="6262385B"/>
    <w:rsid w:val="628846D9"/>
    <w:rsid w:val="62906FB9"/>
    <w:rsid w:val="62935DB1"/>
    <w:rsid w:val="62976077"/>
    <w:rsid w:val="62CD2DA2"/>
    <w:rsid w:val="62E811E9"/>
    <w:rsid w:val="62EA7936"/>
    <w:rsid w:val="62F142BB"/>
    <w:rsid w:val="62FF5D06"/>
    <w:rsid w:val="630E77BC"/>
    <w:rsid w:val="633121A2"/>
    <w:rsid w:val="63453843"/>
    <w:rsid w:val="634D6AF0"/>
    <w:rsid w:val="634F543F"/>
    <w:rsid w:val="63596F67"/>
    <w:rsid w:val="63736D03"/>
    <w:rsid w:val="637D1D0F"/>
    <w:rsid w:val="638B04DE"/>
    <w:rsid w:val="638D5263"/>
    <w:rsid w:val="639161E7"/>
    <w:rsid w:val="63A454EE"/>
    <w:rsid w:val="63A6036C"/>
    <w:rsid w:val="63B22A6F"/>
    <w:rsid w:val="63BD4070"/>
    <w:rsid w:val="63D329F8"/>
    <w:rsid w:val="63DB2D2A"/>
    <w:rsid w:val="63DE1EAE"/>
    <w:rsid w:val="63E36F1D"/>
    <w:rsid w:val="63F508CF"/>
    <w:rsid w:val="6400315F"/>
    <w:rsid w:val="64081FAA"/>
    <w:rsid w:val="64085A7D"/>
    <w:rsid w:val="640C1DB6"/>
    <w:rsid w:val="641C3740"/>
    <w:rsid w:val="64216A5F"/>
    <w:rsid w:val="643031EF"/>
    <w:rsid w:val="64680857"/>
    <w:rsid w:val="646A379F"/>
    <w:rsid w:val="646B48B3"/>
    <w:rsid w:val="6477675E"/>
    <w:rsid w:val="648A456C"/>
    <w:rsid w:val="64950E03"/>
    <w:rsid w:val="64AD2259"/>
    <w:rsid w:val="64B1428F"/>
    <w:rsid w:val="64D707D9"/>
    <w:rsid w:val="64DF4903"/>
    <w:rsid w:val="64FD7D80"/>
    <w:rsid w:val="65077B1C"/>
    <w:rsid w:val="650A12D2"/>
    <w:rsid w:val="651009B6"/>
    <w:rsid w:val="651638C1"/>
    <w:rsid w:val="65245898"/>
    <w:rsid w:val="652C58EA"/>
    <w:rsid w:val="652F23E8"/>
    <w:rsid w:val="65664400"/>
    <w:rsid w:val="656F1419"/>
    <w:rsid w:val="6586586E"/>
    <w:rsid w:val="658E425E"/>
    <w:rsid w:val="65903CDB"/>
    <w:rsid w:val="659140F3"/>
    <w:rsid w:val="65927857"/>
    <w:rsid w:val="659A4AB1"/>
    <w:rsid w:val="659C4E93"/>
    <w:rsid w:val="65A818E4"/>
    <w:rsid w:val="65B91971"/>
    <w:rsid w:val="65BE2C69"/>
    <w:rsid w:val="65C06584"/>
    <w:rsid w:val="65C77202"/>
    <w:rsid w:val="65C81E1B"/>
    <w:rsid w:val="65DE4853"/>
    <w:rsid w:val="65EA574D"/>
    <w:rsid w:val="661204A8"/>
    <w:rsid w:val="663002F1"/>
    <w:rsid w:val="663A0102"/>
    <w:rsid w:val="665329D6"/>
    <w:rsid w:val="6673141B"/>
    <w:rsid w:val="66763245"/>
    <w:rsid w:val="66804794"/>
    <w:rsid w:val="6684134C"/>
    <w:rsid w:val="66871F9C"/>
    <w:rsid w:val="66F03CF8"/>
    <w:rsid w:val="66F619F9"/>
    <w:rsid w:val="67054280"/>
    <w:rsid w:val="670A38BA"/>
    <w:rsid w:val="670D7B61"/>
    <w:rsid w:val="67141367"/>
    <w:rsid w:val="67185FD7"/>
    <w:rsid w:val="67187243"/>
    <w:rsid w:val="672F3A68"/>
    <w:rsid w:val="67343C14"/>
    <w:rsid w:val="675276D8"/>
    <w:rsid w:val="67661F8C"/>
    <w:rsid w:val="676B1A09"/>
    <w:rsid w:val="67722FB8"/>
    <w:rsid w:val="67874AF4"/>
    <w:rsid w:val="6796591B"/>
    <w:rsid w:val="679768AD"/>
    <w:rsid w:val="67AB6E4B"/>
    <w:rsid w:val="67C35A33"/>
    <w:rsid w:val="67D00AFD"/>
    <w:rsid w:val="67ED1684"/>
    <w:rsid w:val="67F15EAE"/>
    <w:rsid w:val="67F307F2"/>
    <w:rsid w:val="68120C78"/>
    <w:rsid w:val="68263022"/>
    <w:rsid w:val="68284565"/>
    <w:rsid w:val="683B486A"/>
    <w:rsid w:val="683C3F47"/>
    <w:rsid w:val="68421BE9"/>
    <w:rsid w:val="687050DF"/>
    <w:rsid w:val="687C177E"/>
    <w:rsid w:val="689A41F6"/>
    <w:rsid w:val="68A105AC"/>
    <w:rsid w:val="68C316B3"/>
    <w:rsid w:val="68D8239C"/>
    <w:rsid w:val="68EF3C82"/>
    <w:rsid w:val="68EF6F77"/>
    <w:rsid w:val="68F465CF"/>
    <w:rsid w:val="68F62348"/>
    <w:rsid w:val="69095BA9"/>
    <w:rsid w:val="691E7A28"/>
    <w:rsid w:val="692C287A"/>
    <w:rsid w:val="69316F8B"/>
    <w:rsid w:val="69567192"/>
    <w:rsid w:val="69684D9A"/>
    <w:rsid w:val="698D5DEC"/>
    <w:rsid w:val="69B0129B"/>
    <w:rsid w:val="69B81130"/>
    <w:rsid w:val="69BC1D83"/>
    <w:rsid w:val="69C03E24"/>
    <w:rsid w:val="69DC598D"/>
    <w:rsid w:val="69DC79B5"/>
    <w:rsid w:val="69E836AE"/>
    <w:rsid w:val="6A0D4CA8"/>
    <w:rsid w:val="6A104E5F"/>
    <w:rsid w:val="6A1111CC"/>
    <w:rsid w:val="6A1A7B2E"/>
    <w:rsid w:val="6A281E10"/>
    <w:rsid w:val="6A2F11FD"/>
    <w:rsid w:val="6A3D3A25"/>
    <w:rsid w:val="6A5C0FE2"/>
    <w:rsid w:val="6A635931"/>
    <w:rsid w:val="6A636002"/>
    <w:rsid w:val="6A786D98"/>
    <w:rsid w:val="6A7A1BCB"/>
    <w:rsid w:val="6A9D465D"/>
    <w:rsid w:val="6AA47D4E"/>
    <w:rsid w:val="6AA85C57"/>
    <w:rsid w:val="6ABB7FB4"/>
    <w:rsid w:val="6ACB15B2"/>
    <w:rsid w:val="6ACE4850"/>
    <w:rsid w:val="6AD21456"/>
    <w:rsid w:val="6AD53C97"/>
    <w:rsid w:val="6ADA35A3"/>
    <w:rsid w:val="6AEB755E"/>
    <w:rsid w:val="6B144D07"/>
    <w:rsid w:val="6B156F05"/>
    <w:rsid w:val="6B206F0B"/>
    <w:rsid w:val="6B317047"/>
    <w:rsid w:val="6B685AA4"/>
    <w:rsid w:val="6B767770"/>
    <w:rsid w:val="6B7C3FFB"/>
    <w:rsid w:val="6B801218"/>
    <w:rsid w:val="6B8A43D3"/>
    <w:rsid w:val="6B9F6CC6"/>
    <w:rsid w:val="6BD30BC3"/>
    <w:rsid w:val="6BD54C99"/>
    <w:rsid w:val="6BD554F2"/>
    <w:rsid w:val="6BDE3147"/>
    <w:rsid w:val="6BFC33D5"/>
    <w:rsid w:val="6C054475"/>
    <w:rsid w:val="6C506E69"/>
    <w:rsid w:val="6C67530A"/>
    <w:rsid w:val="6C8068FE"/>
    <w:rsid w:val="6C966B45"/>
    <w:rsid w:val="6CAA4FE2"/>
    <w:rsid w:val="6CAB297C"/>
    <w:rsid w:val="6CD01622"/>
    <w:rsid w:val="6CE10C19"/>
    <w:rsid w:val="6D04647E"/>
    <w:rsid w:val="6D0724CA"/>
    <w:rsid w:val="6D20469A"/>
    <w:rsid w:val="6D29585F"/>
    <w:rsid w:val="6D2E412A"/>
    <w:rsid w:val="6D300876"/>
    <w:rsid w:val="6D4066F9"/>
    <w:rsid w:val="6D4847CA"/>
    <w:rsid w:val="6D5D6657"/>
    <w:rsid w:val="6D61464A"/>
    <w:rsid w:val="6D616805"/>
    <w:rsid w:val="6D621A70"/>
    <w:rsid w:val="6D74385C"/>
    <w:rsid w:val="6D763C79"/>
    <w:rsid w:val="6D782168"/>
    <w:rsid w:val="6D88746D"/>
    <w:rsid w:val="6DA017C5"/>
    <w:rsid w:val="6DA21233"/>
    <w:rsid w:val="6DAA572A"/>
    <w:rsid w:val="6DBE53FE"/>
    <w:rsid w:val="6DC25CE9"/>
    <w:rsid w:val="6DC65CDC"/>
    <w:rsid w:val="6DD15131"/>
    <w:rsid w:val="6DE66CEA"/>
    <w:rsid w:val="6DEE05C8"/>
    <w:rsid w:val="6DF537F5"/>
    <w:rsid w:val="6DF923CD"/>
    <w:rsid w:val="6DFB0645"/>
    <w:rsid w:val="6E0030EF"/>
    <w:rsid w:val="6E026A5D"/>
    <w:rsid w:val="6E0819B1"/>
    <w:rsid w:val="6E1506FB"/>
    <w:rsid w:val="6E1E54C1"/>
    <w:rsid w:val="6E210D16"/>
    <w:rsid w:val="6E2A563C"/>
    <w:rsid w:val="6E375EBF"/>
    <w:rsid w:val="6E3A7D92"/>
    <w:rsid w:val="6E42434C"/>
    <w:rsid w:val="6E4B6C92"/>
    <w:rsid w:val="6E4E39A2"/>
    <w:rsid w:val="6E6A1AD5"/>
    <w:rsid w:val="6E721C27"/>
    <w:rsid w:val="6E91041D"/>
    <w:rsid w:val="6E9C74ED"/>
    <w:rsid w:val="6EA4655C"/>
    <w:rsid w:val="6EA97711"/>
    <w:rsid w:val="6EAB2A3B"/>
    <w:rsid w:val="6EB44CD0"/>
    <w:rsid w:val="6EB67281"/>
    <w:rsid w:val="6EC52DE9"/>
    <w:rsid w:val="6EE175F6"/>
    <w:rsid w:val="6EE76D18"/>
    <w:rsid w:val="6F257B75"/>
    <w:rsid w:val="6F2D7092"/>
    <w:rsid w:val="6F336BAA"/>
    <w:rsid w:val="6F3B67B3"/>
    <w:rsid w:val="6F4A0149"/>
    <w:rsid w:val="6F5C39C1"/>
    <w:rsid w:val="6F5F4945"/>
    <w:rsid w:val="6F963F3C"/>
    <w:rsid w:val="6F9F7779"/>
    <w:rsid w:val="6FA139CA"/>
    <w:rsid w:val="6FB10D76"/>
    <w:rsid w:val="6FBA6C37"/>
    <w:rsid w:val="6FF62C2D"/>
    <w:rsid w:val="6FF70575"/>
    <w:rsid w:val="6FFB04DD"/>
    <w:rsid w:val="70004DD9"/>
    <w:rsid w:val="70014D92"/>
    <w:rsid w:val="7005632C"/>
    <w:rsid w:val="700C6D4F"/>
    <w:rsid w:val="7038777D"/>
    <w:rsid w:val="703F1E1D"/>
    <w:rsid w:val="706F6E53"/>
    <w:rsid w:val="7072257E"/>
    <w:rsid w:val="70723017"/>
    <w:rsid w:val="70765857"/>
    <w:rsid w:val="708C46CD"/>
    <w:rsid w:val="7090112E"/>
    <w:rsid w:val="70B12FF8"/>
    <w:rsid w:val="70BD0AC5"/>
    <w:rsid w:val="70C04FE9"/>
    <w:rsid w:val="70C16B7E"/>
    <w:rsid w:val="70F26F52"/>
    <w:rsid w:val="70F52EE5"/>
    <w:rsid w:val="70F5336E"/>
    <w:rsid w:val="7101188A"/>
    <w:rsid w:val="71127492"/>
    <w:rsid w:val="711E2C3A"/>
    <w:rsid w:val="713D4851"/>
    <w:rsid w:val="716A69C4"/>
    <w:rsid w:val="717A2348"/>
    <w:rsid w:val="71847896"/>
    <w:rsid w:val="7185216A"/>
    <w:rsid w:val="719608B4"/>
    <w:rsid w:val="719F4A46"/>
    <w:rsid w:val="71A702E8"/>
    <w:rsid w:val="71C03B31"/>
    <w:rsid w:val="71C1726B"/>
    <w:rsid w:val="71E00993"/>
    <w:rsid w:val="72111ADE"/>
    <w:rsid w:val="721455EC"/>
    <w:rsid w:val="721A0A59"/>
    <w:rsid w:val="72260F00"/>
    <w:rsid w:val="723047EA"/>
    <w:rsid w:val="723C2774"/>
    <w:rsid w:val="72404ED3"/>
    <w:rsid w:val="724602D4"/>
    <w:rsid w:val="7246681D"/>
    <w:rsid w:val="72550E1D"/>
    <w:rsid w:val="727C6A0C"/>
    <w:rsid w:val="72881CA5"/>
    <w:rsid w:val="728A3A32"/>
    <w:rsid w:val="728D2001"/>
    <w:rsid w:val="728E472F"/>
    <w:rsid w:val="72990018"/>
    <w:rsid w:val="72B96B82"/>
    <w:rsid w:val="72DE6B0E"/>
    <w:rsid w:val="72E726B8"/>
    <w:rsid w:val="72F552E9"/>
    <w:rsid w:val="72FA757B"/>
    <w:rsid w:val="73025992"/>
    <w:rsid w:val="730C5D29"/>
    <w:rsid w:val="731230D5"/>
    <w:rsid w:val="73171CA3"/>
    <w:rsid w:val="731C4970"/>
    <w:rsid w:val="7332099C"/>
    <w:rsid w:val="733C1525"/>
    <w:rsid w:val="733D1036"/>
    <w:rsid w:val="73402E3C"/>
    <w:rsid w:val="734F7E05"/>
    <w:rsid w:val="73532145"/>
    <w:rsid w:val="73624258"/>
    <w:rsid w:val="736A1415"/>
    <w:rsid w:val="736D5E65"/>
    <w:rsid w:val="73837AD4"/>
    <w:rsid w:val="73860A8E"/>
    <w:rsid w:val="738B7253"/>
    <w:rsid w:val="7395644F"/>
    <w:rsid w:val="73966C01"/>
    <w:rsid w:val="73AC4C34"/>
    <w:rsid w:val="73B01EE8"/>
    <w:rsid w:val="73BB50D7"/>
    <w:rsid w:val="73E12F80"/>
    <w:rsid w:val="73FC5E0F"/>
    <w:rsid w:val="741D6D67"/>
    <w:rsid w:val="742B4E83"/>
    <w:rsid w:val="74523F55"/>
    <w:rsid w:val="745A7E15"/>
    <w:rsid w:val="74750BF1"/>
    <w:rsid w:val="748303AC"/>
    <w:rsid w:val="748E6A55"/>
    <w:rsid w:val="74A94A21"/>
    <w:rsid w:val="74B41233"/>
    <w:rsid w:val="74C154AA"/>
    <w:rsid w:val="74E453EC"/>
    <w:rsid w:val="74EF6FD5"/>
    <w:rsid w:val="74F14AD6"/>
    <w:rsid w:val="74F453B1"/>
    <w:rsid w:val="74F45F1A"/>
    <w:rsid w:val="750C23D0"/>
    <w:rsid w:val="7515134A"/>
    <w:rsid w:val="751B4F9A"/>
    <w:rsid w:val="7521455F"/>
    <w:rsid w:val="752E7064"/>
    <w:rsid w:val="75410DEE"/>
    <w:rsid w:val="75461F61"/>
    <w:rsid w:val="754645EF"/>
    <w:rsid w:val="75464731"/>
    <w:rsid w:val="755B7ABB"/>
    <w:rsid w:val="756904D4"/>
    <w:rsid w:val="756949EA"/>
    <w:rsid w:val="75777D90"/>
    <w:rsid w:val="758A29D2"/>
    <w:rsid w:val="759C1E59"/>
    <w:rsid w:val="75AF40A1"/>
    <w:rsid w:val="75C90BC7"/>
    <w:rsid w:val="75D94B83"/>
    <w:rsid w:val="75E06B2B"/>
    <w:rsid w:val="75F15608"/>
    <w:rsid w:val="760615F5"/>
    <w:rsid w:val="760A7986"/>
    <w:rsid w:val="760D217C"/>
    <w:rsid w:val="761D4A0A"/>
    <w:rsid w:val="76266102"/>
    <w:rsid w:val="76386AEC"/>
    <w:rsid w:val="764566BC"/>
    <w:rsid w:val="7652702D"/>
    <w:rsid w:val="7656089D"/>
    <w:rsid w:val="766A30C6"/>
    <w:rsid w:val="767A0720"/>
    <w:rsid w:val="769604E1"/>
    <w:rsid w:val="769907B6"/>
    <w:rsid w:val="769B62DC"/>
    <w:rsid w:val="76AA4771"/>
    <w:rsid w:val="76C66C9A"/>
    <w:rsid w:val="76DA3126"/>
    <w:rsid w:val="76E05444"/>
    <w:rsid w:val="76E4156F"/>
    <w:rsid w:val="76EE2C2B"/>
    <w:rsid w:val="76F37EC6"/>
    <w:rsid w:val="76F96485"/>
    <w:rsid w:val="77021803"/>
    <w:rsid w:val="770B595E"/>
    <w:rsid w:val="770E10CE"/>
    <w:rsid w:val="771D759E"/>
    <w:rsid w:val="77204731"/>
    <w:rsid w:val="772A0E90"/>
    <w:rsid w:val="773F7AD4"/>
    <w:rsid w:val="774C7410"/>
    <w:rsid w:val="775F555C"/>
    <w:rsid w:val="7789082B"/>
    <w:rsid w:val="77A462BC"/>
    <w:rsid w:val="77AE3DED"/>
    <w:rsid w:val="77D5273D"/>
    <w:rsid w:val="77D575CC"/>
    <w:rsid w:val="77DC2E91"/>
    <w:rsid w:val="77E1036A"/>
    <w:rsid w:val="77E16D2D"/>
    <w:rsid w:val="77F92A75"/>
    <w:rsid w:val="77FC71CE"/>
    <w:rsid w:val="780A4840"/>
    <w:rsid w:val="781157AB"/>
    <w:rsid w:val="78302023"/>
    <w:rsid w:val="78347255"/>
    <w:rsid w:val="7836400B"/>
    <w:rsid w:val="783E3626"/>
    <w:rsid w:val="78605918"/>
    <w:rsid w:val="78614956"/>
    <w:rsid w:val="787212BF"/>
    <w:rsid w:val="78762CE9"/>
    <w:rsid w:val="787F77AA"/>
    <w:rsid w:val="78804EC1"/>
    <w:rsid w:val="788259A6"/>
    <w:rsid w:val="788536D5"/>
    <w:rsid w:val="78856AC9"/>
    <w:rsid w:val="7890281B"/>
    <w:rsid w:val="78942624"/>
    <w:rsid w:val="78A64125"/>
    <w:rsid w:val="78AC2A23"/>
    <w:rsid w:val="78BB6350"/>
    <w:rsid w:val="78C95EA8"/>
    <w:rsid w:val="78D17AE1"/>
    <w:rsid w:val="78D34A88"/>
    <w:rsid w:val="78D41267"/>
    <w:rsid w:val="78D448D7"/>
    <w:rsid w:val="78F07413"/>
    <w:rsid w:val="79092D08"/>
    <w:rsid w:val="791228CE"/>
    <w:rsid w:val="7924080B"/>
    <w:rsid w:val="7926213A"/>
    <w:rsid w:val="79352DB5"/>
    <w:rsid w:val="79370497"/>
    <w:rsid w:val="793F3897"/>
    <w:rsid w:val="79467AE0"/>
    <w:rsid w:val="79492020"/>
    <w:rsid w:val="79552CBC"/>
    <w:rsid w:val="795929DB"/>
    <w:rsid w:val="79605415"/>
    <w:rsid w:val="796729B8"/>
    <w:rsid w:val="79865F57"/>
    <w:rsid w:val="798C015E"/>
    <w:rsid w:val="79932D88"/>
    <w:rsid w:val="799B387F"/>
    <w:rsid w:val="79A43426"/>
    <w:rsid w:val="79A96D6E"/>
    <w:rsid w:val="79B61499"/>
    <w:rsid w:val="79B63A51"/>
    <w:rsid w:val="79BE53D5"/>
    <w:rsid w:val="79C32A15"/>
    <w:rsid w:val="79D43B47"/>
    <w:rsid w:val="7A012FD9"/>
    <w:rsid w:val="7A0348E0"/>
    <w:rsid w:val="7A094CA8"/>
    <w:rsid w:val="7A1B3AB2"/>
    <w:rsid w:val="7A4E6B55"/>
    <w:rsid w:val="7A4F531E"/>
    <w:rsid w:val="7A541A14"/>
    <w:rsid w:val="7A556E34"/>
    <w:rsid w:val="7A5A025C"/>
    <w:rsid w:val="7A5A46FA"/>
    <w:rsid w:val="7A635AF1"/>
    <w:rsid w:val="7A710D6D"/>
    <w:rsid w:val="7A746BCB"/>
    <w:rsid w:val="7A7A16FB"/>
    <w:rsid w:val="7A802579"/>
    <w:rsid w:val="7A8F7F06"/>
    <w:rsid w:val="7A9F6C3B"/>
    <w:rsid w:val="7AB636E5"/>
    <w:rsid w:val="7AD24297"/>
    <w:rsid w:val="7AD34709"/>
    <w:rsid w:val="7ADC404A"/>
    <w:rsid w:val="7AEF644D"/>
    <w:rsid w:val="7AF5153E"/>
    <w:rsid w:val="7AF66379"/>
    <w:rsid w:val="7AFE3A30"/>
    <w:rsid w:val="7B0641D4"/>
    <w:rsid w:val="7B176461"/>
    <w:rsid w:val="7B2008E2"/>
    <w:rsid w:val="7B342DBB"/>
    <w:rsid w:val="7B406801"/>
    <w:rsid w:val="7B426FD5"/>
    <w:rsid w:val="7B4F1153"/>
    <w:rsid w:val="7B583286"/>
    <w:rsid w:val="7B701E52"/>
    <w:rsid w:val="7B81239D"/>
    <w:rsid w:val="7B863AFF"/>
    <w:rsid w:val="7B971768"/>
    <w:rsid w:val="7BAD1A9A"/>
    <w:rsid w:val="7BAE5E76"/>
    <w:rsid w:val="7BB2395C"/>
    <w:rsid w:val="7BBE61FA"/>
    <w:rsid w:val="7BC02BB4"/>
    <w:rsid w:val="7BC225B0"/>
    <w:rsid w:val="7BF23C0D"/>
    <w:rsid w:val="7C07476B"/>
    <w:rsid w:val="7C160D84"/>
    <w:rsid w:val="7C1D1542"/>
    <w:rsid w:val="7C2B3BE6"/>
    <w:rsid w:val="7C2C687E"/>
    <w:rsid w:val="7C3572F9"/>
    <w:rsid w:val="7C444F7A"/>
    <w:rsid w:val="7C492337"/>
    <w:rsid w:val="7C5352BE"/>
    <w:rsid w:val="7C594C70"/>
    <w:rsid w:val="7C684EB3"/>
    <w:rsid w:val="7C8751F2"/>
    <w:rsid w:val="7C8A4D4E"/>
    <w:rsid w:val="7C8F7B03"/>
    <w:rsid w:val="7C917C57"/>
    <w:rsid w:val="7CAC686E"/>
    <w:rsid w:val="7CBB470D"/>
    <w:rsid w:val="7CC12815"/>
    <w:rsid w:val="7CD15FE2"/>
    <w:rsid w:val="7CF60F14"/>
    <w:rsid w:val="7D0F581A"/>
    <w:rsid w:val="7D1633C4"/>
    <w:rsid w:val="7D1B22D9"/>
    <w:rsid w:val="7D230DDA"/>
    <w:rsid w:val="7D273B6C"/>
    <w:rsid w:val="7D486BF5"/>
    <w:rsid w:val="7D580A83"/>
    <w:rsid w:val="7D582ED6"/>
    <w:rsid w:val="7D583F07"/>
    <w:rsid w:val="7D5E0D6E"/>
    <w:rsid w:val="7D67108B"/>
    <w:rsid w:val="7D6A1618"/>
    <w:rsid w:val="7D6F5177"/>
    <w:rsid w:val="7D711741"/>
    <w:rsid w:val="7D9C75F7"/>
    <w:rsid w:val="7DA04BEE"/>
    <w:rsid w:val="7DAB09CB"/>
    <w:rsid w:val="7DAB7598"/>
    <w:rsid w:val="7DB55A23"/>
    <w:rsid w:val="7DC3208B"/>
    <w:rsid w:val="7DC43F53"/>
    <w:rsid w:val="7DFC0275"/>
    <w:rsid w:val="7E082EA4"/>
    <w:rsid w:val="7E095D1B"/>
    <w:rsid w:val="7E0D6B2E"/>
    <w:rsid w:val="7E105A12"/>
    <w:rsid w:val="7E1222FF"/>
    <w:rsid w:val="7E205B95"/>
    <w:rsid w:val="7E264ADE"/>
    <w:rsid w:val="7E3D1576"/>
    <w:rsid w:val="7E3D5ECB"/>
    <w:rsid w:val="7E4075FF"/>
    <w:rsid w:val="7E4B41CA"/>
    <w:rsid w:val="7E652D8C"/>
    <w:rsid w:val="7E7F7368"/>
    <w:rsid w:val="7E821C80"/>
    <w:rsid w:val="7E847C8F"/>
    <w:rsid w:val="7E871208"/>
    <w:rsid w:val="7E896090"/>
    <w:rsid w:val="7E9E696A"/>
    <w:rsid w:val="7EB0669D"/>
    <w:rsid w:val="7EC610A9"/>
    <w:rsid w:val="7EE51709"/>
    <w:rsid w:val="7EE56D8F"/>
    <w:rsid w:val="7EED6843"/>
    <w:rsid w:val="7EF6091E"/>
    <w:rsid w:val="7EFE1AFE"/>
    <w:rsid w:val="7F086CA2"/>
    <w:rsid w:val="7F295501"/>
    <w:rsid w:val="7F2B395A"/>
    <w:rsid w:val="7F454D6C"/>
    <w:rsid w:val="7F4E55A8"/>
    <w:rsid w:val="7F515BAE"/>
    <w:rsid w:val="7F547503"/>
    <w:rsid w:val="7F6712B8"/>
    <w:rsid w:val="7F7153BB"/>
    <w:rsid w:val="7FB71774"/>
    <w:rsid w:val="7FCF47E4"/>
    <w:rsid w:val="7FD83A94"/>
    <w:rsid w:val="7FEF2C78"/>
    <w:rsid w:val="7FF56CA4"/>
    <w:rsid w:val="7FFA6E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uiPriority w:val="0"/>
    <w:pPr>
      <w:keepNext/>
      <w:keepLines/>
      <w:outlineLvl w:val="0"/>
    </w:pPr>
    <w:rPr>
      <w:b/>
      <w:kern w:val="44"/>
      <w:sz w:val="32"/>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ind w:firstLine="420" w:firstLineChars="200"/>
    </w:pPr>
    <w:rPr>
      <w:sz w:val="21"/>
    </w:rPr>
  </w:style>
  <w:style w:type="paragraph" w:styleId="5">
    <w:name w:val="annotation text"/>
    <w:basedOn w:val="1"/>
    <w:link w:val="53"/>
    <w:semiHidden/>
    <w:qFormat/>
    <w:uiPriority w:val="0"/>
    <w:pPr>
      <w:jc w:val="left"/>
    </w:pPr>
  </w:style>
  <w:style w:type="paragraph" w:styleId="6">
    <w:name w:val="Body Text"/>
    <w:basedOn w:val="1"/>
    <w:next w:val="1"/>
    <w:qFormat/>
    <w:uiPriority w:val="0"/>
    <w:pPr>
      <w:widowControl/>
      <w:snapToGrid w:val="0"/>
      <w:spacing w:before="60" w:after="160" w:line="259" w:lineRule="auto"/>
      <w:ind w:right="113"/>
    </w:pPr>
    <w:rPr>
      <w:kern w:val="0"/>
      <w:sz w:val="18"/>
      <w:szCs w:val="20"/>
    </w:rPr>
  </w:style>
  <w:style w:type="paragraph" w:styleId="7">
    <w:name w:val="Body Text Indent"/>
    <w:basedOn w:val="1"/>
    <w:next w:val="8"/>
    <w:qFormat/>
    <w:uiPriority w:val="0"/>
    <w:pPr>
      <w:spacing w:after="120"/>
      <w:ind w:left="420" w:leftChars="200"/>
    </w:pPr>
    <w:rPr>
      <w:kern w:val="0"/>
    </w:rPr>
  </w:style>
  <w:style w:type="paragraph" w:styleId="8">
    <w:name w:val="Body Text Indent 2"/>
    <w:basedOn w:val="1"/>
    <w:next w:val="1"/>
    <w:qFormat/>
    <w:uiPriority w:val="0"/>
    <w:pPr>
      <w:spacing w:after="120" w:line="480" w:lineRule="auto"/>
      <w:ind w:left="420" w:leftChars="200"/>
    </w:pPr>
    <w:rPr>
      <w:rFonts w:ascii="等线" w:hAnsi="等线" w:eastAsia="等线"/>
      <w:szCs w:val="22"/>
    </w:rPr>
  </w:style>
  <w:style w:type="paragraph" w:styleId="9">
    <w:name w:val="Balloon Text"/>
    <w:basedOn w:val="1"/>
    <w:link w:val="52"/>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List"/>
    <w:basedOn w:val="1"/>
    <w:qFormat/>
    <w:uiPriority w:val="0"/>
    <w:pPr>
      <w:ind w:left="200" w:hanging="200" w:hangingChars="200"/>
    </w:pPr>
  </w:style>
  <w:style w:type="paragraph" w:styleId="14">
    <w:name w:val="Normal (Web)"/>
    <w:basedOn w:val="1"/>
    <w:qFormat/>
    <w:uiPriority w:val="0"/>
    <w:pPr>
      <w:widowControl/>
      <w:spacing w:before="100" w:beforeAutospacing="1" w:after="100" w:afterAutospacing="1"/>
      <w:jc w:val="left"/>
    </w:pPr>
    <w:rPr>
      <w:rFonts w:ascii="宋体" w:hAnsi="宋体"/>
      <w:kern w:val="0"/>
    </w:rPr>
  </w:style>
  <w:style w:type="paragraph" w:styleId="15">
    <w:name w:val="Title"/>
    <w:basedOn w:val="1"/>
    <w:next w:val="1"/>
    <w:qFormat/>
    <w:uiPriority w:val="0"/>
    <w:pPr>
      <w:spacing w:before="156" w:beforeLines="50" w:after="156" w:afterLines="50"/>
      <w:outlineLvl w:val="0"/>
    </w:pPr>
    <w:rPr>
      <w:b/>
      <w:kern w:val="0"/>
      <w:sz w:val="36"/>
    </w:rPr>
  </w:style>
  <w:style w:type="paragraph" w:styleId="16">
    <w:name w:val="annotation subject"/>
    <w:basedOn w:val="5"/>
    <w:next w:val="5"/>
    <w:link w:val="54"/>
    <w:qFormat/>
    <w:uiPriority w:val="0"/>
    <w:rPr>
      <w:b/>
      <w:bCs/>
    </w:rPr>
  </w:style>
  <w:style w:type="paragraph" w:styleId="17">
    <w:name w:val="Body Text First Indent"/>
    <w:basedOn w:val="6"/>
    <w:next w:val="6"/>
    <w:unhideWhenUsed/>
    <w:qFormat/>
    <w:uiPriority w:val="0"/>
    <w:pPr>
      <w:ind w:firstLine="420" w:firstLineChars="100"/>
    </w:pPr>
    <w:rPr>
      <w:sz w:val="24"/>
      <w:szCs w:val="21"/>
    </w:rPr>
  </w:style>
  <w:style w:type="paragraph" w:styleId="18">
    <w:name w:val="Body Text First Indent 2"/>
    <w:basedOn w:val="7"/>
    <w:next w:val="1"/>
    <w:unhideWhenUsed/>
    <w:qFormat/>
    <w:uiPriority w:val="0"/>
    <w:pPr>
      <w:spacing w:line="312" w:lineRule="atLeast"/>
      <w:ind w:firstLine="210"/>
    </w:pPr>
    <w:rPr>
      <w:rFonts w:hint="eastAsia" w:ascii="仿宋_GB2312" w:eastAsia="仿宋_GB2312"/>
      <w:sz w:val="28"/>
      <w:szCs w:val="21"/>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Hyperlink"/>
    <w:basedOn w:val="21"/>
    <w:qFormat/>
    <w:uiPriority w:val="99"/>
    <w:rPr>
      <w:color w:val="0000FF"/>
      <w:u w:val="single"/>
    </w:rPr>
  </w:style>
  <w:style w:type="character" w:styleId="24">
    <w:name w:val="annotation reference"/>
    <w:basedOn w:val="21"/>
    <w:semiHidden/>
    <w:qFormat/>
    <w:uiPriority w:val="0"/>
    <w:rPr>
      <w:sz w:val="21"/>
    </w:rPr>
  </w:style>
  <w:style w:type="paragraph" w:customStyle="1" w:styleId="25">
    <w:name w:val="表格内容"/>
    <w:basedOn w:val="26"/>
    <w:qFormat/>
    <w:uiPriority w:val="0"/>
    <w:pPr>
      <w:spacing w:line="240" w:lineRule="atLeast"/>
      <w:ind w:right="-86" w:rightChars="-36"/>
      <w:jc w:val="center"/>
    </w:pPr>
    <w:rPr>
      <w:szCs w:val="21"/>
    </w:rPr>
  </w:style>
  <w:style w:type="paragraph" w:customStyle="1" w:styleId="26">
    <w:name w:val="1-正文"/>
    <w:basedOn w:val="1"/>
    <w:qFormat/>
    <w:uiPriority w:val="0"/>
    <w:pPr>
      <w:autoSpaceDE w:val="0"/>
      <w:autoSpaceDN w:val="0"/>
      <w:adjustRightInd w:val="0"/>
      <w:snapToGrid w:val="0"/>
      <w:spacing w:line="360" w:lineRule="auto"/>
      <w:ind w:firstLine="200" w:firstLineChars="200"/>
    </w:pPr>
    <w:rPr>
      <w:kern w:val="0"/>
    </w:rPr>
  </w:style>
  <w:style w:type="paragraph" w:customStyle="1" w:styleId="27">
    <w:name w:val="表格，内容"/>
    <w:basedOn w:val="1"/>
    <w:next w:val="1"/>
    <w:qFormat/>
    <w:uiPriority w:val="0"/>
    <w:pPr>
      <w:jc w:val="center"/>
    </w:pPr>
    <w:rPr>
      <w:spacing w:val="10"/>
      <w:kern w:val="44"/>
    </w:rPr>
  </w:style>
  <w:style w:type="paragraph" w:customStyle="1" w:styleId="28">
    <w:name w:val="正正文"/>
    <w:basedOn w:val="1"/>
    <w:qFormat/>
    <w:uiPriority w:val="0"/>
    <w:pPr>
      <w:autoSpaceDE w:val="0"/>
      <w:autoSpaceDN w:val="0"/>
      <w:adjustRightInd w:val="0"/>
      <w:snapToGrid w:val="0"/>
      <w:spacing w:line="360" w:lineRule="exact"/>
      <w:ind w:firstLine="420" w:firstLineChars="200"/>
    </w:pPr>
    <w:rPr>
      <w:rFonts w:cs="宋体"/>
      <w:kern w:val="0"/>
      <w:szCs w:val="21"/>
    </w:rPr>
  </w:style>
  <w:style w:type="paragraph" w:customStyle="1" w:styleId="29">
    <w:name w:val="表中文字"/>
    <w:qFormat/>
    <w:uiPriority w:val="0"/>
    <w:pPr>
      <w:snapToGrid w:val="0"/>
      <w:jc w:val="center"/>
    </w:pPr>
    <w:rPr>
      <w:rFonts w:ascii="Calibri" w:hAnsi="Calibri" w:eastAsia="宋体" w:cs="Times New Roman"/>
      <w:kern w:val="2"/>
      <w:sz w:val="21"/>
      <w:szCs w:val="21"/>
      <w:lang w:val="en-US" w:eastAsia="zh-CN" w:bidi="ar-SA"/>
    </w:rPr>
  </w:style>
  <w:style w:type="character" w:customStyle="1" w:styleId="30">
    <w:name w:val="font21"/>
    <w:basedOn w:val="21"/>
    <w:qFormat/>
    <w:uiPriority w:val="0"/>
    <w:rPr>
      <w:rFonts w:hint="eastAsia" w:ascii="Times New Roman" w:hAnsi="Times New Roman" w:cs="Times New Roman"/>
      <w:b/>
      <w:color w:val="000000"/>
      <w:sz w:val="21"/>
      <w:szCs w:val="21"/>
      <w:u w:val="none"/>
      <w:vertAlign w:val="superscript"/>
    </w:rPr>
  </w:style>
  <w:style w:type="paragraph" w:customStyle="1" w:styleId="31">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32">
    <w:name w:val="1表格正文"/>
    <w:basedOn w:val="1"/>
    <w:qFormat/>
    <w:uiPriority w:val="0"/>
    <w:pPr>
      <w:adjustRightInd w:val="0"/>
      <w:snapToGrid w:val="0"/>
      <w:jc w:val="center"/>
    </w:pPr>
    <w:rPr>
      <w:sz w:val="21"/>
      <w:szCs w:val="20"/>
    </w:rPr>
  </w:style>
  <w:style w:type="paragraph" w:customStyle="1" w:styleId="33">
    <w:name w:val="表格-小五"/>
    <w:qFormat/>
    <w:uiPriority w:val="0"/>
    <w:pPr>
      <w:adjustRightInd w:val="0"/>
      <w:snapToGrid w:val="0"/>
      <w:jc w:val="center"/>
      <w:textAlignment w:val="center"/>
    </w:pPr>
    <w:rPr>
      <w:rFonts w:ascii="Times New Roman" w:hAnsi="Times New Roman" w:eastAsia="宋体" w:cs="Times New Roman"/>
      <w:sz w:val="18"/>
      <w:szCs w:val="21"/>
      <w:lang w:val="en-US" w:eastAsia="zh-CN" w:bidi="ar-SA"/>
    </w:rPr>
  </w:style>
  <w:style w:type="paragraph" w:customStyle="1" w:styleId="34">
    <w:name w:val="表内内容"/>
    <w:qFormat/>
    <w:uiPriority w:val="0"/>
    <w:pPr>
      <w:widowControl w:val="0"/>
      <w:jc w:val="center"/>
    </w:pPr>
    <w:rPr>
      <w:rFonts w:ascii="Times New Roman" w:hAnsi="Times New Roman" w:eastAsia="宋体" w:cs="宋体"/>
      <w:kern w:val="2"/>
      <w:sz w:val="21"/>
      <w:szCs w:val="21"/>
      <w:lang w:val="en-US" w:eastAsia="zh-CN" w:bidi="ar-SA"/>
    </w:rPr>
  </w:style>
  <w:style w:type="paragraph" w:customStyle="1" w:styleId="35">
    <w:name w:val="0表格正文"/>
    <w:qFormat/>
    <w:uiPriority w:val="0"/>
    <w:pPr>
      <w:jc w:val="center"/>
    </w:pPr>
    <w:rPr>
      <w:rFonts w:ascii="Times New Roman" w:hAnsi="Times New Roman" w:eastAsia="宋体" w:cs="Times New Roman"/>
      <w:sz w:val="21"/>
      <w:szCs w:val="21"/>
      <w:lang w:val="en-US" w:eastAsia="zh-CN" w:bidi="ar-SA"/>
    </w:rPr>
  </w:style>
  <w:style w:type="paragraph" w:customStyle="1" w:styleId="36">
    <w:name w:val="11111111111"/>
    <w:qFormat/>
    <w:uiPriority w:val="0"/>
    <w:pPr>
      <w:widowControl w:val="0"/>
      <w:spacing w:line="480" w:lineRule="exact"/>
      <w:jc w:val="center"/>
    </w:pPr>
    <w:rPr>
      <w:rFonts w:ascii="Calibri" w:hAnsi="Calibri" w:eastAsia="宋体" w:cs="Times New Roman"/>
      <w:b/>
      <w:lang w:val="en-US" w:eastAsia="zh-CN" w:bidi="ar-SA"/>
    </w:rPr>
  </w:style>
  <w:style w:type="paragraph" w:customStyle="1" w:styleId="37">
    <w:name w:val="样式 我的正文 + 首行缩进:  2 字符 行距: 固定值 24 磅"/>
    <w:basedOn w:val="38"/>
    <w:qFormat/>
    <w:uiPriority w:val="0"/>
    <w:pPr>
      <w:spacing w:line="480" w:lineRule="exact"/>
      <w:ind w:firstLine="200" w:firstLineChars="200"/>
    </w:pPr>
    <w:rPr>
      <w:rFonts w:cs="宋体"/>
      <w:snapToGrid w:val="0"/>
      <w:kern w:val="0"/>
      <w:szCs w:val="28"/>
    </w:rPr>
  </w:style>
  <w:style w:type="paragraph" w:customStyle="1" w:styleId="38">
    <w:name w:val="我的正文"/>
    <w:basedOn w:val="1"/>
    <w:qFormat/>
    <w:uiPriority w:val="0"/>
    <w:pPr>
      <w:spacing w:line="560" w:lineRule="exact"/>
      <w:ind w:firstLine="538"/>
    </w:pPr>
    <w:rPr>
      <w:sz w:val="28"/>
      <w:szCs w:val="20"/>
    </w:rPr>
  </w:style>
  <w:style w:type="paragraph" w:customStyle="1" w:styleId="39">
    <w:name w:val="表格"/>
    <w:basedOn w:val="13"/>
    <w:next w:val="1"/>
    <w:qFormat/>
    <w:uiPriority w:val="0"/>
    <w:pPr>
      <w:adjustRightInd w:val="0"/>
      <w:snapToGrid w:val="0"/>
      <w:spacing w:beforeLines="10" w:afterLines="10" w:line="259" w:lineRule="auto"/>
      <w:jc w:val="center"/>
    </w:pPr>
    <w:rPr>
      <w:rFonts w:ascii="宋体"/>
      <w:kern w:val="0"/>
      <w:sz w:val="20"/>
      <w:szCs w:val="21"/>
    </w:rPr>
  </w:style>
  <w:style w:type="paragraph" w:customStyle="1" w:styleId="40">
    <w:name w:val="纯文本_1_0"/>
    <w:basedOn w:val="1"/>
    <w:unhideWhenUsed/>
    <w:qFormat/>
    <w:uiPriority w:val="0"/>
    <w:rPr>
      <w:rFonts w:hint="eastAsia" w:ascii="宋体" w:hAnsi="Courier New"/>
    </w:rPr>
  </w:style>
  <w:style w:type="paragraph" w:customStyle="1" w:styleId="41">
    <w:name w:val="表格文字居中"/>
    <w:basedOn w:val="1"/>
    <w:next w:val="1"/>
    <w:qFormat/>
    <w:uiPriority w:val="0"/>
    <w:pPr>
      <w:tabs>
        <w:tab w:val="left" w:pos="5412"/>
      </w:tabs>
      <w:adjustRightInd w:val="0"/>
      <w:snapToGrid w:val="0"/>
      <w:jc w:val="center"/>
      <w:textAlignment w:val="center"/>
    </w:pPr>
    <w:rPr>
      <w:rFonts w:ascii="宋体"/>
      <w:kern w:val="0"/>
      <w:sz w:val="20"/>
      <w:szCs w:val="21"/>
    </w:rPr>
  </w:style>
  <w:style w:type="paragraph" w:customStyle="1" w:styleId="42">
    <w:name w:val="Table Text"/>
    <w:basedOn w:val="1"/>
    <w:semiHidden/>
    <w:qFormat/>
    <w:uiPriority w:val="0"/>
    <w:rPr>
      <w:rFonts w:eastAsia="Times New Roman"/>
      <w:lang w:eastAsia="en-US"/>
    </w:rPr>
  </w:style>
  <w:style w:type="character" w:customStyle="1" w:styleId="43">
    <w:name w:val="font11"/>
    <w:basedOn w:val="21"/>
    <w:qFormat/>
    <w:uiPriority w:val="0"/>
    <w:rPr>
      <w:rFonts w:hint="eastAsia" w:ascii="宋体" w:hAnsi="宋体" w:eastAsia="宋体" w:cs="宋体"/>
      <w:b/>
      <w:bCs/>
      <w:color w:val="000000"/>
      <w:sz w:val="28"/>
      <w:szCs w:val="28"/>
      <w:u w:val="none"/>
    </w:rPr>
  </w:style>
  <w:style w:type="character" w:customStyle="1" w:styleId="44">
    <w:name w:val="font51"/>
    <w:basedOn w:val="21"/>
    <w:qFormat/>
    <w:uiPriority w:val="0"/>
    <w:rPr>
      <w:rFonts w:hint="default" w:ascii="Times New Roman" w:hAnsi="Times New Roman" w:cs="Times New Roman"/>
      <w:b/>
      <w:bCs/>
      <w:color w:val="000000"/>
      <w:sz w:val="28"/>
      <w:szCs w:val="28"/>
      <w:u w:val="none"/>
    </w:rPr>
  </w:style>
  <w:style w:type="character" w:customStyle="1" w:styleId="45">
    <w:name w:val="font61"/>
    <w:basedOn w:val="21"/>
    <w:qFormat/>
    <w:uiPriority w:val="0"/>
    <w:rPr>
      <w:rFonts w:hint="default" w:ascii="Times New Roman" w:hAnsi="Times New Roman" w:cs="Times New Roman"/>
      <w:b/>
      <w:bCs/>
      <w:color w:val="000000"/>
      <w:sz w:val="28"/>
      <w:szCs w:val="28"/>
      <w:u w:val="none"/>
      <w:vertAlign w:val="superscript"/>
    </w:rPr>
  </w:style>
  <w:style w:type="character" w:customStyle="1" w:styleId="46">
    <w:name w:val="font71"/>
    <w:basedOn w:val="21"/>
    <w:qFormat/>
    <w:uiPriority w:val="0"/>
    <w:rPr>
      <w:rFonts w:hint="eastAsia" w:ascii="宋体" w:hAnsi="宋体" w:eastAsia="宋体" w:cs="宋体"/>
      <w:b/>
      <w:bCs/>
      <w:color w:val="000000"/>
      <w:sz w:val="21"/>
      <w:szCs w:val="21"/>
      <w:u w:val="none"/>
    </w:rPr>
  </w:style>
  <w:style w:type="character" w:customStyle="1" w:styleId="47">
    <w:name w:val="font81"/>
    <w:basedOn w:val="21"/>
    <w:qFormat/>
    <w:uiPriority w:val="0"/>
    <w:rPr>
      <w:rFonts w:hint="default" w:ascii="Times New Roman" w:hAnsi="Times New Roman" w:cs="Times New Roman"/>
      <w:b/>
      <w:bCs/>
      <w:color w:val="000000"/>
      <w:sz w:val="21"/>
      <w:szCs w:val="21"/>
      <w:u w:val="none"/>
    </w:rPr>
  </w:style>
  <w:style w:type="character" w:customStyle="1" w:styleId="48">
    <w:name w:val="font91"/>
    <w:basedOn w:val="21"/>
    <w:qFormat/>
    <w:uiPriority w:val="0"/>
    <w:rPr>
      <w:rFonts w:hint="default" w:ascii="Times New Roman" w:hAnsi="Times New Roman" w:cs="Times New Roman"/>
      <w:b/>
      <w:bCs/>
      <w:color w:val="000000"/>
      <w:sz w:val="21"/>
      <w:szCs w:val="21"/>
      <w:u w:val="none"/>
      <w:vertAlign w:val="superscript"/>
    </w:rPr>
  </w:style>
  <w:style w:type="character" w:customStyle="1" w:styleId="49">
    <w:name w:val="font41"/>
    <w:basedOn w:val="21"/>
    <w:qFormat/>
    <w:uiPriority w:val="0"/>
    <w:rPr>
      <w:rFonts w:hint="eastAsia" w:ascii="宋体" w:hAnsi="宋体" w:eastAsia="宋体" w:cs="宋体"/>
      <w:color w:val="000000"/>
      <w:sz w:val="28"/>
      <w:szCs w:val="28"/>
      <w:u w:val="none"/>
    </w:rPr>
  </w:style>
  <w:style w:type="paragraph" w:styleId="50">
    <w:name w:val="List Paragraph"/>
    <w:basedOn w:val="1"/>
    <w:qFormat/>
    <w:uiPriority w:val="99"/>
    <w:pPr>
      <w:ind w:firstLine="420" w:firstLineChars="200"/>
    </w:pPr>
  </w:style>
  <w:style w:type="paragraph" w:customStyle="1" w:styleId="51">
    <w:name w:val="样式 正文文本 + 首行缩进:  0.99 厘米"/>
    <w:qFormat/>
    <w:uiPriority w:val="0"/>
    <w:pPr>
      <w:widowControl w:val="0"/>
      <w:spacing w:line="540" w:lineRule="exact"/>
      <w:ind w:right="120" w:firstLine="560" w:firstLineChars="200"/>
      <w:jc w:val="both"/>
    </w:pPr>
    <w:rPr>
      <w:rFonts w:ascii="Times New Roman" w:hAnsi="Times New Roman" w:eastAsia="宋体" w:cs="宋体"/>
      <w:kern w:val="2"/>
      <w:sz w:val="28"/>
      <w:szCs w:val="28"/>
      <w:lang w:val="en-US" w:eastAsia="zh-CN" w:bidi="ar-SA"/>
    </w:rPr>
  </w:style>
  <w:style w:type="character" w:customStyle="1" w:styleId="52">
    <w:name w:val="批注框文本 字符"/>
    <w:basedOn w:val="21"/>
    <w:link w:val="9"/>
    <w:qFormat/>
    <w:uiPriority w:val="0"/>
    <w:rPr>
      <w:kern w:val="2"/>
      <w:sz w:val="18"/>
      <w:szCs w:val="18"/>
    </w:rPr>
  </w:style>
  <w:style w:type="character" w:customStyle="1" w:styleId="53">
    <w:name w:val="批注文字 字符"/>
    <w:basedOn w:val="21"/>
    <w:link w:val="5"/>
    <w:semiHidden/>
    <w:qFormat/>
    <w:uiPriority w:val="0"/>
    <w:rPr>
      <w:kern w:val="2"/>
      <w:sz w:val="24"/>
      <w:szCs w:val="24"/>
    </w:rPr>
  </w:style>
  <w:style w:type="character" w:customStyle="1" w:styleId="54">
    <w:name w:val="批注主题 字符"/>
    <w:basedOn w:val="53"/>
    <w:link w:val="16"/>
    <w:qFormat/>
    <w:uiPriority w:val="0"/>
    <w:rPr>
      <w:b/>
      <w:bCs/>
      <w:kern w:val="2"/>
      <w:sz w:val="24"/>
      <w:szCs w:val="24"/>
    </w:rPr>
  </w:style>
  <w:style w:type="paragraph" w:customStyle="1" w:styleId="55">
    <w:name w:val="修订1"/>
    <w:hidden/>
    <w:semiHidden/>
    <w:qFormat/>
    <w:uiPriority w:val="99"/>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wmf"/><Relationship Id="rId21" Type="http://schemas.openxmlformats.org/officeDocument/2006/relationships/oleObject" Target="embeddings/oleObject2.bin"/><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wmf"/><Relationship Id="rId18" Type="http://schemas.openxmlformats.org/officeDocument/2006/relationships/oleObject" Target="embeddings/oleObject1.bin"/><Relationship Id="rId17" Type="http://schemas.openxmlformats.org/officeDocument/2006/relationships/image" Target="media/image10.pn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388371-20F3-43E1-AA98-C43CB5C4A648}">
  <ds:schemaRefs/>
</ds:datastoreItem>
</file>

<file path=docProps/app.xml><?xml version="1.0" encoding="utf-8"?>
<Properties xmlns="http://schemas.openxmlformats.org/officeDocument/2006/extended-properties" xmlns:vt="http://schemas.openxmlformats.org/officeDocument/2006/docPropsVTypes">
  <Template>Normal</Template>
  <Company>DoubleOX</Company>
  <Pages>110</Pages>
  <Words>613</Words>
  <Characters>660</Characters>
  <Lines>593</Lines>
  <Paragraphs>167</Paragraphs>
  <TotalTime>2</TotalTime>
  <ScaleCrop>false</ScaleCrop>
  <LinksUpToDate>false</LinksUpToDate>
  <CharactersWithSpaces>736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2026-09-06T14:34:00Z</dcterms:created>
  <dc:creator>Administrator</dc:creator>
  <cp:lastModifiedBy>Administrator</cp:lastModifiedBy>
  <dcterms:modified xsi:type="dcterms:W3CDTF">2026-09-30T03:36:14Z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eyJoZGlkIjoiNWNkNWJkODc0OTY2YWUwOTQyMDkxMmQ0MDQ0NTM3ZDQifQ==</vt:lpwstr>
  </property>
  <property fmtid="{D5CDD505-2E9C-101B-9397-08002B2CF9AE}" pid="4" name="ICV">
    <vt:lpwstr>5162079013ED447C883E01D02A9E4925_13</vt:lpwstr>
  </property>
</Properties>
</file>