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w:t>
      </w:r>
    </w:p>
    <w:p>
      <w:pPr>
        <w:keepNext w:val="0"/>
        <w:keepLines w:val="0"/>
        <w:pageBreakBefore w:val="0"/>
        <w:shd w:val="clear"/>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eastAsia" w:eastAsia="方正小标宋简体" w:cs="Times New Roman"/>
          <w:color w:val="000000" w:themeColor="text1"/>
          <w:sz w:val="44"/>
          <w:szCs w:val="44"/>
          <w:highlight w:val="none"/>
          <w:lang w:val="en-US" w:eastAsia="zh-CN"/>
          <w14:textFill>
            <w14:solidFill>
              <w14:schemeClr w14:val="tx1"/>
            </w14:solidFill>
          </w14:textFill>
        </w:rPr>
        <w:t>203中共融水苗族自治县委员会党史县志研究室</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2023年部门</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203</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中共融水苗族自治县委员会党史县志研究室</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203</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中共融水苗族自治县委员会党史县志研究室2023年部门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203</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中共融水苗族自治县委员会党史县志研究室</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Style w:val="8"/>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203</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中共融水苗族自治县委员会党史县志研究室概况</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eastAsia" w:ascii="Times New Roman" w:hAnsi="Times New Roman" w:eastAsia="楷体_GB2312" w:cs="Times New Roman"/>
          <w:b/>
          <w:bCs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楷体_GB2312" w:cs="Times New Roman"/>
          <w:b/>
          <w:bCs w:val="0"/>
          <w:color w:val="000000" w:themeColor="text1"/>
          <w:kern w:val="0"/>
          <w:sz w:val="32"/>
          <w:szCs w:val="32"/>
          <w:highlight w:val="none"/>
          <w:lang w:val="en-US" w:eastAsia="zh-CN" w:bidi="ar-SA"/>
          <w14:textFill>
            <w14:solidFill>
              <w14:schemeClr w14:val="tx1"/>
            </w14:solidFill>
          </w14:textFill>
        </w:rPr>
        <w:t>（一）基本职能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1.贯彻落实中央、自治区、柳州市及县委关于党史、县</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志工作的方针政策和工作部署，坚持和加强党对党史、县志工作的集中统一领导。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2.拟订全县党史、县志工作规划，负责地方党史、县志、</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年鉴资料的征集、整理和研究工作。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3.负责组织实施地方党史基本著作、地方志书、地方年鉴和地情资料的编纂出版工作。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4.做好史志成果转化和运用工作，负责史志宣传教育和党史教育基地的建设和管理工作，充分发挥存史、资政、育人的作用，为社会主义精神文明和物质文明建设服务。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5.负责党史、县志的公共事务管理，指导各部门志、乡镇志、村志等的编修工作。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6.完成上级业务部门部署的史志研究及县情相关资料等供稿任务。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楷体_GB2312" w:cs="Times New Roman"/>
          <w:b/>
          <w:bCs w:val="0"/>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sz w:val="32"/>
          <w:szCs w:val="32"/>
          <w:lang w:val="en-US" w:eastAsia="zh-CN"/>
        </w:rPr>
        <w:t>7.完成县委、县人民政府交办的其他任务。</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eastAsia" w:ascii="Times New Roman" w:hAnsi="Times New Roman" w:eastAsia="楷体_GB2312" w:cs="Times New Roman"/>
          <w:b/>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val="0"/>
          <w:color w:val="000000" w:themeColor="text1"/>
          <w:kern w:val="0"/>
          <w:sz w:val="32"/>
          <w:szCs w:val="32"/>
          <w:highlight w:val="none"/>
          <w:lang w:val="en-US" w:eastAsia="zh-CN" w:bidi="ar-SA"/>
          <w14:textFill>
            <w14:solidFill>
              <w14:schemeClr w14:val="tx1"/>
            </w14:solidFill>
          </w14:textFill>
        </w:rPr>
        <w:t>（二）</w:t>
      </w:r>
      <w:r>
        <w:rPr>
          <w:rFonts w:hint="eastAsia" w:ascii="Times New Roman" w:hAnsi="Times New Roman" w:eastAsia="楷体_GB2312" w:cs="Times New Roman"/>
          <w:b/>
          <w:bCs w:val="0"/>
          <w:color w:val="000000" w:themeColor="text1"/>
          <w:kern w:val="0"/>
          <w:sz w:val="32"/>
          <w:szCs w:val="32"/>
          <w:highlight w:val="none"/>
          <w:lang w:val="en-US" w:eastAsia="zh-CN" w:bidi="ar-SA"/>
          <w14:textFill>
            <w14:solidFill>
              <w14:schemeClr w14:val="tx1"/>
            </w14:solidFill>
          </w14:textFill>
        </w:rPr>
        <w:t>2023年度主要工作目标任务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及时组织全室工作人员及退休老党员学习贯彻落实党的二十大精神。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继续与组织汇报工作，再争取专业人员进入充实，优化队伍建设。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全力以赴，继续抓好《中国共产党融</w:t>
      </w:r>
      <w:bookmarkStart w:id="0" w:name="_GoBack"/>
      <w:bookmarkEnd w:id="0"/>
      <w:r>
        <w:rPr>
          <w:rFonts w:hint="eastAsia" w:ascii="仿宋" w:hAnsi="仿宋" w:eastAsia="仿宋" w:cs="仿宋"/>
          <w:sz w:val="32"/>
          <w:szCs w:val="32"/>
        </w:rPr>
        <w:t>水历史》二卷、《融水年鉴・202</w:t>
      </w:r>
      <w:r>
        <w:rPr>
          <w:rFonts w:hint="eastAsia" w:ascii="仿宋" w:hAnsi="仿宋" w:eastAsia="仿宋" w:cs="仿宋"/>
          <w:sz w:val="32"/>
          <w:szCs w:val="32"/>
          <w:lang w:val="en-US" w:eastAsia="zh-CN"/>
        </w:rPr>
        <w:t>2</w:t>
      </w:r>
      <w:r>
        <w:rPr>
          <w:rFonts w:hint="eastAsia" w:ascii="仿宋" w:hAnsi="仿宋" w:eastAsia="仿宋" w:cs="仿宋"/>
          <w:sz w:val="32"/>
          <w:szCs w:val="32"/>
        </w:rPr>
        <w:t>》编修出版，</w:t>
      </w:r>
      <w:r>
        <w:rPr>
          <w:rFonts w:hint="eastAsia" w:ascii="仿宋_GB2312" w:hAnsi="Times New Roman" w:eastAsia="仿宋_GB2312" w:cs="Times New Roman"/>
          <w:bCs/>
          <w:color w:val="auto"/>
          <w:sz w:val="30"/>
          <w:szCs w:val="30"/>
          <w:highlight w:val="none"/>
        </w:rPr>
        <w:t>全面启动《融水年鉴·202</w:t>
      </w:r>
      <w:r>
        <w:rPr>
          <w:rFonts w:hint="eastAsia" w:ascii="仿宋_GB2312" w:hAnsi="Times New Roman" w:eastAsia="仿宋_GB2312" w:cs="Times New Roman"/>
          <w:bCs/>
          <w:color w:val="auto"/>
          <w:sz w:val="30"/>
          <w:szCs w:val="30"/>
          <w:highlight w:val="none"/>
          <w:lang w:val="en-US" w:eastAsia="zh-CN"/>
        </w:rPr>
        <w:t>3</w:t>
      </w:r>
      <w:r>
        <w:rPr>
          <w:rFonts w:hint="eastAsia" w:ascii="仿宋_GB2312" w:hAnsi="Times New Roman" w:eastAsia="仿宋_GB2312" w:cs="Times New Roman"/>
          <w:bCs/>
          <w:color w:val="auto"/>
          <w:sz w:val="30"/>
          <w:szCs w:val="30"/>
          <w:highlight w:val="none"/>
        </w:rPr>
        <w:t>》资料征集和编写工作</w:t>
      </w:r>
      <w:r>
        <w:rPr>
          <w:rFonts w:hint="eastAsia" w:ascii="仿宋_GB2312" w:hAnsi="Times New Roman" w:eastAsia="仿宋_GB2312" w:cs="Times New Roman"/>
          <w:bCs/>
          <w:color w:val="auto"/>
          <w:sz w:val="30"/>
          <w:szCs w:val="30"/>
          <w:highlight w:val="none"/>
          <w:lang w:eastAsia="zh-CN"/>
        </w:rPr>
        <w:t>，</w:t>
      </w:r>
      <w:r>
        <w:rPr>
          <w:rFonts w:hint="eastAsia" w:ascii="仿宋" w:hAnsi="仿宋" w:eastAsia="仿宋" w:cs="仿宋"/>
          <w:sz w:val="32"/>
          <w:szCs w:val="32"/>
        </w:rPr>
        <w:t>组织做好《中国共产党融水历史（1979-2012）》（第三卷）资料收集和编写工作，编纂《融水苗族自治县志》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1996-2005年）</w:t>
      </w:r>
      <w:r>
        <w:rPr>
          <w:rFonts w:hint="eastAsia" w:ascii="仿宋" w:hAnsi="仿宋" w:eastAsia="仿宋" w:cs="仿宋"/>
          <w:sz w:val="32"/>
          <w:szCs w:val="32"/>
        </w:rPr>
        <w:t>续修工作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启动</w:t>
      </w:r>
      <w:r>
        <w:rPr>
          <w:rFonts w:hint="eastAsia" w:ascii="仿宋" w:hAnsi="仿宋" w:eastAsia="仿宋" w:cs="仿宋"/>
          <w:sz w:val="32"/>
          <w:szCs w:val="32"/>
        </w:rPr>
        <w:t>编纂《融水苗族自治县志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2006—2025</w:t>
      </w:r>
      <w:r>
        <w:rPr>
          <w:rFonts w:hint="eastAsia" w:ascii="仿宋" w:hAnsi="仿宋" w:eastAsia="仿宋" w:cs="仿宋"/>
          <w:sz w:val="32"/>
          <w:szCs w:val="32"/>
          <w:lang w:eastAsia="zh-CN"/>
        </w:rPr>
        <w:t>）</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rPr>
        <w:t>正常开展《融水大事摘编》编写出版。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结合本县丰富的红色资源，常抓“党史学习教育”，促使其常态化长效化地开展。同时，根据《广西壮族自治区红色资源保护传承条例》的第十条规定，启动并做好全县红色资源的认定工作。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与县退役军人事务局等有关部门联合在县城内建立一座“融水党史陈列馆”，综合展示融水丰厚的史迹，便于后人学习与启示。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继续抓好编纂出版《融水年鉴》，确保实现“一年一鉴、公开出版”的目标。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加强党建工作：一要强化党的政治建设；二强化党员教育管理；三强化纪律作风建设。</w:t>
      </w:r>
      <w:r>
        <w:rPr>
          <w:rFonts w:hint="eastAsia" w:ascii="仿宋" w:hAnsi="仿宋" w:eastAsia="仿宋" w:cs="仿宋"/>
          <w:sz w:val="32"/>
          <w:szCs w:val="32"/>
          <w:lang w:val="en-US" w:eastAsia="zh-CN"/>
        </w:rPr>
        <w:t xml:space="preserve"> </w:t>
      </w:r>
    </w:p>
    <w:p>
      <w:pPr>
        <w:pStyle w:val="2"/>
        <w:rPr>
          <w:rFonts w:hint="default"/>
          <w:lang w:val="en-US" w:eastAsia="zh-CN"/>
        </w:rPr>
      </w:pPr>
      <w:r>
        <w:rPr>
          <w:rFonts w:hint="eastAsia" w:ascii="仿宋" w:hAnsi="仿宋" w:eastAsia="仿宋" w:cs="仿宋"/>
          <w:sz w:val="32"/>
          <w:szCs w:val="32"/>
          <w:lang w:val="en-US" w:eastAsia="zh-CN"/>
        </w:rPr>
        <w:t xml:space="preserve">    8.完成县委、县人民政府交办的其他任务。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spacing w:line="52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中共融水苗族自治县委员会党史县志研究室属参照公务员法管理事业单位</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共有直属单位1个。</w:t>
      </w:r>
    </w:p>
    <w:p>
      <w:pPr>
        <w:spacing w:line="520" w:lineRule="exact"/>
        <w:ind w:firstLine="640" w:firstLineChars="200"/>
        <w:rPr>
          <w:rFonts w:hint="default" w:ascii="仿宋_GB2312" w:hAnsi="华文仿宋" w:eastAsia="仿宋_GB2312"/>
          <w:color w:val="000000"/>
          <w:sz w:val="32"/>
          <w:szCs w:val="32"/>
          <w:lang w:val="en-US" w:eastAsia="zh-CN"/>
        </w:rPr>
      </w:pPr>
      <w:r>
        <w:rPr>
          <w:rFonts w:hint="eastAsia" w:eastAsia="仿宋_GB2312" w:cs="Times New Roman"/>
          <w:b w:val="0"/>
          <w:bCs/>
          <w:color w:val="000000" w:themeColor="text1"/>
          <w:kern w:val="0"/>
          <w:sz w:val="32"/>
          <w:szCs w:val="32"/>
          <w:highlight w:val="none"/>
          <w:lang w:val="en-US" w:eastAsia="zh-CN" w:bidi="ar-SA"/>
          <w14:textFill>
            <w14:solidFill>
              <w14:schemeClr w14:val="tx1"/>
            </w14:solidFill>
          </w14:textFill>
        </w:rPr>
        <w:t>根据《中共融水苗族自治县委员会党史县志研究室职能配置、内设机构和人员编制规定》（融办〔2020〕8 号），</w:t>
      </w:r>
      <w:r>
        <w:rPr>
          <w:rFonts w:hint="eastAsia" w:ascii="仿宋_GB2312" w:hAnsi="华文仿宋" w:eastAsia="仿宋_GB2312"/>
          <w:color w:val="000000"/>
          <w:sz w:val="32"/>
          <w:szCs w:val="32"/>
        </w:rPr>
        <w:t>机关内设</w:t>
      </w:r>
      <w:r>
        <w:rPr>
          <w:rFonts w:hint="eastAsia" w:ascii="仿宋_GB2312" w:hAnsi="华文仿宋" w:eastAsia="仿宋_GB2312"/>
          <w:color w:val="000000"/>
          <w:sz w:val="32"/>
          <w:szCs w:val="32"/>
          <w:lang w:val="en-US" w:eastAsia="zh-CN"/>
        </w:rPr>
        <w:t>2个</w:t>
      </w:r>
      <w:r>
        <w:rPr>
          <w:rFonts w:hint="eastAsia" w:ascii="仿宋_GB2312" w:hAnsi="华文仿宋" w:eastAsia="仿宋_GB2312"/>
          <w:color w:val="000000"/>
          <w:sz w:val="32"/>
          <w:szCs w:val="32"/>
          <w:lang w:eastAsia="zh-CN"/>
        </w:rPr>
        <w:t>股</w:t>
      </w:r>
      <w:r>
        <w:rPr>
          <w:rFonts w:hint="eastAsia" w:ascii="仿宋_GB2312" w:hAnsi="华文仿宋" w:eastAsia="仿宋_GB2312"/>
          <w:color w:val="000000"/>
          <w:sz w:val="32"/>
          <w:szCs w:val="32"/>
        </w:rPr>
        <w:t>室</w:t>
      </w:r>
      <w:r>
        <w:rPr>
          <w:rFonts w:hint="eastAsia" w:ascii="仿宋_GB2312" w:hAnsi="华文仿宋" w:eastAsia="仿宋_GB2312"/>
          <w:color w:val="000000"/>
          <w:sz w:val="32"/>
          <w:szCs w:val="32"/>
          <w:lang w:eastAsia="zh-CN"/>
        </w:rPr>
        <w:t>，分别</w:t>
      </w:r>
      <w:r>
        <w:rPr>
          <w:rFonts w:hint="eastAsia" w:ascii="仿宋_GB2312" w:hAnsi="华文仿宋" w:eastAsia="仿宋_GB2312"/>
          <w:color w:val="000000"/>
          <w:sz w:val="32"/>
          <w:szCs w:val="32"/>
        </w:rPr>
        <w:t>为: 办公室（综合股）、史志资料征研股（征研股）。</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203</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中共融水苗族自治县委员会党史县志研究室</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2023年部门预算情况说明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收支预算情况说明</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125.45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万元，同比减少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12.28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8.91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%，收入</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全部是本级一般公共预算拨款12.28万元。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科学技术支出81.10元，社会保障和就业支出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21.84元，卫生健康支出14.23元，住房保障支出8.28万元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收入预算情况说明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w:t>
      </w:r>
      <w:r>
        <w:rPr>
          <w:rFonts w:hint="eastAsia" w:eastAsia="仿宋_GB2312"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eastAsia="仿宋_GB2312" w:cs="Times New Roman"/>
          <w:color w:val="000000" w:themeColor="text1"/>
          <w:sz w:val="32"/>
          <w:szCs w:val="32"/>
          <w:highlight w:val="none"/>
          <w:lang w:val="en-US" w:eastAsia="zh-CN"/>
          <w14:textFill>
            <w14:solidFill>
              <w14:schemeClr w14:val="tx1"/>
            </w14:solidFill>
          </w14:textFill>
        </w:rPr>
        <w:t>125.45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万元，同比减少</w:t>
      </w:r>
      <w:r>
        <w:rPr>
          <w:rFonts w:hint="eastAsia" w:eastAsia="仿宋_GB2312" w:cs="Times New Roman"/>
          <w:color w:val="000000" w:themeColor="text1"/>
          <w:sz w:val="32"/>
          <w:szCs w:val="32"/>
          <w:highlight w:val="none"/>
          <w:lang w:val="en-US" w:eastAsia="zh-CN"/>
          <w14:textFill>
            <w14:solidFill>
              <w14:schemeClr w14:val="tx1"/>
            </w14:solidFill>
          </w14:textFill>
        </w:rPr>
        <w:t>12.28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8.91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eastAsia="仿宋_GB2312" w:cs="Times New Roman"/>
          <w:color w:val="000000" w:themeColor="text1"/>
          <w:sz w:val="32"/>
          <w:szCs w:val="32"/>
          <w:highlight w:val="none"/>
          <w:lang w:val="en-US" w:eastAsia="zh-CN"/>
          <w14:textFill>
            <w14:solidFill>
              <w14:schemeClr w14:val="tx1"/>
            </w14:solidFill>
          </w14:textFill>
        </w:rPr>
        <w:t>125.45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12.28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8.91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2023年收入预算总体减少主要是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一般公共预算拨款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一是基本支出预算收入105.45万元，同比减少 3.28万元，下降3.01%；二是项目支出预算收入20万元，同比减少9万元，下降31.03%。财政为保工资、保民生、保运转，压缩项目支出和公用经费预算支出。</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支出预算情况说明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w:t>
      </w:r>
      <w:r>
        <w:rPr>
          <w:rFonts w:hint="eastAsia" w:eastAsia="仿宋_GB2312"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125.45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105.45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84.06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3.28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3.01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15.94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31.03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5"/>
        <w:keepNext w:val="0"/>
        <w:keepLines w:val="0"/>
        <w:pageBreakBefore w:val="0"/>
        <w:numPr>
          <w:ilvl w:val="0"/>
          <w:numId w:val="1"/>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按支出功能分类科目划分，共分为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p>
    <w:p>
      <w:pPr>
        <w:pStyle w:val="5"/>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1.科学技术支出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81.10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64.65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11.08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12.02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5"/>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2.社会保障和就业支出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21.84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17.41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2.29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9.51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3.卫生健康支出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14.23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11.34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增加1.29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住房保障支出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8.28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0.20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2.31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5"/>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105.45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84.06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3.28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3.01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5"/>
        <w:keepNext w:val="0"/>
        <w:keepLines w:val="0"/>
        <w:pageBreakBefore w:val="0"/>
        <w:shd w:val="clear"/>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15.94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31.03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2023年支出预算总体减少主要是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项目支出预算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财政为保工资、保民生、保运转，压缩项目支出。</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125.45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全部是本级一般公共预算拨款12.28万元。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科学技术支出81.10元，社会保障和就业支出21.84元，卫生健康支出14.23元，住房保障支出8.28万元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125.45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105.45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（一）行政运行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0.01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人员经费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0.01万元（独生子女奖励金）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（二）社会科学研究机构</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81.09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61.09</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20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人员经费47.28万元，公用经费13.81万元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项目支出主要用于编纂出版《融水年鉴》经费14.36万元，社会购买支出服务费5.64万元。</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）机关事业单位基本养老保险缴费支出3.81万元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其他行政事业单位养老支出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ab/>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8.03万元，主要用于退休人员生活补助、节日慰问、物业补助费用支出 。</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行政单位医疗5.43</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（六）</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公务员医疗补助8.80</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（七）住房公积金8.28万元。</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105.45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5"/>
        <w:keepNext w:val="0"/>
        <w:keepLines w:val="0"/>
        <w:pageBreakBefore w:val="0"/>
        <w:numPr>
          <w:ilvl w:val="0"/>
          <w:numId w:val="2"/>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91.64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基本工资27.65万元，津贴补贴16.41万元，奖金2.13万元，机关事业单位基本养老保险缴费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13.81万元，职工基本医疗保险缴费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5.38万元，公务员医疗补助缴费8.80万元，其他社会保障缴费0.53万元，住房公积金8.28万元。退休费8.03万元，奖励金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0.01万元，其他对个人和家庭的补助0.62万元。</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13.81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万元，主要包括：办公费0.40</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水费0.07</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电费0.26</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邮电费1.51</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差旅费2.46</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会议费0.47</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培训费</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ab/>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0.32</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公务接待费0.22</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福利费</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ab/>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0.42</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其他交通费用5.28</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其他商品和服务支出2.40</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0.22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与上年相同。</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0.22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，与上年相同。</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eastAsia="仿宋_GB2312" w:cs="Times New Roman"/>
          <w:b w:val="0"/>
          <w:bCs w:val="0"/>
          <w:color w:val="000000" w:themeColor="text1"/>
          <w:kern w:val="0"/>
          <w:sz w:val="32"/>
          <w:szCs w:val="32"/>
          <w:highlight w:val="none"/>
          <w:lang w:val="en-US" w:eastAsia="zh-CN" w:bidi="ar-SA"/>
          <w14:textFill>
            <w14:solidFill>
              <w14:schemeClr w14:val="tx1"/>
            </w14:solidFill>
          </w14:textFill>
        </w:rPr>
        <w:t>2023年我</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eastAsia="仿宋_GB2312" w:cs="Times New Roman"/>
          <w:b w:val="0"/>
          <w:bCs w:val="0"/>
          <w:color w:val="000000" w:themeColor="text1"/>
          <w:kern w:val="0"/>
          <w:sz w:val="32"/>
          <w:szCs w:val="32"/>
          <w:highlight w:val="none"/>
          <w:lang w:val="en-US" w:eastAsia="zh-CN" w:bidi="ar-SA"/>
          <w14:textFill>
            <w14:solidFill>
              <w14:schemeClr w14:val="tx1"/>
            </w14:solidFill>
          </w14:textFill>
        </w:rPr>
        <w:t>无政府性基金预算支出安排</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023年我</w:t>
      </w:r>
      <w:r>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无国有资本经营预算支出安排</w:t>
      </w:r>
      <w:r>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2023年我</w:t>
      </w: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无政府采购预算</w:t>
      </w: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2023年我</w:t>
      </w: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无政府购买服务预算</w:t>
      </w:r>
      <w:r>
        <w:rPr>
          <w:rFonts w:hint="eastAsia" w:eastAsia="仿宋_GB2312" w:cs="Times New Roman"/>
          <w:b/>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numPr>
          <w:ilvl w:val="0"/>
          <w:numId w:val="3"/>
        </w:numPr>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eastAsia" w:eastAsia="黑体"/>
          <w:color w:val="000000" w:themeColor="text1"/>
          <w:kern w:val="0"/>
          <w:sz w:val="32"/>
          <w:szCs w:val="32"/>
          <w:highlight w:val="none"/>
          <w14:textFill>
            <w14:solidFill>
              <w14:schemeClr w14:val="tx1"/>
            </w14:solidFill>
          </w14:textFill>
        </w:rPr>
        <w:t>重点项目支出绩效目标情况说明</w:t>
      </w:r>
    </w:p>
    <w:p>
      <w:pPr>
        <w:pStyle w:val="2"/>
        <w:numPr>
          <w:ilvl w:val="0"/>
          <w:numId w:val="0"/>
        </w:numP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eastAsia"/>
          <w:lang w:val="en-US" w:eastAsia="zh-CN"/>
        </w:rPr>
        <w:t xml:space="preserve">      </w:t>
      </w:r>
      <w:r>
        <w:rPr>
          <w:rFonts w:hint="default" w:eastAsia="仿宋_GB2312"/>
          <w:bCs/>
          <w:color w:val="000000" w:themeColor="text1"/>
          <w:kern w:val="0"/>
          <w:sz w:val="32"/>
          <w:szCs w:val="32"/>
          <w:highlight w:val="none"/>
          <w14:textFill>
            <w14:solidFill>
              <w14:schemeClr w14:val="tx1"/>
            </w14:solidFill>
          </w14:textFill>
        </w:rPr>
        <w:t>2023年预算绩效目标公开的项目是编纂出版《融水年鉴》经费，预算支出</w:t>
      </w:r>
      <w:r>
        <w:rPr>
          <w:rFonts w:hint="eastAsia" w:eastAsia="仿宋_GB2312"/>
          <w:bCs/>
          <w:color w:val="000000" w:themeColor="text1"/>
          <w:kern w:val="0"/>
          <w:sz w:val="32"/>
          <w:szCs w:val="32"/>
          <w:highlight w:val="none"/>
          <w:lang w:val="en-US" w:eastAsia="zh-CN"/>
          <w14:textFill>
            <w14:solidFill>
              <w14:schemeClr w14:val="tx1"/>
            </w14:solidFill>
          </w14:textFill>
        </w:rPr>
        <w:t>14.36</w:t>
      </w:r>
      <w:r>
        <w:rPr>
          <w:rFonts w:hint="default" w:eastAsia="仿宋_GB2312"/>
          <w:bCs/>
          <w:color w:val="000000" w:themeColor="text1"/>
          <w:kern w:val="0"/>
          <w:sz w:val="32"/>
          <w:szCs w:val="32"/>
          <w:highlight w:val="none"/>
          <w14:textFill>
            <w14:solidFill>
              <w14:schemeClr w14:val="tx1"/>
            </w14:solidFill>
          </w14:textFill>
        </w:rPr>
        <w:t>万元，通过一般公共预算安排支出</w:t>
      </w:r>
      <w:r>
        <w:rPr>
          <w:rFonts w:hint="eastAsia" w:eastAsia="仿宋_GB2312"/>
          <w:bCs/>
          <w:color w:val="000000" w:themeColor="text1"/>
          <w:kern w:val="0"/>
          <w:sz w:val="32"/>
          <w:szCs w:val="32"/>
          <w:highlight w:val="none"/>
          <w:lang w:val="en-US" w:eastAsia="zh-CN"/>
          <w14:textFill>
            <w14:solidFill>
              <w14:schemeClr w14:val="tx1"/>
            </w14:solidFill>
          </w14:textFill>
        </w:rPr>
        <w:t>14.36</w:t>
      </w:r>
      <w:r>
        <w:rPr>
          <w:rFonts w:hint="default" w:eastAsia="仿宋_GB2312"/>
          <w:bCs/>
          <w:color w:val="000000" w:themeColor="text1"/>
          <w:kern w:val="0"/>
          <w:sz w:val="32"/>
          <w:szCs w:val="32"/>
          <w:highlight w:val="none"/>
          <w14:textFill>
            <w14:solidFill>
              <w14:schemeClr w14:val="tx1"/>
            </w14:solidFill>
          </w14:textFill>
        </w:rPr>
        <w:t>万元，项目支出绩效目标具体指标设置情况详见</w:t>
      </w:r>
      <w:r>
        <w:rPr>
          <w:rFonts w:hint="eastAsia" w:eastAsia="仿宋_GB2312"/>
          <w:bCs/>
          <w:color w:val="000000" w:themeColor="text1"/>
          <w:kern w:val="0"/>
          <w:sz w:val="32"/>
          <w:szCs w:val="32"/>
          <w:highlight w:val="none"/>
          <w:lang w:val="en-US" w:eastAsia="zh-CN"/>
          <w14:textFill>
            <w14:solidFill>
              <w14:schemeClr w14:val="tx1"/>
            </w14:solidFill>
          </w14:textFill>
        </w:rPr>
        <w:t>附件4</w:t>
      </w:r>
      <w:r>
        <w:rPr>
          <w:rFonts w:hint="default" w:eastAsia="仿宋_GB2312"/>
          <w:bCs/>
          <w:color w:val="000000" w:themeColor="text1"/>
          <w:kern w:val="0"/>
          <w:sz w:val="32"/>
          <w:szCs w:val="32"/>
          <w:highlight w:val="none"/>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预算其他重要事项情况说明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（一）机关运行经费安排情况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default" w:ascii="Times New Roman" w:hAnsi="Times New Roman" w:eastAsia="仿宋_GB2312" w:cs="Times New Roman"/>
          <w:bCs/>
          <w:strike w:val="0"/>
          <w:color w:val="000000" w:themeColor="text1"/>
          <w:kern w:val="0"/>
          <w:sz w:val="32"/>
          <w:szCs w:val="32"/>
          <w:highlight w:val="none"/>
          <w:lang w:val="en-US" w:eastAsia="zh-CN" w:bidi="ar-SA"/>
          <w14:textFill>
            <w14:solidFill>
              <w14:schemeClr w14:val="tx1"/>
            </w14:solidFill>
          </w14:textFill>
        </w:rPr>
        <w:t>行政</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运行预算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13.81</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0.45</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万元，同比下降</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3.15</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%，主要用于主要用于</w:t>
      </w:r>
      <w:r>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我</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单位基本支出中</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行政运行经费减少的原因：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财政为保工资、保民生、保运转，压缩公用经费支出</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5"/>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shd w:val="clear"/>
        <w:tabs>
          <w:tab w:val="center" w:pos="4475"/>
        </w:tabs>
        <w:kinsoku/>
        <w:wordWrap/>
        <w:overflowPunct/>
        <w:topLinePunct w:val="0"/>
        <w:autoSpaceDE/>
        <w:autoSpaceDN/>
        <w:bidi w:val="0"/>
        <w:spacing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我</w:t>
      </w:r>
      <w:r>
        <w:rPr>
          <w:rFonts w:hint="eastAsia"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无国有资产占用</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情况</w:t>
      </w:r>
      <w:r>
        <w:rPr>
          <w:rFonts w:hint="eastAsia" w:eastAsia="仿宋_GB2312" w:cs="Times New Roman"/>
          <w:b/>
          <w:bCs/>
          <w:color w:val="000000" w:themeColor="text1"/>
          <w:sz w:val="32"/>
          <w:szCs w:val="32"/>
          <w:highlight w:val="none"/>
          <w:lang w:val="en-US"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第三部分：203中共融水苗族自治县委员会党史县志研究室</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2023年部门预算报表</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5"/>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pStyle w:val="5"/>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553DE"/>
    <w:multiLevelType w:val="singleLevel"/>
    <w:tmpl w:val="066553DE"/>
    <w:lvl w:ilvl="0" w:tentative="0">
      <w:start w:val="1"/>
      <w:numFmt w:val="chineseCounting"/>
      <w:suff w:val="nothing"/>
      <w:lvlText w:val="（%1）"/>
      <w:lvlJc w:val="left"/>
      <w:rPr>
        <w:rFonts w:hint="eastAsia"/>
      </w:rPr>
    </w:lvl>
  </w:abstractNum>
  <w:abstractNum w:abstractNumId="1">
    <w:nsid w:val="1D6461D0"/>
    <w:multiLevelType w:val="singleLevel"/>
    <w:tmpl w:val="1D6461D0"/>
    <w:lvl w:ilvl="0" w:tentative="0">
      <w:start w:val="1"/>
      <w:numFmt w:val="chineseCounting"/>
      <w:suff w:val="nothing"/>
      <w:lvlText w:val="（%1）"/>
      <w:lvlJc w:val="left"/>
      <w:rPr>
        <w:rFonts w:hint="eastAsia"/>
      </w:rPr>
    </w:lvl>
  </w:abstractNum>
  <w:abstractNum w:abstractNumId="2">
    <w:nsid w:val="54B91BE5"/>
    <w:multiLevelType w:val="singleLevel"/>
    <w:tmpl w:val="54B91BE5"/>
    <w:lvl w:ilvl="0" w:tentative="0">
      <w:start w:val="1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NDA5MGE0ZWQ0NDQxNjY4NGUzMjQzMjk4YTExYTAifQ=="/>
  </w:docVars>
  <w:rsids>
    <w:rsidRoot w:val="290B15A7"/>
    <w:rsid w:val="004D44B9"/>
    <w:rsid w:val="01310A20"/>
    <w:rsid w:val="05E120EF"/>
    <w:rsid w:val="060B6BB9"/>
    <w:rsid w:val="07103C1A"/>
    <w:rsid w:val="0AF55400"/>
    <w:rsid w:val="0CE77792"/>
    <w:rsid w:val="0E4C1A0E"/>
    <w:rsid w:val="11F44B6B"/>
    <w:rsid w:val="12761C7C"/>
    <w:rsid w:val="1B7355F7"/>
    <w:rsid w:val="1C047460"/>
    <w:rsid w:val="1C8511F4"/>
    <w:rsid w:val="1C9C5BCF"/>
    <w:rsid w:val="20E50871"/>
    <w:rsid w:val="24D44882"/>
    <w:rsid w:val="290B15A7"/>
    <w:rsid w:val="29B015C6"/>
    <w:rsid w:val="2D123BA3"/>
    <w:rsid w:val="33200A88"/>
    <w:rsid w:val="3571302C"/>
    <w:rsid w:val="48627FA1"/>
    <w:rsid w:val="559A5659"/>
    <w:rsid w:val="55A47F8B"/>
    <w:rsid w:val="59256D3A"/>
    <w:rsid w:val="5EA76FEB"/>
    <w:rsid w:val="62EC17C2"/>
    <w:rsid w:val="655E3B3C"/>
    <w:rsid w:val="69F50851"/>
    <w:rsid w:val="6BE1445F"/>
    <w:rsid w:val="7FBC2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tense Quote"/>
    <w:basedOn w:val="1"/>
    <w:next w:val="1"/>
    <w:qFormat/>
    <w:uiPriority w:val="99"/>
    <w:pPr>
      <w:wordWrap w:val="0"/>
      <w:spacing w:before="360" w:after="360"/>
      <w:ind w:left="950" w:right="950"/>
      <w:jc w:val="center"/>
    </w:pPr>
    <w:rPr>
      <w:i/>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3724</Words>
  <Characters>4228</Characters>
  <Lines>0</Lines>
  <Paragraphs>0</Paragraphs>
  <TotalTime>12</TotalTime>
  <ScaleCrop>false</ScaleCrop>
  <LinksUpToDate>false</LinksUpToDate>
  <CharactersWithSpaces>4247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2023-09-06T08:15:20Z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96D05CDC00564E5889675207473CBA79</vt:lpwstr>
  </property>
</Properties>
</file>