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505001融水苗族自治县气象局</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2023年单位</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第一部分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融水苗族自治县气象局</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一、主要职责</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二、机构设置情况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三、编制现状及人员构成</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融水苗族自治县气象局</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情况</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融水苗族自治县气象局</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202</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年</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预算</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报</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一、单位收支总体情况表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二、单位收入总体情况表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三、单位支出总体情况表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四、财政拨款收支总体情况表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五、一般公共预算支出情况表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六、一般公共预算基本支出情况表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七、一般公共预算“三公”经费支出情况表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八、政府性基金预算支出情况表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九、</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国有资本经营预算支出情况表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政府采购预算表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十一、政府购买服务预算表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第四部分</w:t>
      </w:r>
      <w:r>
        <w:rPr>
          <w:rFonts w:hint="default" w:ascii="Times New Roman" w:hAnsi="Times New Roman" w:eastAsia="仿宋_GB2312" w:cs="Times New Roman"/>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505001</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融水苗族自治县气象局概况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1.负责本行政区域内气象事业发展规划、规划的制定及气象业务建设的组织实施；负责本行政区域内气象设施建设项目的审查；对本行政区域内的气象活动进行指导、监督和行业管理。对本行政区域内的气象活动进行指导、监督和行政管理。 </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2.组织管理本行政区域内气象探测资料的汇总、传输；依法保护气象探测环境。 </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3.负责本行政区域内的气象监测、预报管理工作，及时提出气象灾害防御措施，并对重大气象灾害作出评估，为本级人民政府组织防御气象灾害提供决策依据；管理本行政区域内公众气象预报，灾害性天气警报以及农业气象预报，城市环境气象预报、火险气象等级预报等专业气象预报的发布。 </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4.管理本行政区域人工影响天气工作，指导和组织实施人工影响天气作业。 </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5.组织管理雷电灾害防御工作，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由气象单位负责防雷装置设计审核和竣工验收许可。 </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6.负责本行政区灌充施放升空气球或系留气球的安全管理。 </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7.承担上级气象主管机构和本级人民政府交办的其它事项。</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融水苗族自治县气象局共有直属单位4个。其中全额拨款事业单位4个，全额拨款事业单位分别是：</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1.融水苗族自治县气象台，为国家建设和社会生活提供气象预报服务，天气预报、气候预测、气象卫星应用、气象服务、环境气象预报、气象资料管理。</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融水苗族自治县气象服务与防雷中心，为国家建设和社会生活提供气象科技服务。专业气象服务产品加工制作、专业气象服务产品分发、气象应用技术开发、气象信息咨询。防御雷电灾害业务工作、防雷装置设计审核、防雷安全定期检测、雷电灾害手机调查鉴定。</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3.融水苗族自治县人工影响天气管理中心，为国家建设和社会生产提供人工影响天气服务。人工影响天气作业、人工影响天气管理、人工影响天气科研。</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融水苗族自治县气象灾害防御（应急）管理中心，主要作用是加强气象灾害的防御以避免、减轻气象灾害造成的损失，负责编制本行政区域气象灾害防御规划，完善气象灾害应急预案，组织开展气象灾害应急保障服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机关本级内设科室为别为：办公室、业务股。</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kern w:val="2"/>
          <w:sz w:val="32"/>
          <w:szCs w:val="32"/>
          <w:highlight w:val="none"/>
          <w:lang w:val="en-US" w:eastAsia="zh-CN" w:bidi="ar-SA"/>
          <w14:textFill>
            <w14:solidFill>
              <w14:schemeClr w14:val="tx1"/>
            </w14:solidFill>
          </w14:textFill>
        </w:rPr>
        <w:t>三、编制现状及人员构成</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单位人员编制总数为1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人（包括国家事业编制），其中行政参公编制4人，事业编制</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人。实有财政供养人数1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人，其中行政在职3人，事业在职</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人，编外在职实有人数0人，离退休人员6人（其中离休0人）。具体情况如下：</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（一）机关本级（行政参公人员工资、国家编制事业人员基本工资和离退休人员工资由中央预算资金发放）</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人员编制总数为9人，其中行政编制4人，事业编制</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人。实有财政供养人数</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人，其中行政在职3人，事业在职</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人，编外在职实有人数0人，离退休人员6人（其中离休0人）。</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（二）所属事业单位</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人员编制总数为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人，其中行政编制0人，事业编制</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人，聘用人员控制数0人。实有财政供养人数4人，其中行政在职0人，事业在职4人，编外在职实有人数0人，离退休人员0人（其中离休0人）。</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spacing w:val="-20"/>
          <w:kern w:val="0"/>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spacing w:val="0"/>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highlight w:val="none"/>
          <w:lang w:val="en-US" w:eastAsia="zh-CN" w:bidi="ar-SA"/>
          <w14:textFill>
            <w14:solidFill>
              <w14:schemeClr w14:val="tx1"/>
            </w14:solidFill>
          </w14:textFill>
        </w:rPr>
        <w:t>第二部分：</w:t>
      </w:r>
      <w:r>
        <w:rPr>
          <w:rFonts w:hint="eastAsia" w:eastAsia="黑体" w:cs="Times New Roman"/>
          <w:b w:val="0"/>
          <w:bCs w:val="0"/>
          <w:color w:val="000000" w:themeColor="text1"/>
          <w:spacing w:val="0"/>
          <w:kern w:val="0"/>
          <w:sz w:val="32"/>
          <w:szCs w:val="32"/>
          <w:highlight w:val="none"/>
          <w:lang w:val="en-US" w:eastAsia="zh-CN" w:bidi="ar-SA"/>
          <w14:textFill>
            <w14:solidFill>
              <w14:schemeClr w14:val="tx1"/>
            </w14:solidFill>
          </w14:textFill>
        </w:rPr>
        <w:t>505001融水苗族自治县气象局</w:t>
      </w:r>
      <w:r>
        <w:rPr>
          <w:rFonts w:hint="default" w:ascii="Times New Roman" w:hAnsi="Times New Roman" w:eastAsia="黑体" w:cs="Times New Roman"/>
          <w:b w:val="0"/>
          <w:bCs w:val="0"/>
          <w:color w:val="000000" w:themeColor="text1"/>
          <w:spacing w:val="0"/>
          <w:kern w:val="0"/>
          <w:sz w:val="32"/>
          <w:szCs w:val="32"/>
          <w:highlight w:val="none"/>
          <w:lang w:val="en-US" w:eastAsia="zh-CN" w:bidi="ar-SA"/>
          <w14:textFill>
            <w14:solidFill>
              <w14:schemeClr w14:val="tx1"/>
            </w14:solidFill>
          </w14:textFill>
        </w:rPr>
        <w:t>2023年单位</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spacing w:val="0"/>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highlight w:val="none"/>
          <w:lang w:val="en-US" w:eastAsia="zh-CN" w:bidi="ar-SA"/>
          <w14:textFill>
            <w14:solidFill>
              <w14:schemeClr w14:val="tx1"/>
            </w14:solidFill>
          </w14:textFill>
        </w:rPr>
        <w:t>预算情况说明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113.48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17.17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13.14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一般公共预算收入113.48万元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社会保障和就业支出8.56万元，卫生健康支出3.34万元，自然资源海洋气象等支出96.45万元,住房保障支出5.13万元。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113.48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17.17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13.14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113.48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17.17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13.14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2023年收入预算总体减少主要是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本年度没有新增项目，都是持续性项目，项目费用减少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113.48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63.48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55.94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4.63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7.87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50.00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44.06</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21.8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30.36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（一）按支出功能分类科目划分，共分为</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1.208类社会保障和就业支出预算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8.56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7.54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%，同比增加0.37万元，同比增长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4.52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%。增加的主要原因是：202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年工资总额增加，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2023年测算的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社保缴费基数提高。</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2.210类卫生健康支出预算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3.34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2.94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0.27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8.79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%。增加的主要原因是：202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年工资总额增加，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2023年测算的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缴费基数提高。</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3.220类自然资源海洋气象等支出预算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96.45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84.99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减少18.03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下降15.75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减少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的主要原因是：202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没有</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新增项目</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，都是持续性项目，经费减少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221类住房保障支出预算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5.13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4.52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0.22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4.48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%。增加的主要原因是：202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年工资总额增加，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2023年测算的</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缴费基数提高。</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63.48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55.94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4.63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7.87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50.00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44.06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21.8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30.36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2023年支出预算总体减少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项目费用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本年度没有“中国天然氧吧”申报工作经费、人影作业车辆及装备购置费等，没有新增项目，都是持续性项目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113.48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万元，收入包括：一般公共预算收入预算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113.48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万元；支出包括：208类社会保障和就业支出预算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8.56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万元，210类卫生健康支出预算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万元，220类自然资源海洋气象等支出预算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96.45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万元，221类住房保障支出预算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5.13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2023年单位一般公共预算拨款支出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113.48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63.48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万元，项目支出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50.00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万元，具体支出预算如下：</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机关事业单位基本养老保险缴费支出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8.56</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主要用于人员经费，机关事业单位基本养老保险缴费支出；</w:t>
      </w:r>
    </w:p>
    <w:p>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（二）事业单位医疗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3.34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主要用于人员经费，事业单位医疗保险缴费支出；</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（三）气象事业机构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96.45</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万元，其中基本支出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46.45</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万元，项目支出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50.00</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万元。主要用于人员经费、国家编制人员经费、日常公用、经常性项目、新增项目经费；</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）住房公积金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5.13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strike w:val="0"/>
          <w:color w:val="000000" w:themeColor="text1"/>
          <w:kern w:val="2"/>
          <w:sz w:val="32"/>
          <w:szCs w:val="32"/>
          <w:highlight w:val="none"/>
          <w:u w:val="none"/>
          <w:lang w:val="en-US" w:eastAsia="zh-CN" w:bidi="ar-SA"/>
          <w14:textFill>
            <w14:solidFill>
              <w14:schemeClr w14:val="tx1"/>
            </w14:solidFill>
          </w14:textFill>
        </w:rPr>
        <w:t>全部为基本支出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主要用于人员经费，住房公积金缴费支出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63.48</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strike/>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58.57</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基本工资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16.59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万元、津贴补贴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5.84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万元、绩效工资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15.59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万元、机关事业单位基本养老保险缴费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8.56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万元、职工基本医疗保险缴费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3.34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万元、其他社会保险缴费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0.33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万元、住房公积金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5.13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其他支出</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（伙食补助）</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3.20万元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4.91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办公费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0.60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万元、邮电费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0.41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万元、差旅费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1.20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万元、维（修）护费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0.52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劳务费</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0.29万元、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福利费0.28万元、其他商品和服务支出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1.60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政府性基金预算支出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，我单位无政府性基金预算支出安排。</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国有资本经营预算支出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我单位无国有资本经营预算支出安排。</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2023年政府采购预算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万元，我单位无政府采购预算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2023年纳入政府购买服务预算支出</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万元，我单位无政府购买服务预算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eastAsia"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eastAsia="仿宋_GB2312"/>
          <w:bCs/>
          <w:color w:val="000000" w:themeColor="text1"/>
          <w:kern w:val="0"/>
          <w:sz w:val="32"/>
          <w:szCs w:val="32"/>
          <w:highlight w:val="none"/>
          <w14:textFill>
            <w14:solidFill>
              <w14:schemeClr w14:val="tx1"/>
            </w14:solidFill>
          </w14:textFill>
        </w:rPr>
        <w:t>2023年预算绩效目标公开的项目是自然灾害综合风险普查</w:t>
      </w:r>
      <w:r>
        <w:rPr>
          <w:rFonts w:hint="eastAsia" w:eastAsia="仿宋_GB2312"/>
          <w:bCs/>
          <w:color w:val="000000" w:themeColor="text1"/>
          <w:kern w:val="0"/>
          <w:sz w:val="32"/>
          <w:szCs w:val="32"/>
          <w:highlight w:val="none"/>
          <w:lang w:eastAsia="zh-CN"/>
          <w14:textFill>
            <w14:solidFill>
              <w14:schemeClr w14:val="tx1"/>
            </w14:solidFill>
          </w14:textFill>
        </w:rPr>
        <w:t>项目</w:t>
      </w:r>
      <w:r>
        <w:rPr>
          <w:rFonts w:hint="default" w:eastAsia="仿宋_GB2312"/>
          <w:bCs/>
          <w:color w:val="000000" w:themeColor="text1"/>
          <w:kern w:val="0"/>
          <w:sz w:val="32"/>
          <w:szCs w:val="32"/>
          <w:highlight w:val="none"/>
          <w14:textFill>
            <w14:solidFill>
              <w14:schemeClr w14:val="tx1"/>
            </w14:solidFill>
          </w14:textFill>
        </w:rPr>
        <w:t>，预算支出</w:t>
      </w:r>
      <w:r>
        <w:rPr>
          <w:rFonts w:hint="eastAsia" w:eastAsia="仿宋_GB2312"/>
          <w:bCs/>
          <w:color w:val="000000" w:themeColor="text1"/>
          <w:kern w:val="0"/>
          <w:sz w:val="32"/>
          <w:szCs w:val="32"/>
          <w:highlight w:val="none"/>
          <w:lang w:val="en-US" w:eastAsia="zh-CN"/>
          <w14:textFill>
            <w14:solidFill>
              <w14:schemeClr w14:val="tx1"/>
            </w14:solidFill>
          </w14:textFill>
        </w:rPr>
        <w:t>16.30</w:t>
      </w:r>
      <w:r>
        <w:rPr>
          <w:rFonts w:hint="default" w:eastAsia="仿宋_GB2312"/>
          <w:bCs/>
          <w:color w:val="000000" w:themeColor="text1"/>
          <w:kern w:val="0"/>
          <w:sz w:val="32"/>
          <w:szCs w:val="32"/>
          <w:highlight w:val="none"/>
          <w14:textFill>
            <w14:solidFill>
              <w14:schemeClr w14:val="tx1"/>
            </w14:solidFill>
          </w14:textFill>
        </w:rPr>
        <w:t>万元，通过一般公共预算安排支出</w:t>
      </w:r>
      <w:r>
        <w:rPr>
          <w:rFonts w:hint="eastAsia" w:eastAsia="仿宋_GB2312"/>
          <w:bCs/>
          <w:color w:val="000000" w:themeColor="text1"/>
          <w:kern w:val="0"/>
          <w:sz w:val="32"/>
          <w:szCs w:val="32"/>
          <w:highlight w:val="none"/>
          <w:lang w:val="en-US" w:eastAsia="zh-CN"/>
          <w14:textFill>
            <w14:solidFill>
              <w14:schemeClr w14:val="tx1"/>
            </w14:solidFill>
          </w14:textFill>
        </w:rPr>
        <w:t>16.30</w:t>
      </w:r>
      <w:r>
        <w:rPr>
          <w:rFonts w:hint="default" w:eastAsia="仿宋_GB2312"/>
          <w:bCs/>
          <w:color w:val="000000" w:themeColor="text1"/>
          <w:kern w:val="0"/>
          <w:sz w:val="32"/>
          <w:szCs w:val="32"/>
          <w:highlight w:val="none"/>
          <w14:textFill>
            <w14:solidFill>
              <w14:schemeClr w14:val="tx1"/>
            </w14:solidFill>
          </w14:textFill>
        </w:rPr>
        <w:t>万元，通过政府性基金安排支出</w:t>
      </w:r>
      <w:r>
        <w:rPr>
          <w:rFonts w:hint="eastAsia" w:eastAsia="仿宋_GB2312"/>
          <w:bCs/>
          <w:color w:val="000000" w:themeColor="text1"/>
          <w:kern w:val="0"/>
          <w:sz w:val="32"/>
          <w:szCs w:val="32"/>
          <w:highlight w:val="none"/>
          <w:lang w:val="en-US" w:eastAsia="zh-CN"/>
          <w14:textFill>
            <w14:solidFill>
              <w14:schemeClr w14:val="tx1"/>
            </w14:solidFill>
          </w14:textFill>
        </w:rPr>
        <w:t>0</w:t>
      </w:r>
      <w:r>
        <w:rPr>
          <w:rFonts w:hint="default" w:eastAsia="仿宋_GB2312"/>
          <w:bCs/>
          <w:color w:val="000000" w:themeColor="text1"/>
          <w:kern w:val="0"/>
          <w:sz w:val="32"/>
          <w:szCs w:val="32"/>
          <w:highlight w:val="none"/>
          <w14:textFill>
            <w14:solidFill>
              <w14:schemeClr w14:val="tx1"/>
            </w14:solidFill>
          </w14:textFill>
        </w:rPr>
        <w:t>万元，项目支出绩效目标具体指标设置情况详见</w:t>
      </w:r>
      <w:r>
        <w:rPr>
          <w:rFonts w:hint="eastAsia" w:eastAsia="仿宋_GB2312"/>
          <w:bCs/>
          <w:color w:val="000000" w:themeColor="text1"/>
          <w:kern w:val="0"/>
          <w:sz w:val="32"/>
          <w:szCs w:val="32"/>
          <w:highlight w:val="none"/>
          <w:lang w:val="en-US" w:eastAsia="zh-CN"/>
          <w14:textFill>
            <w14:solidFill>
              <w14:schemeClr w14:val="tx1"/>
            </w14:solidFill>
          </w14:textFill>
        </w:rPr>
        <w:t>附件4</w:t>
      </w:r>
      <w:bookmarkStart w:id="0" w:name="_GoBack"/>
      <w:bookmarkEnd w:id="0"/>
      <w:r>
        <w:rPr>
          <w:rFonts w:hint="default" w:eastAsia="仿宋_GB2312"/>
          <w:bCs/>
          <w:color w:val="000000" w:themeColor="text1"/>
          <w:kern w:val="0"/>
          <w:sz w:val="32"/>
          <w:szCs w:val="32"/>
          <w:highlight w:val="none"/>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（一）事业单位相关运行经费安排情况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default" w:ascii="Times New Roman" w:hAnsi="Times New Roman" w:eastAsia="仿宋_GB2312" w:cs="Times New Roman"/>
          <w:bCs/>
          <w:strike w:val="0"/>
          <w:color w:val="000000" w:themeColor="text1"/>
          <w:kern w:val="0"/>
          <w:sz w:val="32"/>
          <w:szCs w:val="32"/>
          <w:highlight w:val="none"/>
          <w:lang w:val="en-US" w:eastAsia="zh-CN" w:bidi="ar-SA"/>
          <w14:textFill>
            <w14:solidFill>
              <w14:schemeClr w14:val="tx1"/>
            </w14:solidFill>
          </w14:textFill>
        </w:rPr>
        <w:t>事业单位相关运行经费</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4.91</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减少</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0.17</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下降</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3.35</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%，主要用于</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办公及印刷费、邮电费、差旅费、福利费、日常维修费以及其他费用</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。事业单位相关运行经费经费减少的原因：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厉行节约，减少预算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2023年我单位无国有资产占用相关情况</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505001融水苗族自治县气象局</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九、</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国有资本经营预算支出情况表（表9）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十、</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政府采购预算表（表10）</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县</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八、事业单位相关运行经费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w:t>
      </w:r>
      <w:r>
        <w:rPr>
          <w:rFonts w:hint="eastAsia" w:eastAsia="仿宋_GB2312" w:cs="Times New Roman"/>
          <w:b w:val="0"/>
          <w:bCs w:val="0"/>
          <w:color w:val="000000" w:themeColor="text1"/>
          <w:kern w:val="0"/>
          <w:sz w:val="32"/>
          <w:szCs w:val="32"/>
          <w:highlight w:val="none"/>
          <w:lang w:val="en-US" w:eastAsia="zh-CN" w:bidi="ar-SA"/>
          <w14:textFill>
            <w14:solidFill>
              <w14:schemeClr w14:val="tx1"/>
            </w14:solidFill>
          </w14:textFill>
        </w:rPr>
        <w:t>事业单位</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BD5C5"/>
    <w:multiLevelType w:val="singleLevel"/>
    <w:tmpl w:val="5A4BD5C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B7E20"/>
    <w:rsid w:val="03944417"/>
    <w:rsid w:val="111E7DE5"/>
    <w:rsid w:val="16EB7E20"/>
    <w:rsid w:val="1A1F251B"/>
    <w:rsid w:val="20646A93"/>
    <w:rsid w:val="224D22D1"/>
    <w:rsid w:val="22982281"/>
    <w:rsid w:val="313F6D7B"/>
    <w:rsid w:val="36246486"/>
    <w:rsid w:val="3642433A"/>
    <w:rsid w:val="36D80A32"/>
    <w:rsid w:val="3AE36E26"/>
    <w:rsid w:val="3E3E518E"/>
    <w:rsid w:val="3E924FFA"/>
    <w:rsid w:val="3F666DF4"/>
    <w:rsid w:val="3FD37E62"/>
    <w:rsid w:val="40F202BC"/>
    <w:rsid w:val="44AC0F8C"/>
    <w:rsid w:val="47DC4924"/>
    <w:rsid w:val="47FF421C"/>
    <w:rsid w:val="48F302FC"/>
    <w:rsid w:val="4BF50530"/>
    <w:rsid w:val="4F7C12D6"/>
    <w:rsid w:val="50D7196A"/>
    <w:rsid w:val="53442F79"/>
    <w:rsid w:val="534D6DD8"/>
    <w:rsid w:val="5B434EF3"/>
    <w:rsid w:val="6B726804"/>
    <w:rsid w:val="720D4023"/>
    <w:rsid w:val="73B4529A"/>
    <w:rsid w:val="747A748F"/>
    <w:rsid w:val="76904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2023-05-23T07:37:14Z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550667E64537454DAC653B641F6C32FE</vt:lpwstr>
  </property>
</Properties>
</file>