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lang w:val="en-US" w:eastAsia="zh-CN"/>
          <w14:textFill>
            <w14:solidFill>
              <w14:schemeClr w14:val="tx1"/>
            </w14:solidFill>
          </w14:textFill>
        </w:rPr>
        <w:t>2</w:t>
      </w:r>
    </w:p>
    <w:p>
      <w:pPr>
        <w:spacing w:line="540" w:lineRule="exact"/>
        <w:jc w:val="center"/>
        <w:rPr>
          <w:rFonts w:eastAsia="仿宋_GB2312"/>
          <w:b/>
          <w:bCs/>
          <w:color w:val="000000" w:themeColor="text1"/>
          <w:sz w:val="32"/>
          <w:szCs w:val="32"/>
          <w14:textFill>
            <w14:solidFill>
              <w14:schemeClr w14:val="tx1"/>
            </w14:solidFill>
          </w14:textFill>
        </w:rPr>
      </w:pPr>
    </w:p>
    <w:p>
      <w:pPr>
        <w:spacing w:line="540" w:lineRule="exact"/>
        <w:jc w:val="center"/>
        <w:rPr>
          <w:rFonts w:ascii="仿宋_GB2312" w:hAnsi="仿宋_GB2312" w:eastAsia="仿宋_GB2312" w:cs="仿宋_GB2312"/>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44"/>
          <w:szCs w:val="44"/>
          <w14:textFill>
            <w14:solidFill>
              <w14:schemeClr w14:val="tx1"/>
            </w14:solidFill>
          </w14:textFill>
        </w:rPr>
        <w:t>208</w:t>
      </w:r>
      <w:r>
        <w:rPr>
          <w:rFonts w:hint="eastAsia" w:ascii="仿宋_GB2312" w:hAnsi="仿宋_GB2312" w:eastAsia="仿宋_GB2312" w:cs="仿宋_GB2312"/>
          <w:color w:val="000000" w:themeColor="text1"/>
          <w:sz w:val="44"/>
          <w:szCs w:val="44"/>
          <w:lang w:val="en-US" w:eastAsia="zh-CN"/>
          <w14:textFill>
            <w14:solidFill>
              <w14:schemeClr w14:val="tx1"/>
            </w14:solidFill>
          </w14:textFill>
        </w:rPr>
        <w:t>001</w:t>
      </w:r>
      <w:r>
        <w:rPr>
          <w:rFonts w:hint="eastAsia" w:ascii="仿宋_GB2312" w:hAnsi="仿宋_GB2312" w:eastAsia="仿宋_GB2312" w:cs="仿宋_GB2312"/>
          <w:color w:val="000000" w:themeColor="text1"/>
          <w:sz w:val="44"/>
          <w:szCs w:val="44"/>
          <w14:textFill>
            <w14:solidFill>
              <w14:schemeClr w14:val="tx1"/>
            </w14:solidFill>
          </w14:textFill>
        </w:rPr>
        <w:t>融水苗族自治县档案馆2023年部门预算公开说明</w:t>
      </w:r>
    </w:p>
    <w:p>
      <w:pPr>
        <w:spacing w:line="540" w:lineRule="exact"/>
        <w:rPr>
          <w:rFonts w:eastAsia="方正小标宋简体"/>
          <w:color w:val="000000" w:themeColor="text1"/>
          <w:sz w:val="44"/>
          <w:szCs w:val="44"/>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目 录</w:t>
      </w:r>
    </w:p>
    <w:p>
      <w:pPr>
        <w:pStyle w:val="4"/>
        <w:spacing w:before="0" w:beforeAutospacing="0" w:after="0" w:afterAutospacing="0" w:line="540" w:lineRule="exact"/>
        <w:jc w:val="center"/>
        <w:rPr>
          <w:rStyle w:val="7"/>
          <w:rFonts w:ascii="Times New Roman" w:hAnsi="Times New Roman" w:eastAsia="方正小标宋简体" w:cs="Times New Roman"/>
          <w:color w:val="000000" w:themeColor="text1"/>
          <w:sz w:val="44"/>
          <w:szCs w:val="44"/>
          <w14:textFill>
            <w14:solidFill>
              <w14:schemeClr w14:val="tx1"/>
            </w14:solidFill>
          </w14:textFill>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第一部分：</w:t>
      </w:r>
      <w:r>
        <w:rPr>
          <w:rFonts w:hint="eastAsia" w:ascii="Times New Roman" w:hAnsi="Times New Roman" w:eastAsia="仿宋_GB2312" w:cs="Times New Roman"/>
          <w:b/>
          <w:bCs/>
          <w:color w:val="000000" w:themeColor="text1"/>
          <w:sz w:val="32"/>
          <w:szCs w:val="32"/>
          <w14:textFill>
            <w14:solidFill>
              <w14:schemeClr w14:val="tx1"/>
            </w14:solidFill>
          </w14:textFill>
        </w:rPr>
        <w:t>208</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001</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融水苗族自治县档案馆</w:t>
      </w:r>
      <w:r>
        <w:rPr>
          <w:rFonts w:ascii="Times New Roman" w:hAnsi="Times New Roman" w:eastAsia="仿宋_GB2312" w:cs="Times New Roman"/>
          <w:b/>
          <w:bCs/>
          <w:color w:val="000000" w:themeColor="text1"/>
          <w:sz w:val="32"/>
          <w:szCs w:val="32"/>
          <w14:textFill>
            <w14:solidFill>
              <w14:schemeClr w14:val="tx1"/>
            </w14:solidFill>
          </w14:textFill>
        </w:rPr>
        <w:t>概况</w:t>
      </w:r>
    </w:p>
    <w:p>
      <w:pPr>
        <w:pStyle w:val="4"/>
        <w:spacing w:before="0" w:beforeAutospacing="0" w:after="0" w:afterAutospacing="0" w:line="540" w:lineRule="exact"/>
        <w:rPr>
          <w:rFonts w:ascii="Times New Roman" w:hAnsi="Times New Roman" w:eastAsia="仿宋_GB2312"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第二部分：</w:t>
      </w:r>
      <w:r>
        <w:rPr>
          <w:rFonts w:hint="eastAsia" w:ascii="Times New Roman" w:hAnsi="Times New Roman" w:eastAsia="仿宋_GB2312" w:cs="Times New Roman"/>
          <w:b/>
          <w:bCs/>
          <w:color w:val="000000" w:themeColor="text1"/>
          <w:sz w:val="32"/>
          <w:szCs w:val="32"/>
          <w14:textFill>
            <w14:solidFill>
              <w14:schemeClr w14:val="tx1"/>
            </w14:solidFill>
          </w14:textFill>
        </w:rPr>
        <w:t>208</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001</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融水苗族自治县档案馆</w:t>
      </w:r>
      <w:r>
        <w:rPr>
          <w:rFonts w:ascii="Times New Roman" w:hAnsi="Times New Roman" w:eastAsia="仿宋_GB2312" w:cs="Times New Roman"/>
          <w:b/>
          <w:bCs/>
          <w:color w:val="000000" w:themeColor="text1"/>
          <w:sz w:val="32"/>
          <w:szCs w:val="32"/>
          <w14:textFill>
            <w14:solidFill>
              <w14:schemeClr w14:val="tx1"/>
            </w14:solidFill>
          </w14:textFill>
        </w:rPr>
        <w:t>2023年部门预算情况说明</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第三部分：</w:t>
      </w:r>
      <w:r>
        <w:rPr>
          <w:rFonts w:hint="eastAsia" w:ascii="Times New Roman" w:hAnsi="Times New Roman" w:eastAsia="仿宋_GB2312" w:cs="Times New Roman"/>
          <w:b/>
          <w:bCs/>
          <w:color w:val="000000" w:themeColor="text1"/>
          <w:sz w:val="32"/>
          <w:szCs w:val="32"/>
          <w14:textFill>
            <w14:solidFill>
              <w14:schemeClr w14:val="tx1"/>
            </w14:solidFill>
          </w14:textFill>
        </w:rPr>
        <w:t>208</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001</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融水苗族自治县档案馆</w:t>
      </w:r>
      <w:r>
        <w:rPr>
          <w:rFonts w:ascii="Times New Roman" w:hAnsi="Times New Roman" w:eastAsia="仿宋_GB2312" w:cs="Times New Roman"/>
          <w:b/>
          <w:bCs/>
          <w:color w:val="000000" w:themeColor="text1"/>
          <w:sz w:val="32"/>
          <w:szCs w:val="32"/>
          <w14:textFill>
            <w14:solidFill>
              <w14:schemeClr w14:val="tx1"/>
            </w14:solidFill>
          </w14:textFill>
        </w:rPr>
        <w:t>2023年部门预算报表</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第四部分：名词解释</w:t>
      </w:r>
    </w:p>
    <w:p>
      <w:pPr>
        <w:adjustRightInd w:val="0"/>
        <w:snapToGrid w:val="0"/>
        <w:spacing w:line="540" w:lineRule="exact"/>
        <w:ind w:right="-218" w:rightChars="-104"/>
        <w:jc w:val="center"/>
        <w:rPr>
          <w:rStyle w:val="7"/>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第一部分：</w:t>
      </w:r>
      <w:r>
        <w:rPr>
          <w:rFonts w:hint="eastAsia" w:ascii="仿宋_GB2312" w:hAnsi="仿宋_GB2312" w:eastAsia="仿宋_GB2312" w:cs="仿宋_GB2312"/>
          <w:b/>
          <w:bCs/>
          <w:color w:val="000000" w:themeColor="text1"/>
          <w:kern w:val="0"/>
          <w:sz w:val="32"/>
          <w:szCs w:val="32"/>
          <w14:textFill>
            <w14:solidFill>
              <w14:schemeClr w14:val="tx1"/>
            </w14:solidFill>
          </w14:textFill>
        </w:rPr>
        <w:t>208</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001</w:t>
      </w:r>
      <w:r>
        <w:rPr>
          <w:rFonts w:hint="eastAsia" w:ascii="仿宋_GB2312" w:hAnsi="仿宋_GB2312" w:eastAsia="仿宋_GB2312" w:cs="仿宋_GB2312"/>
          <w:b/>
          <w:bCs/>
          <w:color w:val="000000" w:themeColor="text1"/>
          <w:sz w:val="32"/>
          <w:szCs w:val="32"/>
          <w14:textFill>
            <w14:solidFill>
              <w14:schemeClr w14:val="tx1"/>
            </w14:solidFill>
          </w14:textFill>
        </w:rPr>
        <w:t>融水苗族自治县档案馆</w:t>
      </w:r>
      <w:r>
        <w:rPr>
          <w:rFonts w:hint="eastAsia" w:ascii="仿宋_GB2312" w:hAnsi="仿宋_GB2312" w:eastAsia="仿宋_GB2312" w:cs="仿宋_GB2312"/>
          <w:b/>
          <w:bCs/>
          <w:color w:val="000000" w:themeColor="text1"/>
          <w:kern w:val="0"/>
          <w:sz w:val="32"/>
          <w:szCs w:val="32"/>
          <w14:textFill>
            <w14:solidFill>
              <w14:schemeClr w14:val="tx1"/>
            </w14:solidFill>
          </w14:textFill>
        </w:rPr>
        <w:t>概况</w:t>
      </w:r>
    </w:p>
    <w:p>
      <w:pPr>
        <w:pStyle w:val="4"/>
        <w:spacing w:before="0" w:beforeAutospacing="0" w:after="0" w:afterAutospacing="0" w:line="560" w:lineRule="exact"/>
        <w:rPr>
          <w:rFonts w:ascii="Times New Roman" w:hAnsi="Times New Roman" w:eastAsia="黑体" w:cs="Times New Roman"/>
          <w:color w:val="000000" w:themeColor="text1"/>
          <w:sz w:val="32"/>
          <w:szCs w:val="32"/>
          <w14:textFill>
            <w14:solidFill>
              <w14:schemeClr w14:val="tx1"/>
            </w14:solidFill>
          </w14:textFill>
        </w:rPr>
      </w:pPr>
    </w:p>
    <w:p>
      <w:pPr>
        <w:pStyle w:val="4"/>
        <w:spacing w:before="0" w:beforeAutospacing="0" w:after="0" w:afterAutospacing="0" w:line="560" w:lineRule="exact"/>
        <w:rPr>
          <w:rFonts w:ascii="仿宋_GB2312" w:hAnsi="仿宋_GB2312" w:eastAsia="仿宋_GB2312" w:cs="仿宋_GB2312"/>
          <w:b/>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sz w:val="32"/>
          <w:szCs w:val="32"/>
        </w:rPr>
        <w:t>一、主要职责</w:t>
      </w:r>
    </w:p>
    <w:p>
      <w:pPr>
        <w:ind w:left="320"/>
        <w:rPr>
          <w:rFonts w:ascii="仿宋" w:hAnsi="仿宋" w:eastAsia="仿宋"/>
          <w:sz w:val="32"/>
          <w:szCs w:val="32"/>
        </w:rPr>
      </w:pPr>
      <w:r>
        <w:rPr>
          <w:rFonts w:hint="eastAsia" w:ascii="仿宋_GB2312" w:hAnsi="仿宋_GB2312" w:eastAsia="仿宋_GB2312" w:cs="仿宋_GB2312"/>
          <w:sz w:val="32"/>
          <w:szCs w:val="32"/>
        </w:rPr>
        <w:t>基本职能</w:t>
      </w:r>
      <w:r>
        <w:rPr>
          <w:rFonts w:hint="eastAsia" w:ascii="仿宋" w:hAnsi="仿宋" w:eastAsia="仿宋"/>
          <w:sz w:val="32"/>
          <w:szCs w:val="32"/>
        </w:rPr>
        <w:t xml:space="preserve">   </w:t>
      </w:r>
    </w:p>
    <w:p>
      <w:pPr>
        <w:pStyle w:val="4"/>
        <w:shd w:val="clear" w:color="auto" w:fill="FFFFFF"/>
        <w:spacing w:before="0" w:beforeAutospacing="0" w:after="0" w:afterAutospacing="0" w:line="400" w:lineRule="exact"/>
        <w:ind w:firstLine="848" w:firstLineChars="265"/>
        <w:rPr>
          <w:rFonts w:ascii="仿宋" w:hAnsi="仿宋" w:eastAsia="仿宋"/>
          <w:sz w:val="32"/>
          <w:szCs w:val="32"/>
        </w:rPr>
      </w:pPr>
      <w:r>
        <w:rPr>
          <w:rFonts w:hint="eastAsia" w:ascii="仿宋" w:hAnsi="仿宋" w:eastAsia="仿宋"/>
          <w:sz w:val="32"/>
          <w:szCs w:val="32"/>
        </w:rPr>
        <w:t>1、贯彻实施国家有关档案工作的法律、法规和方针、政策；研究制定全县档案工作的规章制度、业务标准和技术规范，并组织实施；依法开展档案行政执法监督。</w:t>
      </w:r>
    </w:p>
    <w:p>
      <w:pPr>
        <w:pStyle w:val="4"/>
        <w:shd w:val="clear" w:color="auto" w:fill="FFFFFF"/>
        <w:spacing w:before="0" w:beforeAutospacing="0" w:after="0" w:afterAutospacing="0" w:line="400" w:lineRule="exact"/>
        <w:ind w:firstLine="848" w:firstLineChars="265"/>
        <w:rPr>
          <w:rFonts w:ascii="仿宋" w:hAnsi="仿宋" w:eastAsia="仿宋"/>
          <w:sz w:val="32"/>
          <w:szCs w:val="32"/>
        </w:rPr>
      </w:pPr>
      <w:r>
        <w:rPr>
          <w:rFonts w:hint="eastAsia" w:ascii="仿宋" w:hAnsi="仿宋" w:eastAsia="仿宋"/>
          <w:sz w:val="32"/>
          <w:szCs w:val="32"/>
        </w:rPr>
        <w:t xml:space="preserve">2、负责                                                                                                                                                                      研究制定全县档案事业发展的中长期规划和专项计划，并组织实施。  </w:t>
      </w:r>
    </w:p>
    <w:p>
      <w:pPr>
        <w:pStyle w:val="4"/>
        <w:shd w:val="clear" w:color="auto" w:fill="FFFFFF"/>
        <w:spacing w:before="0" w:beforeAutospacing="0" w:after="0" w:afterAutospacing="0" w:line="400" w:lineRule="exact"/>
        <w:ind w:firstLine="375"/>
        <w:rPr>
          <w:rFonts w:ascii="仿宋" w:hAnsi="仿宋" w:eastAsia="仿宋"/>
          <w:sz w:val="32"/>
          <w:szCs w:val="32"/>
        </w:rPr>
      </w:pPr>
      <w:r>
        <w:rPr>
          <w:rFonts w:hint="eastAsia" w:ascii="仿宋" w:hAnsi="仿宋" w:eastAsia="仿宋"/>
          <w:sz w:val="32"/>
          <w:szCs w:val="32"/>
        </w:rPr>
        <w:t xml:space="preserve"> 3、负责接收、收集和保管县直各单位和其他组织按规定移交进馆的档案资料；征集散存在社会上的珍贵档案资料；保守党和国家机密，维护档案的完整，确保档案资料的安全；开发和利用档案资源，为经济建设和社会事业发展提供服务。</w:t>
      </w:r>
    </w:p>
    <w:p>
      <w:pPr>
        <w:pStyle w:val="4"/>
        <w:shd w:val="clear" w:color="auto" w:fill="FFFFFF"/>
        <w:spacing w:before="0" w:beforeAutospacing="0" w:after="0" w:afterAutospacing="0" w:line="400" w:lineRule="exact"/>
        <w:ind w:firstLine="534" w:firstLineChars="167"/>
        <w:rPr>
          <w:rFonts w:ascii="仿宋" w:hAnsi="仿宋" w:eastAsia="仿宋"/>
          <w:sz w:val="32"/>
          <w:szCs w:val="32"/>
        </w:rPr>
      </w:pPr>
      <w:r>
        <w:rPr>
          <w:rFonts w:hint="eastAsia" w:ascii="仿宋" w:hAnsi="仿宋" w:eastAsia="仿宋"/>
          <w:sz w:val="32"/>
          <w:szCs w:val="32"/>
        </w:rPr>
        <w:t>4、负责制定档案工作人员队伍建设规划，组织档案专业人员岗位培训；配合有关部门做好全县档案专业技术资格评审的有关工作。</w:t>
      </w:r>
    </w:p>
    <w:p>
      <w:pPr>
        <w:pStyle w:val="4"/>
        <w:shd w:val="clear" w:color="auto" w:fill="FFFFFF"/>
        <w:spacing w:before="0" w:beforeAutospacing="0" w:after="0" w:afterAutospacing="0" w:line="400" w:lineRule="exact"/>
        <w:ind w:firstLine="534" w:firstLineChars="167"/>
        <w:rPr>
          <w:rFonts w:ascii="仿宋" w:hAnsi="仿宋" w:eastAsia="仿宋"/>
          <w:sz w:val="32"/>
          <w:szCs w:val="32"/>
        </w:rPr>
      </w:pPr>
      <w:r>
        <w:rPr>
          <w:rFonts w:hint="eastAsia" w:ascii="仿宋" w:hAnsi="仿宋" w:eastAsia="仿宋"/>
          <w:sz w:val="32"/>
          <w:szCs w:val="32"/>
        </w:rPr>
        <w:t>5、负责审定档案室档案资料接收和收集范围。</w:t>
      </w:r>
    </w:p>
    <w:p>
      <w:pPr>
        <w:pStyle w:val="4"/>
        <w:shd w:val="clear" w:color="auto" w:fill="FFFFFF"/>
        <w:spacing w:before="0" w:beforeAutospacing="0" w:after="0" w:afterAutospacing="0" w:line="400" w:lineRule="exact"/>
        <w:ind w:firstLine="534" w:firstLineChars="167"/>
        <w:rPr>
          <w:rFonts w:ascii="仿宋" w:hAnsi="仿宋" w:eastAsia="仿宋"/>
          <w:sz w:val="32"/>
          <w:szCs w:val="32"/>
        </w:rPr>
      </w:pPr>
      <w:r>
        <w:rPr>
          <w:rFonts w:hint="eastAsia" w:ascii="仿宋" w:hAnsi="仿宋" w:eastAsia="仿宋"/>
          <w:sz w:val="32"/>
          <w:szCs w:val="32"/>
        </w:rPr>
        <w:t>6、组织指导全县档案理论和科学技术研究工作和开展对外交流活动。</w:t>
      </w:r>
    </w:p>
    <w:p>
      <w:pPr>
        <w:pStyle w:val="4"/>
        <w:shd w:val="clear" w:color="auto" w:fill="FFFFFF"/>
        <w:spacing w:before="0" w:beforeAutospacing="0" w:after="0" w:afterAutospacing="0" w:line="400" w:lineRule="exact"/>
        <w:ind w:firstLine="534" w:firstLineChars="167"/>
        <w:rPr>
          <w:rFonts w:ascii="仿宋" w:hAnsi="仿宋" w:eastAsia="仿宋"/>
          <w:sz w:val="32"/>
          <w:szCs w:val="32"/>
        </w:rPr>
      </w:pPr>
      <w:r>
        <w:rPr>
          <w:rFonts w:hint="eastAsia" w:ascii="仿宋" w:hAnsi="仿宋" w:eastAsia="仿宋"/>
          <w:sz w:val="32"/>
          <w:szCs w:val="32"/>
        </w:rPr>
        <w:t>7、负责监督指导县直和乡镇档案业务工作。</w:t>
      </w:r>
    </w:p>
    <w:p>
      <w:pPr>
        <w:spacing w:line="400" w:lineRule="exact"/>
        <w:ind w:firstLine="640" w:firstLineChars="200"/>
        <w:rPr>
          <w:rFonts w:ascii="仿宋" w:hAnsi="仿宋" w:eastAsia="仿宋"/>
          <w:sz w:val="32"/>
          <w:szCs w:val="32"/>
        </w:rPr>
      </w:pPr>
      <w:r>
        <w:rPr>
          <w:rFonts w:hint="eastAsia" w:ascii="仿宋" w:hAnsi="仿宋" w:eastAsia="仿宋"/>
          <w:sz w:val="32"/>
          <w:szCs w:val="32"/>
        </w:rPr>
        <w:t>8、承办县委、县政府交办的其他事项。</w:t>
      </w:r>
    </w:p>
    <w:p>
      <w:pPr>
        <w:widowControl/>
        <w:snapToGrid w:val="0"/>
        <w:spacing w:line="560" w:lineRule="exact"/>
        <w:jc w:val="left"/>
        <w:rPr>
          <w:rFonts w:ascii="仿宋" w:hAnsi="仿宋" w:eastAsia="仿宋" w:cs="宋体"/>
          <w:bCs/>
          <w:kern w:val="0"/>
          <w:sz w:val="32"/>
          <w:szCs w:val="32"/>
        </w:rPr>
      </w:pPr>
      <w:r>
        <w:rPr>
          <w:rFonts w:hint="eastAsia" w:ascii="仿宋" w:hAnsi="仿宋" w:eastAsia="仿宋" w:cs="宋体"/>
          <w:bCs/>
          <w:kern w:val="0"/>
          <w:sz w:val="32"/>
          <w:szCs w:val="32"/>
        </w:rPr>
        <w:t>主要工作情况</w:t>
      </w:r>
    </w:p>
    <w:p>
      <w:pPr>
        <w:widowControl/>
        <w:snapToGrid w:val="0"/>
        <w:spacing w:line="560" w:lineRule="exact"/>
        <w:ind w:firstLine="643"/>
        <w:jc w:val="left"/>
        <w:rPr>
          <w:rFonts w:ascii="仿宋" w:hAnsi="仿宋" w:eastAsia="仿宋" w:cs="宋体"/>
          <w:kern w:val="0"/>
          <w:sz w:val="32"/>
          <w:szCs w:val="32"/>
        </w:rPr>
      </w:pPr>
      <w:r>
        <w:rPr>
          <w:rFonts w:hint="eastAsia" w:ascii="仿宋" w:hAnsi="仿宋" w:eastAsia="仿宋" w:cs="宋体"/>
          <w:bCs/>
          <w:kern w:val="0"/>
          <w:sz w:val="32"/>
          <w:szCs w:val="32"/>
        </w:rPr>
        <w:t>1.切实做好县级综合档案馆建设项目的深入推进</w:t>
      </w:r>
    </w:p>
    <w:p>
      <w:pPr>
        <w:widowControl/>
        <w:snapToGrid w:val="0"/>
        <w:spacing w:line="56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严格按照中央、区、市有关综合档案馆库建设的标准，积极向上争取，努力做好县级综合档案馆建设，力求使新馆建设达到“社会性、文化性、开放性、现代性和标志性”的要求。</w:t>
      </w:r>
    </w:p>
    <w:p>
      <w:pPr>
        <w:widowControl/>
        <w:snapToGrid w:val="0"/>
        <w:spacing w:line="560" w:lineRule="exact"/>
        <w:ind w:firstLine="643"/>
        <w:jc w:val="left"/>
        <w:rPr>
          <w:rFonts w:ascii="仿宋" w:hAnsi="仿宋" w:eastAsia="仿宋" w:cs="宋体"/>
          <w:kern w:val="0"/>
          <w:sz w:val="32"/>
          <w:szCs w:val="32"/>
        </w:rPr>
      </w:pPr>
      <w:r>
        <w:rPr>
          <w:rFonts w:hint="eastAsia" w:ascii="仿宋" w:hAnsi="仿宋" w:eastAsia="仿宋" w:cs="宋体"/>
          <w:bCs/>
          <w:kern w:val="0"/>
          <w:sz w:val="32"/>
          <w:szCs w:val="32"/>
        </w:rPr>
        <w:t>2.加强档案法制建设，促进档案工作规范管理</w:t>
      </w:r>
    </w:p>
    <w:p>
      <w:pPr>
        <w:widowControl/>
        <w:snapToGrid w:val="0"/>
        <w:spacing w:line="56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继续推进档案法律法规宣传教育活动，认真开展档案执法检查，规范机关档案工作、企事业档案工作，进一步加大对辖区内民生、重大活动和重点建设项目档案工作的监督指导力度。</w:t>
      </w:r>
    </w:p>
    <w:p>
      <w:pPr>
        <w:widowControl/>
        <w:snapToGrid w:val="0"/>
        <w:spacing w:line="560" w:lineRule="exact"/>
        <w:ind w:firstLine="643"/>
        <w:jc w:val="left"/>
        <w:rPr>
          <w:rFonts w:ascii="仿宋" w:hAnsi="仿宋" w:eastAsia="仿宋" w:cs="宋体"/>
          <w:kern w:val="0"/>
          <w:sz w:val="32"/>
          <w:szCs w:val="32"/>
        </w:rPr>
      </w:pPr>
      <w:r>
        <w:rPr>
          <w:rFonts w:hint="eastAsia" w:ascii="仿宋" w:hAnsi="仿宋" w:eastAsia="仿宋" w:cs="宋体"/>
          <w:bCs/>
          <w:kern w:val="0"/>
          <w:sz w:val="32"/>
          <w:szCs w:val="32"/>
        </w:rPr>
        <w:t xml:space="preserve">3.加强档案信息化建设面                                                                          </w:t>
      </w:r>
    </w:p>
    <w:p>
      <w:pPr>
        <w:widowControl/>
        <w:snapToGrid w:val="0"/>
        <w:spacing w:line="56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一是是继续做好馆藏文件级目录的录入和维护工作。二是在做好查档接待工作的同时，完成好开放档案的解密划控；三是策划好融水县档案局信息网站和馆藏重要档案的全文数据扫描工作。</w:t>
      </w:r>
    </w:p>
    <w:p>
      <w:pPr>
        <w:widowControl/>
        <w:snapToGrid w:val="0"/>
        <w:spacing w:line="560" w:lineRule="exact"/>
        <w:ind w:firstLine="643"/>
        <w:jc w:val="left"/>
        <w:rPr>
          <w:rFonts w:ascii="仿宋" w:hAnsi="仿宋" w:eastAsia="仿宋" w:cs="宋体"/>
          <w:kern w:val="0"/>
          <w:sz w:val="32"/>
          <w:szCs w:val="32"/>
        </w:rPr>
      </w:pPr>
      <w:r>
        <w:rPr>
          <w:rFonts w:hint="eastAsia" w:ascii="仿宋" w:hAnsi="仿宋" w:eastAsia="仿宋" w:cs="宋体"/>
          <w:bCs/>
          <w:kern w:val="0"/>
          <w:sz w:val="32"/>
          <w:szCs w:val="32"/>
        </w:rPr>
        <w:t>4.做好档案征集编研工作</w:t>
      </w:r>
    </w:p>
    <w:p>
      <w:pPr>
        <w:widowControl/>
        <w:snapToGrid w:val="0"/>
        <w:spacing w:line="56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做好融水县历届党代会档案的编研工作，争取出书。</w:t>
      </w:r>
    </w:p>
    <w:p>
      <w:pPr>
        <w:widowControl/>
        <w:snapToGrid w:val="0"/>
        <w:spacing w:line="560" w:lineRule="exact"/>
        <w:ind w:firstLine="643"/>
        <w:jc w:val="left"/>
        <w:rPr>
          <w:rFonts w:ascii="仿宋" w:hAnsi="仿宋" w:eastAsia="仿宋" w:cs="宋体"/>
          <w:kern w:val="0"/>
          <w:sz w:val="32"/>
          <w:szCs w:val="32"/>
        </w:rPr>
      </w:pPr>
      <w:r>
        <w:rPr>
          <w:rFonts w:hint="eastAsia" w:ascii="仿宋" w:hAnsi="仿宋" w:eastAsia="仿宋" w:cs="宋体"/>
          <w:bCs/>
          <w:kern w:val="0"/>
          <w:sz w:val="32"/>
          <w:szCs w:val="32"/>
        </w:rPr>
        <w:t>5.加强部门自身建设和档案干部队伍建设</w:t>
      </w:r>
    </w:p>
    <w:p>
      <w:pPr>
        <w:rPr>
          <w:rFonts w:ascii="仿宋" w:hAnsi="仿宋" w:eastAsia="仿宋"/>
          <w:sz w:val="32"/>
          <w:szCs w:val="32"/>
        </w:rPr>
      </w:pPr>
      <w:r>
        <w:rPr>
          <w:rFonts w:hint="eastAsia" w:ascii="仿宋" w:hAnsi="仿宋" w:eastAsia="仿宋" w:cs="宋体"/>
          <w:kern w:val="0"/>
          <w:sz w:val="32"/>
          <w:szCs w:val="32"/>
        </w:rPr>
        <w:t>进一步加强档案干部培养，提高队伍素质，不断创新管理机制，通过制度带动，切实加强档案干部队伍建设</w:t>
      </w:r>
    </w:p>
    <w:p>
      <w:p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二、机构设置情况</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档案局共有直属单位0个。其中行政单位0个，参照公务员管理事业单位1个，全额拨款事业单位0个，差额拨款事业单位0个，自收自支事业单位0个。参照公务员管理事业单位分别是融水苗族自治县档案局。机关本级内设科室为别为：1、办公室；2、业务股、3现行文件查阅中心。</w:t>
      </w:r>
    </w:p>
    <w:p>
      <w:p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三、编制现状及人员构成</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单位人员编制总数为7人，其中：行政编制（含参公单位）0人，事业编制7人，工勤编制0人。编内在职7人，其中：行政在职0人，全额事业在职7人，工勤编制0人。离休人员0人，退休补助9人。</w:t>
      </w:r>
    </w:p>
    <w:p>
      <w:pPr>
        <w:pStyle w:val="4"/>
        <w:spacing w:before="0" w:beforeAutospacing="0" w:after="0" w:afterAutospacing="0"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（一）机关本级</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编制0人，其中：行政编制0人，工勤编制0人。编内在职0人，其中：行政在职0人，工勤编制0人。离休人员0人，退休补助0人。</w:t>
      </w:r>
    </w:p>
    <w:p>
      <w:pPr>
        <w:pStyle w:val="4"/>
        <w:spacing w:before="0" w:beforeAutospacing="0" w:after="0" w:afterAutospacing="0"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（二）（所属事业单位一）</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参公编制7人，编内在职7人，退休人员9人，聘用人员0人。离休人员0人，退休补助0人。</w:t>
      </w:r>
    </w:p>
    <w:p>
      <w:pPr>
        <w:spacing w:line="560" w:lineRule="exact"/>
        <w:ind w:firstLine="643" w:firstLineChars="200"/>
        <w:jc w:val="left"/>
        <w:rPr>
          <w:rFonts w:ascii="楷体_GB2312" w:hAnsi="华文仿宋" w:eastAsia="楷体_GB2312"/>
          <w:b/>
          <w:color w:val="000000"/>
          <w:sz w:val="32"/>
          <w:szCs w:val="32"/>
        </w:rPr>
      </w:pPr>
      <w:r>
        <w:rPr>
          <w:rFonts w:hint="eastAsia" w:ascii="楷体_GB2312" w:hAnsi="华文仿宋" w:eastAsia="楷体_GB2312"/>
          <w:b/>
          <w:color w:val="000000"/>
          <w:sz w:val="32"/>
          <w:szCs w:val="32"/>
        </w:rPr>
        <w:t>（三）（所属事业单位二）</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全额事业编制0人，编内在职0人，退休人员0人，聘用人员0人。离休人员0人，退休补助0人。</w:t>
      </w:r>
    </w:p>
    <w:p>
      <w:pPr>
        <w:pStyle w:val="4"/>
        <w:spacing w:before="0" w:beforeAutospacing="0" w:after="0" w:afterAutospacing="0" w:line="540" w:lineRule="exact"/>
        <w:jc w:val="both"/>
        <w:rPr>
          <w:rFonts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540" w:lineRule="exact"/>
        <w:ind w:right="-218" w:rightChars="-104"/>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第二部分：</w:t>
      </w:r>
      <w:r>
        <w:rPr>
          <w:rFonts w:hint="eastAsia" w:ascii="仿宋_GB2312" w:hAnsi="仿宋_GB2312" w:eastAsia="仿宋_GB2312" w:cs="仿宋_GB2312"/>
          <w:b/>
          <w:bCs/>
          <w:color w:val="000000" w:themeColor="text1"/>
          <w:kern w:val="0"/>
          <w:sz w:val="32"/>
          <w:szCs w:val="32"/>
          <w14:textFill>
            <w14:solidFill>
              <w14:schemeClr w14:val="tx1"/>
            </w14:solidFill>
          </w14:textFill>
        </w:rPr>
        <w:t>208</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001</w:t>
      </w:r>
      <w:r>
        <w:rPr>
          <w:rFonts w:hint="eastAsia" w:ascii="仿宋_GB2312" w:hAnsi="仿宋_GB2312" w:eastAsia="仿宋_GB2312" w:cs="仿宋_GB2312"/>
          <w:b/>
          <w:bCs/>
          <w:color w:val="000000" w:themeColor="text1"/>
          <w:sz w:val="32"/>
          <w:szCs w:val="32"/>
          <w14:textFill>
            <w14:solidFill>
              <w14:schemeClr w14:val="tx1"/>
            </w14:solidFill>
          </w14:textFill>
        </w:rPr>
        <w:t>融水苗族自治县档案馆</w:t>
      </w:r>
      <w:r>
        <w:rPr>
          <w:rFonts w:hint="eastAsia" w:ascii="仿宋_GB2312" w:hAnsi="仿宋_GB2312" w:eastAsia="仿宋_GB2312" w:cs="仿宋_GB2312"/>
          <w:b/>
          <w:bCs/>
          <w:color w:val="000000" w:themeColor="text1"/>
          <w:kern w:val="0"/>
          <w:sz w:val="32"/>
          <w:szCs w:val="32"/>
          <w14:textFill>
            <w14:solidFill>
              <w14:schemeClr w14:val="tx1"/>
            </w14:solidFill>
          </w14:textFill>
        </w:rPr>
        <w:t>2023年部门预算情况说明</w:t>
      </w:r>
    </w:p>
    <w:p>
      <w:pPr>
        <w:tabs>
          <w:tab w:val="center" w:pos="4475"/>
        </w:tabs>
        <w:spacing w:line="540" w:lineRule="exact"/>
        <w:ind w:firstLine="645"/>
        <w:rPr>
          <w:rFonts w:ascii="仿宋_GB2312" w:hAnsi="仿宋_GB2312" w:eastAsia="仿宋_GB2312" w:cs="仿宋_GB2312"/>
          <w:b/>
          <w:bCs/>
          <w:color w:val="000000" w:themeColor="text1"/>
          <w:kern w:val="0"/>
          <w:sz w:val="32"/>
          <w:szCs w:val="32"/>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w:t>
      </w:r>
      <w:r>
        <w:rPr>
          <w:rFonts w:hint="eastAsia" w:eastAsia="黑体"/>
          <w:color w:val="000000" w:themeColor="text1"/>
          <w:kern w:val="0"/>
          <w:sz w:val="32"/>
          <w:szCs w:val="32"/>
          <w14:textFill>
            <w14:solidFill>
              <w14:schemeClr w14:val="tx1"/>
            </w14:solidFill>
          </w14:textFill>
        </w:rPr>
        <w:t>部门</w:t>
      </w:r>
      <w:r>
        <w:rPr>
          <w:rFonts w:eastAsia="黑体"/>
          <w:color w:val="000000" w:themeColor="text1"/>
          <w:kern w:val="0"/>
          <w:sz w:val="32"/>
          <w:szCs w:val="32"/>
          <w14:textFill>
            <w14:solidFill>
              <w14:schemeClr w14:val="tx1"/>
            </w14:solidFill>
          </w14:textFill>
        </w:rPr>
        <w:t>收支预算情况说明</w:t>
      </w:r>
    </w:p>
    <w:p>
      <w:pPr>
        <w:tabs>
          <w:tab w:val="center" w:pos="4475"/>
        </w:tabs>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2023年</w:t>
      </w:r>
      <w:r>
        <w:rPr>
          <w:rFonts w:hint="eastAsia" w:eastAsia="仿宋_GB2312"/>
          <w:color w:val="000000" w:themeColor="text1"/>
          <w:sz w:val="32"/>
          <w:szCs w:val="32"/>
          <w14:textFill>
            <w14:solidFill>
              <w14:schemeClr w14:val="tx1"/>
            </w14:solidFill>
          </w14:textFill>
        </w:rPr>
        <w:t>部门</w:t>
      </w:r>
      <w:r>
        <w:rPr>
          <w:rFonts w:eastAsia="仿宋_GB2312"/>
          <w:color w:val="000000" w:themeColor="text1"/>
          <w:sz w:val="32"/>
          <w:szCs w:val="32"/>
          <w14:textFill>
            <w14:solidFill>
              <w14:schemeClr w14:val="tx1"/>
            </w14:solidFill>
          </w14:textFill>
        </w:rPr>
        <w:t>收支总预算</w:t>
      </w:r>
      <w:r>
        <w:rPr>
          <w:rFonts w:hint="eastAsia" w:eastAsia="仿宋_GB2312"/>
          <w:color w:val="000000" w:themeColor="text1"/>
          <w:sz w:val="32"/>
          <w:szCs w:val="32"/>
          <w14:textFill>
            <w14:solidFill>
              <w14:schemeClr w14:val="tx1"/>
            </w14:solidFill>
          </w14:textFill>
        </w:rPr>
        <w:t>147.16</w:t>
      </w:r>
      <w:r>
        <w:rPr>
          <w:rFonts w:eastAsia="仿宋_GB2312"/>
          <w:color w:val="000000" w:themeColor="text1"/>
          <w:sz w:val="32"/>
          <w:szCs w:val="32"/>
          <w14:textFill>
            <w14:solidFill>
              <w14:schemeClr w14:val="tx1"/>
            </w14:solidFill>
          </w14:textFill>
        </w:rPr>
        <w:t>万元，同比减少</w:t>
      </w:r>
      <w:r>
        <w:rPr>
          <w:rFonts w:hint="eastAsia" w:eastAsia="仿宋_GB2312"/>
          <w:color w:val="000000" w:themeColor="text1"/>
          <w:sz w:val="32"/>
          <w:szCs w:val="32"/>
          <w14:textFill>
            <w14:solidFill>
              <w14:schemeClr w14:val="tx1"/>
            </w14:solidFill>
          </w14:textFill>
        </w:rPr>
        <w:t>18.08</w:t>
      </w:r>
      <w:r>
        <w:rPr>
          <w:rFonts w:eastAsia="仿宋_GB2312"/>
          <w:color w:val="000000" w:themeColor="text1"/>
          <w:sz w:val="32"/>
          <w:szCs w:val="32"/>
          <w14:textFill>
            <w14:solidFill>
              <w14:schemeClr w14:val="tx1"/>
            </w14:solidFill>
          </w14:textFill>
        </w:rPr>
        <w:t>万元，同比下降</w:t>
      </w:r>
      <w:r>
        <w:rPr>
          <w:rFonts w:hint="eastAsia" w:eastAsia="仿宋_GB2312"/>
          <w:color w:val="000000" w:themeColor="text1"/>
          <w:sz w:val="32"/>
          <w:szCs w:val="32"/>
          <w14:textFill>
            <w14:solidFill>
              <w14:schemeClr w14:val="tx1"/>
            </w14:solidFill>
          </w14:textFill>
        </w:rPr>
        <w:t>10.94</w:t>
      </w:r>
      <w:r>
        <w:rPr>
          <w:rFonts w:eastAsia="仿宋_GB2312"/>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收入包括：一般公共预算拨款</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支出包括：一般公共服务支出、社会保障和就业支出、卫生健康支出、住房保障支出。</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14:textFill>
            <w14:solidFill>
              <w14:schemeClr w14:val="tx1"/>
            </w14:solidFill>
          </w14:textFill>
        </w:rPr>
        <w:t>部门</w:t>
      </w:r>
      <w:r>
        <w:rPr>
          <w:rFonts w:eastAsia="黑体"/>
          <w:color w:val="000000" w:themeColor="text1"/>
          <w:kern w:val="0"/>
          <w:sz w:val="32"/>
          <w:szCs w:val="32"/>
          <w14:textFill>
            <w14:solidFill>
              <w14:schemeClr w14:val="tx1"/>
            </w14:solidFill>
          </w14:textFill>
        </w:rPr>
        <w:t>收入预算情况说明</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2023年</w:t>
      </w:r>
      <w:r>
        <w:rPr>
          <w:rFonts w:hint="eastAsia" w:eastAsia="仿宋_GB2312"/>
          <w:color w:val="000000" w:themeColor="text1"/>
          <w:sz w:val="32"/>
          <w:szCs w:val="32"/>
          <w14:textFill>
            <w14:solidFill>
              <w14:schemeClr w14:val="tx1"/>
            </w14:solidFill>
          </w14:textFill>
        </w:rPr>
        <w:t>部门</w:t>
      </w:r>
      <w:r>
        <w:rPr>
          <w:rFonts w:eastAsia="仿宋_GB2312"/>
          <w:color w:val="000000" w:themeColor="text1"/>
          <w:sz w:val="32"/>
          <w:szCs w:val="32"/>
          <w14:textFill>
            <w14:solidFill>
              <w14:schemeClr w14:val="tx1"/>
            </w14:solidFill>
          </w14:textFill>
        </w:rPr>
        <w:t>收入总预算</w:t>
      </w:r>
      <w:r>
        <w:rPr>
          <w:rFonts w:hint="eastAsia" w:eastAsia="仿宋_GB2312"/>
          <w:color w:val="000000" w:themeColor="text1"/>
          <w:sz w:val="32"/>
          <w:szCs w:val="32"/>
          <w14:textFill>
            <w14:solidFill>
              <w14:schemeClr w14:val="tx1"/>
            </w14:solidFill>
          </w14:textFill>
        </w:rPr>
        <w:t>147.16</w:t>
      </w:r>
      <w:r>
        <w:rPr>
          <w:rFonts w:eastAsia="仿宋_GB2312"/>
          <w:color w:val="000000" w:themeColor="text1"/>
          <w:sz w:val="32"/>
          <w:szCs w:val="32"/>
          <w14:textFill>
            <w14:solidFill>
              <w14:schemeClr w14:val="tx1"/>
            </w14:solidFill>
          </w14:textFill>
        </w:rPr>
        <w:t>万元，同比减少</w:t>
      </w:r>
      <w:r>
        <w:rPr>
          <w:rFonts w:hint="eastAsia" w:eastAsia="仿宋_GB2312"/>
          <w:color w:val="000000" w:themeColor="text1"/>
          <w:sz w:val="32"/>
          <w:szCs w:val="32"/>
          <w14:textFill>
            <w14:solidFill>
              <w14:schemeClr w14:val="tx1"/>
            </w14:solidFill>
          </w14:textFill>
        </w:rPr>
        <w:t>18.08</w:t>
      </w:r>
      <w:r>
        <w:rPr>
          <w:rFonts w:eastAsia="仿宋_GB2312"/>
          <w:color w:val="000000" w:themeColor="text1"/>
          <w:sz w:val="32"/>
          <w:szCs w:val="32"/>
          <w14:textFill>
            <w14:solidFill>
              <w14:schemeClr w14:val="tx1"/>
            </w14:solidFill>
          </w14:textFill>
        </w:rPr>
        <w:t>万元，同比下降</w:t>
      </w:r>
      <w:r>
        <w:rPr>
          <w:rFonts w:hint="eastAsia" w:eastAsia="仿宋_GB2312"/>
          <w:color w:val="000000" w:themeColor="text1"/>
          <w:sz w:val="32"/>
          <w:szCs w:val="32"/>
          <w14:textFill>
            <w14:solidFill>
              <w14:schemeClr w14:val="tx1"/>
            </w14:solidFill>
          </w14:textFill>
        </w:rPr>
        <w:t>10.94</w:t>
      </w:r>
      <w:r>
        <w:rPr>
          <w:rFonts w:eastAsia="仿宋_GB2312"/>
          <w:color w:val="000000" w:themeColor="text1"/>
          <w:sz w:val="32"/>
          <w:szCs w:val="32"/>
          <w14:textFill>
            <w14:solidFill>
              <w14:schemeClr w14:val="tx1"/>
            </w14:solidFill>
          </w14:textFill>
        </w:rPr>
        <w:t>%。其中：</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（一）一般公共预算拨款</w:t>
      </w:r>
      <w:r>
        <w:rPr>
          <w:rFonts w:hint="eastAsia" w:eastAsia="仿宋_GB2312"/>
          <w:color w:val="000000" w:themeColor="text1"/>
          <w:sz w:val="32"/>
          <w:szCs w:val="32"/>
          <w14:textFill>
            <w14:solidFill>
              <w14:schemeClr w14:val="tx1"/>
            </w14:solidFill>
          </w14:textFill>
        </w:rPr>
        <w:t>147.16</w:t>
      </w:r>
      <w:r>
        <w:rPr>
          <w:rFonts w:eastAsia="仿宋_GB2312"/>
          <w:color w:val="000000" w:themeColor="text1"/>
          <w:sz w:val="32"/>
          <w:szCs w:val="32"/>
          <w14:textFill>
            <w14:solidFill>
              <w14:schemeClr w14:val="tx1"/>
            </w14:solidFill>
          </w14:textFill>
        </w:rPr>
        <w:t>万元，同比减少</w:t>
      </w:r>
      <w:r>
        <w:rPr>
          <w:rFonts w:hint="eastAsia" w:eastAsia="仿宋_GB2312"/>
          <w:color w:val="000000" w:themeColor="text1"/>
          <w:sz w:val="32"/>
          <w:szCs w:val="32"/>
          <w14:textFill>
            <w14:solidFill>
              <w14:schemeClr w14:val="tx1"/>
            </w14:solidFill>
          </w14:textFill>
        </w:rPr>
        <w:t>18.08</w:t>
      </w:r>
      <w:r>
        <w:rPr>
          <w:rFonts w:eastAsia="仿宋_GB2312"/>
          <w:color w:val="000000" w:themeColor="text1"/>
          <w:sz w:val="32"/>
          <w:szCs w:val="32"/>
          <w14:textFill>
            <w14:solidFill>
              <w14:schemeClr w14:val="tx1"/>
            </w14:solidFill>
          </w14:textFill>
        </w:rPr>
        <w:t>万元，同比下降</w:t>
      </w:r>
      <w:r>
        <w:rPr>
          <w:rFonts w:hint="eastAsia" w:eastAsia="仿宋_GB2312"/>
          <w:color w:val="000000" w:themeColor="text1"/>
          <w:sz w:val="32"/>
          <w:szCs w:val="32"/>
          <w14:textFill>
            <w14:solidFill>
              <w14:schemeClr w14:val="tx1"/>
            </w14:solidFill>
          </w14:textFill>
        </w:rPr>
        <w:t>10.94</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（二）政府性基金预算收入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万元，同比增加（减少）××万元，同比增长（下降）</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（三）</w:t>
      </w:r>
      <w:r>
        <w:rPr>
          <w:rFonts w:eastAsia="仿宋_GB2312"/>
          <w:color w:val="000000" w:themeColor="text1"/>
          <w:sz w:val="32"/>
          <w:szCs w:val="32"/>
          <w14:textFill>
            <w14:solidFill>
              <w14:schemeClr w14:val="tx1"/>
            </w14:solidFill>
          </w14:textFill>
        </w:rPr>
        <w:t>国有资本经营预算收入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万元，同比增加（减少）××万元，同比增长（下降）</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（X）</w:t>
      </w:r>
      <w:r>
        <w:rPr>
          <w:rFonts w:eastAsia="仿宋_GB2312"/>
          <w:color w:val="000000" w:themeColor="text1"/>
          <w:sz w:val="32"/>
          <w:szCs w:val="32"/>
          <w14:textFill>
            <w14:solidFill>
              <w14:schemeClr w14:val="tx1"/>
            </w14:solidFill>
          </w14:textFill>
        </w:rPr>
        <w:t>上年</w:t>
      </w:r>
      <w:r>
        <w:rPr>
          <w:rFonts w:hint="eastAsia" w:eastAsia="仿宋_GB2312"/>
          <w:color w:val="000000" w:themeColor="text1"/>
          <w:sz w:val="32"/>
          <w:szCs w:val="32"/>
          <w14:textFill>
            <w14:solidFill>
              <w14:schemeClr w14:val="tx1"/>
            </w14:solidFill>
          </w14:textFill>
        </w:rPr>
        <w:t>结转结余</w:t>
      </w:r>
      <w:r>
        <w:rPr>
          <w:rFonts w:eastAsia="仿宋_GB2312"/>
          <w:color w:val="000000" w:themeColor="text1"/>
          <w:sz w:val="32"/>
          <w:szCs w:val="32"/>
          <w14:textFill>
            <w14:solidFill>
              <w14:schemeClr w14:val="tx1"/>
            </w14:solidFill>
          </w14:textFill>
        </w:rPr>
        <w:t>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万元，同比增加（减少）</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万元，同比增长（下降）</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2023年收入预算总体减少主要是</w:t>
      </w:r>
      <w:r>
        <w:rPr>
          <w:rFonts w:hint="eastAsia" w:ascii="Times New Roman" w:hAnsi="Times New Roman" w:eastAsia="仿宋_GB2312" w:cs="Times New Roman"/>
          <w:color w:val="000000" w:themeColor="text1"/>
          <w:sz w:val="32"/>
          <w:szCs w:val="32"/>
          <w14:textFill>
            <w14:solidFill>
              <w14:schemeClr w14:val="tx1"/>
            </w14:solidFill>
          </w14:textFill>
        </w:rPr>
        <w:t>项目资金</w:t>
      </w:r>
      <w:r>
        <w:rPr>
          <w:rFonts w:ascii="Times New Roman" w:hAnsi="Times New Roman" w:eastAsia="仿宋_GB2312" w:cs="Times New Roman"/>
          <w:color w:val="000000" w:themeColor="text1"/>
          <w:sz w:val="32"/>
          <w:szCs w:val="32"/>
          <w14:textFill>
            <w14:solidFill>
              <w14:schemeClr w14:val="tx1"/>
            </w14:solidFill>
          </w14:textFill>
        </w:rPr>
        <w:t>减少</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14:textFill>
            <w14:solidFill>
              <w14:schemeClr w14:val="tx1"/>
            </w14:solidFill>
          </w14:textFill>
        </w:rPr>
        <w:t>部门</w:t>
      </w:r>
      <w:r>
        <w:rPr>
          <w:rFonts w:eastAsia="黑体"/>
          <w:color w:val="000000" w:themeColor="text1"/>
          <w:kern w:val="0"/>
          <w:sz w:val="32"/>
          <w:szCs w:val="32"/>
          <w14:textFill>
            <w14:solidFill>
              <w14:schemeClr w14:val="tx1"/>
            </w14:solidFill>
          </w14:textFill>
        </w:rPr>
        <w:t>支出预算情况说明</w:t>
      </w:r>
    </w:p>
    <w:p>
      <w:pPr>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2023年</w:t>
      </w:r>
      <w:r>
        <w:rPr>
          <w:rFonts w:hint="eastAsia" w:eastAsia="仿宋_GB2312"/>
          <w:color w:val="000000" w:themeColor="text1"/>
          <w:sz w:val="32"/>
          <w:szCs w:val="32"/>
          <w14:textFill>
            <w14:solidFill>
              <w14:schemeClr w14:val="tx1"/>
            </w14:solidFill>
          </w14:textFill>
        </w:rPr>
        <w:t>部门</w:t>
      </w:r>
      <w:r>
        <w:rPr>
          <w:rFonts w:eastAsia="仿宋_GB2312"/>
          <w:color w:val="000000" w:themeColor="text1"/>
          <w:sz w:val="32"/>
          <w:szCs w:val="32"/>
          <w14:textFill>
            <w14:solidFill>
              <w14:schemeClr w14:val="tx1"/>
            </w14:solidFill>
          </w14:textFill>
        </w:rPr>
        <w:t>支出总预算</w:t>
      </w:r>
      <w:r>
        <w:rPr>
          <w:rFonts w:hint="eastAsia" w:eastAsia="仿宋_GB2312"/>
          <w:color w:val="000000" w:themeColor="text1"/>
          <w:sz w:val="32"/>
          <w:szCs w:val="32"/>
          <w14:textFill>
            <w14:solidFill>
              <w14:schemeClr w14:val="tx1"/>
            </w14:solidFill>
          </w14:textFill>
        </w:rPr>
        <w:t>147.16</w:t>
      </w:r>
      <w:r>
        <w:rPr>
          <w:rFonts w:eastAsia="仿宋_GB2312"/>
          <w:color w:val="000000" w:themeColor="text1"/>
          <w:sz w:val="32"/>
          <w:szCs w:val="32"/>
          <w14:textFill>
            <w14:solidFill>
              <w14:schemeClr w14:val="tx1"/>
            </w14:solidFill>
          </w14:textFill>
        </w:rPr>
        <w:t>万元，基本支出预算</w:t>
      </w:r>
      <w:r>
        <w:rPr>
          <w:rFonts w:hint="eastAsia" w:eastAsia="仿宋_GB2312"/>
          <w:color w:val="000000" w:themeColor="text1"/>
          <w:sz w:val="32"/>
          <w:szCs w:val="32"/>
          <w14:textFill>
            <w14:solidFill>
              <w14:schemeClr w14:val="tx1"/>
            </w14:solidFill>
          </w14:textFill>
        </w:rPr>
        <w:t>126.15</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14:textFill>
            <w14:solidFill>
              <w14:schemeClr w14:val="tx1"/>
            </w14:solidFill>
          </w14:textFill>
        </w:rPr>
        <w:t>85.72</w:t>
      </w:r>
      <w:r>
        <w:rPr>
          <w:rFonts w:eastAsia="仿宋_GB2312"/>
          <w:color w:val="000000" w:themeColor="text1"/>
          <w:sz w:val="32"/>
          <w:szCs w:val="32"/>
          <w14:textFill>
            <w14:solidFill>
              <w14:schemeClr w14:val="tx1"/>
            </w14:solidFill>
          </w14:textFill>
        </w:rPr>
        <w:t>%，同比增加</w:t>
      </w:r>
      <w:r>
        <w:rPr>
          <w:rFonts w:hint="eastAsia" w:eastAsia="仿宋_GB2312"/>
          <w:color w:val="000000" w:themeColor="text1"/>
          <w:sz w:val="32"/>
          <w:szCs w:val="32"/>
          <w14:textFill>
            <w14:solidFill>
              <w14:schemeClr w14:val="tx1"/>
            </w14:solidFill>
          </w14:textFill>
        </w:rPr>
        <w:t>24.2</w:t>
      </w:r>
      <w:r>
        <w:rPr>
          <w:rFonts w:eastAsia="仿宋_GB2312"/>
          <w:color w:val="000000" w:themeColor="text1"/>
          <w:sz w:val="32"/>
          <w:szCs w:val="32"/>
          <w14:textFill>
            <w14:solidFill>
              <w14:schemeClr w14:val="tx1"/>
            </w14:solidFill>
          </w14:textFill>
        </w:rPr>
        <w:t>万元，同比增长</w:t>
      </w:r>
      <w:r>
        <w:rPr>
          <w:rFonts w:hint="eastAsia" w:eastAsia="仿宋_GB2312"/>
          <w:color w:val="000000" w:themeColor="text1"/>
          <w:sz w:val="32"/>
          <w:szCs w:val="32"/>
          <w14:textFill>
            <w14:solidFill>
              <w14:schemeClr w14:val="tx1"/>
            </w14:solidFill>
          </w14:textFill>
        </w:rPr>
        <w:t>23.74</w:t>
      </w:r>
      <w:r>
        <w:rPr>
          <w:rFonts w:eastAsia="仿宋_GB2312"/>
          <w:color w:val="000000" w:themeColor="text1"/>
          <w:sz w:val="32"/>
          <w:szCs w:val="32"/>
          <w14:textFill>
            <w14:solidFill>
              <w14:schemeClr w14:val="tx1"/>
            </w14:solidFill>
          </w14:textFill>
        </w:rPr>
        <w:t>%。项目支出预算</w:t>
      </w:r>
      <w:r>
        <w:rPr>
          <w:rFonts w:hint="eastAsia" w:eastAsia="仿宋_GB2312"/>
          <w:color w:val="000000" w:themeColor="text1"/>
          <w:sz w:val="32"/>
          <w:szCs w:val="32"/>
          <w14:textFill>
            <w14:solidFill>
              <w14:schemeClr w14:val="tx1"/>
            </w14:solidFill>
          </w14:textFill>
        </w:rPr>
        <w:t>21.01</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14:textFill>
            <w14:solidFill>
              <w14:schemeClr w14:val="tx1"/>
            </w14:solidFill>
          </w14:textFill>
        </w:rPr>
        <w:t>14.28</w:t>
      </w:r>
      <w:r>
        <w:rPr>
          <w:rFonts w:eastAsia="仿宋_GB2312"/>
          <w:color w:val="000000" w:themeColor="text1"/>
          <w:sz w:val="32"/>
          <w:szCs w:val="32"/>
          <w14:textFill>
            <w14:solidFill>
              <w14:schemeClr w14:val="tx1"/>
            </w14:solidFill>
          </w14:textFill>
        </w:rPr>
        <w:t>%，同比减少</w:t>
      </w:r>
      <w:r>
        <w:rPr>
          <w:rFonts w:hint="eastAsia" w:eastAsia="仿宋_GB2312"/>
          <w:color w:val="000000" w:themeColor="text1"/>
          <w:sz w:val="32"/>
          <w:szCs w:val="32"/>
          <w14:textFill>
            <w14:solidFill>
              <w14:schemeClr w14:val="tx1"/>
            </w14:solidFill>
          </w14:textFill>
        </w:rPr>
        <w:t>42.27</w:t>
      </w:r>
      <w:r>
        <w:rPr>
          <w:rFonts w:eastAsia="仿宋_GB2312"/>
          <w:color w:val="000000" w:themeColor="text1"/>
          <w:sz w:val="32"/>
          <w:szCs w:val="32"/>
          <w14:textFill>
            <w14:solidFill>
              <w14:schemeClr w14:val="tx1"/>
            </w14:solidFill>
          </w14:textFill>
        </w:rPr>
        <w:t>万元，同比下降</w:t>
      </w:r>
      <w:r>
        <w:rPr>
          <w:rFonts w:hint="eastAsia" w:eastAsia="仿宋_GB2312"/>
          <w:color w:val="000000" w:themeColor="text1"/>
          <w:sz w:val="32"/>
          <w:szCs w:val="32"/>
          <w14:textFill>
            <w14:solidFill>
              <w14:schemeClr w14:val="tx1"/>
            </w14:solidFill>
          </w14:textFill>
        </w:rPr>
        <w:t>66.80</w:t>
      </w:r>
      <w:r>
        <w:rPr>
          <w:rFonts w:eastAsia="仿宋_GB2312"/>
          <w:color w:val="000000" w:themeColor="text1"/>
          <w:sz w:val="32"/>
          <w:szCs w:val="32"/>
          <w14:textFill>
            <w14:solidFill>
              <w14:schemeClr w14:val="tx1"/>
            </w14:solidFill>
          </w14:textFill>
        </w:rPr>
        <w:t>%。</w:t>
      </w:r>
    </w:p>
    <w:p>
      <w:pPr>
        <w:pStyle w:val="4"/>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w:t>
      </w:r>
      <w:r>
        <w:rPr>
          <w:rFonts w:hint="eastAsia" w:ascii="仿宋_GB2312" w:hAnsi="华文仿宋" w:eastAsia="仿宋_GB2312"/>
          <w:b/>
          <w:sz w:val="32"/>
          <w:szCs w:val="32"/>
        </w:rPr>
        <w:t>4</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（1）一般公共服务类科目支出预算95.54万元；占支出总预算64.92%，</w:t>
      </w:r>
      <w:r>
        <w:rPr>
          <w:rFonts w:hint="eastAsia" w:ascii="仿宋_GB2312" w:hAnsi="华文仿宋" w:eastAsia="仿宋_GB2312"/>
          <w:sz w:val="32"/>
          <w:szCs w:val="32"/>
        </w:rPr>
        <w:t>同比减少38.97万元，同比下降28.97%</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（2）卫生健康</w:t>
      </w:r>
      <w:r>
        <w:rPr>
          <w:rFonts w:hint="eastAsia" w:ascii="仿宋_GB2312" w:hAnsi="华文仿宋" w:eastAsia="仿宋_GB2312"/>
          <w:color w:val="000000"/>
          <w:sz w:val="32"/>
          <w:szCs w:val="32"/>
        </w:rPr>
        <w:t>支出科目支出预算15.15万元，占支出总预算17.97%，</w:t>
      </w:r>
      <w:r>
        <w:rPr>
          <w:rFonts w:hint="eastAsia" w:ascii="仿宋_GB2312" w:hAnsi="华文仿宋" w:eastAsia="仿宋_GB2312"/>
          <w:sz w:val="32"/>
          <w:szCs w:val="32"/>
        </w:rPr>
        <w:t>同比增加12.9万元，同比增长95.27%</w:t>
      </w:r>
      <w:r>
        <w:rPr>
          <w:rFonts w:hint="eastAsia" w:ascii="仿宋_GB2312" w:hAnsi="华文仿宋" w:eastAsia="仿宋_GB2312"/>
          <w:color w:val="000000"/>
          <w:sz w:val="32"/>
          <w:szCs w:val="32"/>
        </w:rPr>
        <w:t>；增加原因：2023年增加</w:t>
      </w:r>
      <w:r>
        <w:rPr>
          <w:rFonts w:hint="eastAsia" w:ascii="仿宋_GB2312" w:hAnsi="华文仿宋" w:eastAsia="仿宋_GB2312"/>
          <w:sz w:val="32"/>
          <w:szCs w:val="32"/>
        </w:rPr>
        <w:t>2人。</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（3）医疗卫生与计划生育科目支出预算10.95万元，占支出总预算10.29%，</w:t>
      </w:r>
      <w:r>
        <w:rPr>
          <w:rFonts w:hint="eastAsia" w:ascii="仿宋_GB2312" w:hAnsi="华文仿宋" w:eastAsia="仿宋_GB2312"/>
          <w:sz w:val="32"/>
          <w:szCs w:val="32"/>
        </w:rPr>
        <w:t>同比增加6.08万元，同比增长67.03%</w:t>
      </w:r>
      <w:r>
        <w:rPr>
          <w:rFonts w:hint="eastAsia" w:ascii="仿宋_GB2312" w:hAnsi="华文仿宋" w:eastAsia="仿宋_GB2312"/>
          <w:color w:val="000000"/>
          <w:sz w:val="32"/>
          <w:szCs w:val="32"/>
        </w:rPr>
        <w:t>；增长原因：2023年增加</w:t>
      </w:r>
      <w:r>
        <w:rPr>
          <w:rFonts w:hint="eastAsia" w:ascii="仿宋_GB2312" w:hAnsi="华文仿宋" w:eastAsia="仿宋_GB2312"/>
          <w:sz w:val="32"/>
          <w:szCs w:val="32"/>
        </w:rPr>
        <w:t>2人。</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（4）住房保障支出科目支出预算10.03万元，占支出总预算6.82%，</w:t>
      </w:r>
      <w:r>
        <w:rPr>
          <w:rFonts w:hint="eastAsia" w:ascii="仿宋_GB2312" w:hAnsi="华文仿宋" w:eastAsia="仿宋_GB2312"/>
          <w:sz w:val="32"/>
          <w:szCs w:val="32"/>
        </w:rPr>
        <w:t>同比增加1.91万元，同比增长23.52%</w:t>
      </w:r>
      <w:r>
        <w:rPr>
          <w:rFonts w:hint="eastAsia" w:ascii="仿宋_GB2312" w:hAnsi="华文仿宋" w:eastAsia="仿宋_GB2312"/>
          <w:color w:val="000000"/>
          <w:sz w:val="32"/>
          <w:szCs w:val="32"/>
        </w:rPr>
        <w:t>。增加原因：2023年增加</w:t>
      </w:r>
      <w:r>
        <w:rPr>
          <w:rFonts w:hint="eastAsia" w:ascii="仿宋_GB2312" w:hAnsi="华文仿宋" w:eastAsia="仿宋_GB2312"/>
          <w:sz w:val="32"/>
          <w:szCs w:val="32"/>
        </w:rPr>
        <w:t>2人。</w:t>
      </w:r>
    </w:p>
    <w:p>
      <w:pPr>
        <w:pStyle w:val="4"/>
        <w:spacing w:before="0" w:beforeAutospacing="0" w:after="0" w:afterAutospacing="0" w:line="560" w:lineRule="exact"/>
        <w:ind w:firstLine="321" w:firstLineChars="1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（1）基本支出预算</w:t>
      </w:r>
    </w:p>
    <w:p>
      <w:pPr>
        <w:pStyle w:val="4"/>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基本支出126.15万元；占支出总预算85.72%，</w:t>
      </w:r>
      <w:r>
        <w:rPr>
          <w:rFonts w:hint="eastAsia" w:ascii="仿宋_GB2312" w:hAnsi="华文仿宋" w:eastAsia="仿宋_GB2312"/>
          <w:sz w:val="32"/>
          <w:szCs w:val="32"/>
        </w:rPr>
        <w:t>同比增加24.2万元，同比增长23.74%。</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工资福利支出预算99.39万元；占基本支出预算78.79%，</w:t>
      </w:r>
      <w:r>
        <w:rPr>
          <w:rFonts w:hint="eastAsia" w:ascii="仿宋_GB2312" w:hAnsi="华文仿宋" w:eastAsia="仿宋_GB2312"/>
          <w:sz w:val="32"/>
          <w:szCs w:val="32"/>
        </w:rPr>
        <w:t>同比增加23.35万元，同比增长30.71%</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商品和服务支出预算15.8万元；占基本支出预算12.52%，</w:t>
      </w:r>
      <w:r>
        <w:rPr>
          <w:rFonts w:hint="eastAsia" w:ascii="仿宋_GB2312" w:hAnsi="华文仿宋" w:eastAsia="仿宋_GB2312"/>
          <w:sz w:val="32"/>
          <w:szCs w:val="32"/>
        </w:rPr>
        <w:t>同比增加1.84万元，同比增长13.18%</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对个人和家庭的补助支出预算10.96万元；占基本支出预算8.69%，</w:t>
      </w:r>
      <w:r>
        <w:rPr>
          <w:rFonts w:hint="eastAsia" w:ascii="仿宋_GB2312" w:hAnsi="华文仿宋" w:eastAsia="仿宋_GB2312"/>
          <w:sz w:val="32"/>
          <w:szCs w:val="32"/>
        </w:rPr>
        <w:t>同比减少0.99万元，同比下降8.28%</w:t>
      </w:r>
      <w:r>
        <w:rPr>
          <w:rFonts w:hint="eastAsia" w:ascii="仿宋_GB2312" w:hAnsi="华文仿宋" w:eastAsia="仿宋_GB2312"/>
          <w:color w:val="000000"/>
          <w:sz w:val="32"/>
          <w:szCs w:val="32"/>
        </w:rPr>
        <w:t>。</w:t>
      </w:r>
    </w:p>
    <w:p>
      <w:pPr>
        <w:spacing w:line="560" w:lineRule="exact"/>
        <w:jc w:val="left"/>
        <w:rPr>
          <w:rFonts w:ascii="仿宋_GB2312" w:hAnsi="华文仿宋" w:eastAsia="仿宋_GB2312"/>
          <w:color w:val="000000"/>
          <w:sz w:val="32"/>
          <w:szCs w:val="32"/>
        </w:rPr>
      </w:pP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（2）项目支出预算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项目支出21.01万元；占支出总预算14.28%，</w:t>
      </w:r>
      <w:r>
        <w:rPr>
          <w:rFonts w:hint="eastAsia" w:ascii="仿宋_GB2312" w:hAnsi="华文仿宋" w:eastAsia="仿宋_GB2312"/>
          <w:sz w:val="32"/>
          <w:szCs w:val="32"/>
        </w:rPr>
        <w:t>同比减少44.27万元，同比下降66.8%。</w:t>
      </w: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万元；占项目支出预算0%；</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商品和服务支出预算0万元，占项目支出预算0%</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sz w:val="32"/>
          <w:szCs w:val="32"/>
        </w:rPr>
        <w:t>其他资本性支出</w:t>
      </w:r>
      <w:r>
        <w:rPr>
          <w:rFonts w:hint="eastAsia" w:ascii="仿宋_GB2312" w:hAnsi="华文仿宋" w:eastAsia="仿宋_GB2312"/>
          <w:color w:val="000000"/>
          <w:sz w:val="32"/>
          <w:szCs w:val="32"/>
        </w:rPr>
        <w:t>预算21.01万元，占项目支出预算100%</w:t>
      </w:r>
    </w:p>
    <w:p>
      <w:pPr>
        <w:pStyle w:val="4"/>
        <w:spacing w:before="0" w:beforeAutospacing="0" w:after="0" w:afterAutospacing="0" w:line="560" w:lineRule="exact"/>
        <w:ind w:firstLine="640" w:firstLineChars="200"/>
        <w:rPr>
          <w:rFonts w:ascii="仿宋_GB2312" w:hAnsi="华文仿宋" w:eastAsia="仿宋_GB2312"/>
          <w:sz w:val="32"/>
          <w:szCs w:val="32"/>
        </w:rPr>
      </w:pP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2023年支出预算总体减少主要是</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减少</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四、财政拨款收支预算情况说明</w:t>
      </w:r>
    </w:p>
    <w:p>
      <w:pPr>
        <w:pStyle w:val="4"/>
        <w:spacing w:before="0" w:beforeAutospacing="0" w:after="0" w:afterAutospacing="0" w:line="560" w:lineRule="exact"/>
        <w:ind w:firstLine="640" w:firstLineChars="200"/>
        <w:rPr>
          <w:rFonts w:ascii="Times New Roman" w:hAnsi="Times New Roman" w:eastAsia="仿宋_GB2312" w:cs="Times New Roman"/>
          <w:strike/>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2023年</w:t>
      </w:r>
      <w:r>
        <w:rPr>
          <w:rFonts w:hint="eastAsia" w:ascii="Times New Roman" w:hAnsi="Times New Roman" w:eastAsia="仿宋_GB2312" w:cs="Times New Roman"/>
          <w:color w:val="000000" w:themeColor="text1"/>
          <w:kern w:val="2"/>
          <w:sz w:val="32"/>
          <w:szCs w:val="32"/>
          <w14:textFill>
            <w14:solidFill>
              <w14:schemeClr w14:val="tx1"/>
            </w14:solidFill>
          </w14:textFill>
        </w:rPr>
        <w:t>部门</w:t>
      </w:r>
      <w:r>
        <w:rPr>
          <w:rFonts w:ascii="Times New Roman" w:hAnsi="Times New Roman" w:eastAsia="仿宋_GB2312" w:cs="Times New Roman"/>
          <w:color w:val="000000" w:themeColor="text1"/>
          <w:kern w:val="2"/>
          <w:sz w:val="32"/>
          <w:szCs w:val="32"/>
          <w14:textFill>
            <w14:solidFill>
              <w14:schemeClr w14:val="tx1"/>
            </w14:solidFill>
          </w14:textFill>
        </w:rPr>
        <w:t>财政拨款收支总预算</w:t>
      </w:r>
      <w:r>
        <w:rPr>
          <w:rFonts w:hint="eastAsia" w:ascii="Times New Roman" w:hAnsi="Times New Roman" w:eastAsia="仿宋_GB2312" w:cs="Times New Roman"/>
          <w:color w:val="000000" w:themeColor="text1"/>
          <w:kern w:val="2"/>
          <w:sz w:val="32"/>
          <w:szCs w:val="32"/>
          <w14:textFill>
            <w14:solidFill>
              <w14:schemeClr w14:val="tx1"/>
            </w14:solidFill>
          </w14:textFill>
        </w:rPr>
        <w:t>147.16</w:t>
      </w:r>
      <w:r>
        <w:rPr>
          <w:rFonts w:ascii="Times New Roman" w:hAnsi="Times New Roman" w:eastAsia="仿宋_GB2312" w:cs="Times New Roman"/>
          <w:color w:val="000000" w:themeColor="text1"/>
          <w:kern w:val="2"/>
          <w:sz w:val="32"/>
          <w:szCs w:val="32"/>
          <w14:textFill>
            <w14:solidFill>
              <w14:schemeClr w14:val="tx1"/>
            </w14:solidFill>
          </w14:textFill>
        </w:rPr>
        <w:t>万元，收入包括：</w:t>
      </w:r>
      <w:r>
        <w:rPr>
          <w:rFonts w:ascii="Times New Roman" w:hAnsi="Times New Roman" w:eastAsia="仿宋_GB2312" w:cs="Times New Roman"/>
          <w:color w:val="000000" w:themeColor="text1"/>
          <w:sz w:val="32"/>
          <w:szCs w:val="32"/>
          <w14:textFill>
            <w14:solidFill>
              <w14:schemeClr w14:val="tx1"/>
            </w14:solidFill>
          </w14:textFill>
        </w:rPr>
        <w:t>一般公共预算拨款</w:t>
      </w:r>
      <w:r>
        <w:rPr>
          <w:rFonts w:hint="eastAsia" w:eastAsia="仿宋_GB2312" w:cs="Times New Roman"/>
          <w:color w:val="000000" w:themeColor="text1"/>
          <w:sz w:val="32"/>
          <w:szCs w:val="32"/>
          <w14:textFill>
            <w14:solidFill>
              <w14:schemeClr w14:val="tx1"/>
            </w14:solidFill>
          </w14:textFill>
        </w:rPr>
        <w:t>147.16</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支出包括：</w:t>
      </w:r>
      <w:r>
        <w:rPr>
          <w:rFonts w:hint="eastAsia" w:ascii="仿宋_GB2312" w:hAnsi="华文仿宋" w:eastAsia="仿宋_GB2312"/>
          <w:color w:val="000000"/>
          <w:sz w:val="32"/>
          <w:szCs w:val="32"/>
        </w:rPr>
        <w:t>（1）一般公共服务类科目支出预算95.54万元；</w:t>
      </w:r>
      <w:r>
        <w:rPr>
          <w:rFonts w:hint="eastAsia" w:ascii="仿宋_GB2312" w:hAnsi="华文仿宋" w:eastAsia="仿宋_GB2312"/>
          <w:sz w:val="32"/>
          <w:szCs w:val="32"/>
        </w:rPr>
        <w:t>（2）卫生健康</w:t>
      </w:r>
      <w:r>
        <w:rPr>
          <w:rFonts w:hint="eastAsia" w:ascii="仿宋_GB2312" w:hAnsi="华文仿宋" w:eastAsia="仿宋_GB2312"/>
          <w:color w:val="000000"/>
          <w:sz w:val="32"/>
          <w:szCs w:val="32"/>
        </w:rPr>
        <w:t>支出科目支出预算15.15万元。（3）医疗卫生与计划生育科目支出预算10.95万元。（4）住房保障支出科目支出预算10.03万元。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2023年</w:t>
      </w:r>
      <w:r>
        <w:rPr>
          <w:rFonts w:hint="eastAsia" w:ascii="Times New Roman" w:hAnsi="Times New Roman" w:eastAsia="仿宋_GB2312" w:cs="Times New Roman"/>
          <w:color w:val="000000" w:themeColor="text1"/>
          <w:kern w:val="2"/>
          <w:sz w:val="32"/>
          <w:szCs w:val="32"/>
          <w14:textFill>
            <w14:solidFill>
              <w14:schemeClr w14:val="tx1"/>
            </w14:solidFill>
          </w14:textFill>
        </w:rPr>
        <w:t>部门</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一般公共预算拨款支出</w:t>
      </w:r>
      <w:r>
        <w:rPr>
          <w:rFonts w:hint="eastAsia" w:ascii="Times New Roman" w:hAnsi="Times New Roman" w:eastAsia="仿宋_GB2312" w:cs="Times New Roman"/>
          <w:color w:val="000000" w:themeColor="text1"/>
          <w:kern w:val="2"/>
          <w:sz w:val="32"/>
          <w:szCs w:val="32"/>
          <w14:textFill>
            <w14:solidFill>
              <w14:schemeClr w14:val="tx1"/>
            </w14:solidFill>
          </w14:textFill>
        </w:rPr>
        <w:t>147.16</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kern w:val="2"/>
          <w:sz w:val="32"/>
          <w:szCs w:val="32"/>
          <w14:textFill>
            <w14:solidFill>
              <w14:schemeClr w14:val="tx1"/>
            </w14:solidFill>
          </w14:textFill>
        </w:rPr>
        <w:t>126.15</w:t>
      </w:r>
      <w:r>
        <w:rPr>
          <w:rFonts w:ascii="Times New Roman" w:hAnsi="Times New Roman" w:eastAsia="仿宋_GB2312" w:cs="Times New Roman"/>
          <w:color w:val="000000" w:themeColor="text1"/>
          <w:kern w:val="2"/>
          <w:sz w:val="32"/>
          <w:szCs w:val="32"/>
          <w14:textFill>
            <w14:solidFill>
              <w14:schemeClr w14:val="tx1"/>
            </w14:solidFill>
          </w14:textFill>
        </w:rPr>
        <w:t>万元，项目支出</w:t>
      </w:r>
      <w:r>
        <w:rPr>
          <w:rFonts w:hint="eastAsia" w:ascii="Times New Roman" w:hAnsi="Times New Roman" w:eastAsia="仿宋_GB2312" w:cs="Times New Roman"/>
          <w:color w:val="000000" w:themeColor="text1"/>
          <w:kern w:val="2"/>
          <w:sz w:val="32"/>
          <w:szCs w:val="32"/>
          <w14:textFill>
            <w14:solidFill>
              <w14:schemeClr w14:val="tx1"/>
            </w14:solidFill>
          </w14:textFill>
        </w:rPr>
        <w:t>21.01</w:t>
      </w:r>
      <w:r>
        <w:rPr>
          <w:rFonts w:ascii="Times New Roman" w:hAnsi="Times New Roman" w:eastAsia="仿宋_GB2312" w:cs="Times New Roman"/>
          <w:color w:val="000000" w:themeColor="text1"/>
          <w:kern w:val="2"/>
          <w:sz w:val="32"/>
          <w:szCs w:val="32"/>
          <w14:textFill>
            <w14:solidFill>
              <w14:schemeClr w14:val="tx1"/>
            </w14:solidFill>
          </w14:textFill>
        </w:rPr>
        <w:t>万元，具体支出预算如下：</w:t>
      </w:r>
    </w:p>
    <w:p>
      <w:pPr>
        <w:pStyle w:val="4"/>
        <w:numPr>
          <w:ilvl w:val="0"/>
          <w:numId w:val="1"/>
        </w:numPr>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行政运行74.53</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74.53</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w:t>
      </w:r>
      <w:r>
        <w:rPr>
          <w:rFonts w:hint="eastAsia" w:ascii="Times New Roman" w:hAnsi="Times New Roman" w:eastAsia="仿宋_GB2312" w:cs="Times New Roman"/>
          <w:color w:val="000000" w:themeColor="text1"/>
          <w:kern w:val="2"/>
          <w:sz w:val="32"/>
          <w:szCs w:val="32"/>
          <w14:textFill>
            <w14:solidFill>
              <w14:schemeClr w14:val="tx1"/>
            </w14:solidFill>
          </w14:textFill>
        </w:rPr>
        <w:t>档案馆21.01</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21.01</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三</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机关单位养老保险缴费支出16.71</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16.71</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四</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其他行政事业单位养老支出9.73</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9.73</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五</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行政单位医疗6.57</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6.57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六</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公务员医疗补助8.58</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8.58</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七</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住房公积金10.03</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10.03</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2023年</w:t>
      </w:r>
      <w:r>
        <w:rPr>
          <w:rFonts w:hint="eastAsia" w:ascii="Times New Roman" w:hAnsi="Times New Roman" w:eastAsia="仿宋_GB2312" w:cs="Times New Roman"/>
          <w:color w:val="000000" w:themeColor="text1"/>
          <w:kern w:val="2"/>
          <w:sz w:val="32"/>
          <w:szCs w:val="32"/>
          <w14:textFill>
            <w14:solidFill>
              <w14:schemeClr w14:val="tx1"/>
            </w14:solidFill>
          </w14:textFill>
        </w:rPr>
        <w:t>部门</w:t>
      </w:r>
      <w:r>
        <w:rPr>
          <w:rFonts w:ascii="Times New Roman" w:hAnsi="Times New Roman" w:eastAsia="仿宋_GB2312" w:cs="Times New Roman"/>
          <w:color w:val="000000" w:themeColor="text1"/>
          <w:kern w:val="2"/>
          <w:sz w:val="32"/>
          <w:szCs w:val="32"/>
          <w14:textFill>
            <w14:solidFill>
              <w14:schemeClr w14:val="tx1"/>
            </w14:solidFill>
          </w14:textFill>
        </w:rPr>
        <w:t>一般公共预算基本支出</w:t>
      </w:r>
      <w:r>
        <w:rPr>
          <w:rFonts w:hint="eastAsia" w:ascii="Times New Roman" w:hAnsi="Times New Roman" w:eastAsia="仿宋_GB2312" w:cs="Times New Roman"/>
          <w:color w:val="000000" w:themeColor="text1"/>
          <w:kern w:val="2"/>
          <w:sz w:val="32"/>
          <w:szCs w:val="32"/>
          <w14:textFill>
            <w14:solidFill>
              <w14:schemeClr w14:val="tx1"/>
            </w14:solidFill>
          </w14:textFill>
        </w:rPr>
        <w:t>126.15</w:t>
      </w:r>
      <w:r>
        <w:rPr>
          <w:rFonts w:ascii="Times New Roman" w:hAnsi="Times New Roman" w:eastAsia="仿宋_GB2312" w:cs="Times New Roman"/>
          <w:color w:val="000000" w:themeColor="text1"/>
          <w:kern w:val="2"/>
          <w:sz w:val="32"/>
          <w:szCs w:val="32"/>
          <w14:textFill>
            <w14:solidFill>
              <w14:schemeClr w14:val="tx1"/>
            </w14:solidFill>
          </w14:textFill>
        </w:rPr>
        <w:t>万元，其中：</w:t>
      </w:r>
    </w:p>
    <w:p>
      <w:pPr>
        <w:spacing w:line="560" w:lineRule="exact"/>
        <w:ind w:firstLine="640" w:firstLineChars="200"/>
        <w:jc w:val="left"/>
        <w:rPr>
          <w:rFonts w:ascii="仿宋_GB2312" w:hAnsi="华文仿宋" w:eastAsia="仿宋_GB2312"/>
          <w:color w:val="000000"/>
          <w:sz w:val="32"/>
          <w:szCs w:val="32"/>
        </w:rPr>
      </w:pPr>
      <w:r>
        <w:rPr>
          <w:rFonts w:eastAsia="仿宋_GB2312"/>
          <w:color w:val="000000" w:themeColor="text1"/>
          <w:sz w:val="32"/>
          <w:szCs w:val="32"/>
          <w14:textFill>
            <w14:solidFill>
              <w14:schemeClr w14:val="tx1"/>
            </w14:solidFill>
          </w14:textFill>
        </w:rPr>
        <w:t>（一）人员经费</w:t>
      </w:r>
      <w:r>
        <w:rPr>
          <w:rFonts w:hint="eastAsia" w:eastAsia="仿宋_GB2312"/>
          <w:color w:val="000000" w:themeColor="text1"/>
          <w:sz w:val="32"/>
          <w:szCs w:val="32"/>
          <w14:textFill>
            <w14:solidFill>
              <w14:schemeClr w14:val="tx1"/>
            </w14:solidFill>
          </w14:textFill>
        </w:rPr>
        <w:t>110.35</w:t>
      </w:r>
      <w:r>
        <w:rPr>
          <w:rFonts w:eastAsia="仿宋_GB2312"/>
          <w:color w:val="000000" w:themeColor="text1"/>
          <w:sz w:val="32"/>
          <w:szCs w:val="32"/>
          <w14:textFill>
            <w14:solidFill>
              <w14:schemeClr w14:val="tx1"/>
            </w14:solidFill>
          </w14:textFill>
        </w:rPr>
        <w:t>万元，主要包括：</w:t>
      </w:r>
      <w:r>
        <w:rPr>
          <w:rFonts w:hint="eastAsia" w:ascii="仿宋_GB2312" w:hAnsi="华文仿宋" w:eastAsia="仿宋_GB2312"/>
          <w:color w:val="000000"/>
          <w:sz w:val="32"/>
          <w:szCs w:val="32"/>
        </w:rPr>
        <w:t>工资福利支出预算99.39万元；商品和服务支出预算15.8万元；对个人和家庭的补助支出预算10.96万元。</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（二）公用经费</w:t>
      </w:r>
      <w:r>
        <w:rPr>
          <w:rFonts w:hint="eastAsia" w:ascii="Times New Roman" w:hAnsi="Times New Roman" w:eastAsia="仿宋_GB2312" w:cs="Times New Roman"/>
          <w:color w:val="000000" w:themeColor="text1"/>
          <w:kern w:val="2"/>
          <w:sz w:val="32"/>
          <w:szCs w:val="32"/>
          <w14:textFill>
            <w14:solidFill>
              <w14:schemeClr w14:val="tx1"/>
            </w14:solidFill>
          </w14:textFill>
        </w:rPr>
        <w:t>15.8</w:t>
      </w:r>
      <w:r>
        <w:rPr>
          <w:rFonts w:ascii="Times New Roman" w:hAnsi="Times New Roman" w:eastAsia="仿宋_GB2312" w:cs="Times New Roman"/>
          <w:color w:val="000000" w:themeColor="text1"/>
          <w:kern w:val="2"/>
          <w:sz w:val="32"/>
          <w:szCs w:val="32"/>
          <w14:textFill>
            <w14:solidFill>
              <w14:schemeClr w14:val="tx1"/>
            </w14:solidFill>
          </w14:textFill>
        </w:rPr>
        <w:t>万元，主要包括</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仿宋_GB2312" w:hAnsi="华文仿宋" w:eastAsia="仿宋_GB2312"/>
          <w:color w:val="000000"/>
          <w:sz w:val="32"/>
          <w:szCs w:val="32"/>
        </w:rPr>
        <w:t>办公费0.29万元，水费0.08万元，电费0.21万元，邮电费1.75万元，差旅费3.15万元，维修费0.04万元，会议费0.34万元，培训费0.28万元，公务接待费0.18万元，福利费0.49万元，其他交通费6.18万元，其他商品和服务支出2.8万元</w:t>
      </w:r>
      <w:r>
        <w:rPr>
          <w:rFonts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color w:val="000000"/>
          <w:sz w:val="32"/>
          <w:szCs w:val="32"/>
        </w:rPr>
        <w:t>2023年一般公共预算资金安排的“三公”经费支出预算0.18万元，比2022年（上一年）预算0.16万元，同比增加0.02万元，</w:t>
      </w:r>
      <w:r>
        <w:rPr>
          <w:rFonts w:hint="eastAsia" w:ascii="仿宋_GB2312" w:hAnsi="华文仿宋" w:eastAsia="仿宋_GB2312"/>
          <w:sz w:val="32"/>
          <w:szCs w:val="32"/>
        </w:rPr>
        <w:t>同比增长12.5</w:t>
      </w:r>
      <w:r>
        <w:rPr>
          <w:rFonts w:hint="eastAsia" w:ascii="仿宋_GB2312" w:hAnsi="华文仿宋" w:eastAsia="仿宋_GB2312"/>
          <w:color w:val="000000"/>
          <w:sz w:val="32"/>
          <w:szCs w:val="32"/>
        </w:rPr>
        <w:t>%。</w:t>
      </w:r>
      <w:r>
        <w:rPr>
          <w:rFonts w:hint="eastAsia" w:ascii="仿宋_GB2312" w:hAnsi="华文仿宋" w:eastAsia="仿宋_GB2312"/>
          <w:sz w:val="32"/>
          <w:szCs w:val="32"/>
        </w:rPr>
        <w:t>增加主要原因是:</w:t>
      </w:r>
      <w:r>
        <w:rPr>
          <w:rFonts w:hint="eastAsia" w:ascii="仿宋_GB2312" w:hAnsi="华文仿宋" w:eastAsia="仿宋_GB2312"/>
          <w:color w:val="000000"/>
          <w:sz w:val="32"/>
          <w:szCs w:val="32"/>
        </w:rPr>
        <w:t>2023年</w:t>
      </w:r>
      <w:r>
        <w:rPr>
          <w:rFonts w:hint="eastAsia" w:ascii="仿宋_GB2312" w:hAnsi="华文仿宋" w:eastAsia="仿宋_GB2312"/>
          <w:sz w:val="32"/>
          <w:szCs w:val="32"/>
        </w:rPr>
        <w:t>增加2人</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1.因公出国（境）经费2023年预算0万元，同比增加0万元，同比增长0%，因公出国（境）团组数及人数为0。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2.公务接待费2023年预算0.18万元，同比增加0.2万元，同比增长12.5%，增加原因：</w:t>
      </w:r>
      <w:r>
        <w:rPr>
          <w:rFonts w:hint="eastAsia" w:ascii="仿宋_GB2312" w:hAnsi="华文仿宋" w:eastAsia="仿宋_GB2312"/>
          <w:color w:val="000000"/>
          <w:sz w:val="32"/>
          <w:szCs w:val="32"/>
        </w:rPr>
        <w:t>2023年</w:t>
      </w:r>
      <w:r>
        <w:rPr>
          <w:rFonts w:hint="eastAsia" w:ascii="仿宋_GB2312" w:hAnsi="华文仿宋" w:eastAsia="仿宋_GB2312"/>
          <w:sz w:val="32"/>
          <w:szCs w:val="32"/>
        </w:rPr>
        <w:t>增加2人</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3.公务用车购置费及运行费2023年预算0万元，同比增加0万元，同比增长0%，公务用车购置数及保有量为0.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 xml:space="preserve">（1）公务用车购置费2023年预算0万元，同比增加0万元，同比增长0%。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（2）公务用车运行维护费2023年预算0万元，同比增加00万元，同比增长0%。</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pStyle w:val="4"/>
        <w:spacing w:before="0" w:beforeAutospacing="0" w:after="0" w:afterAutospacing="0" w:line="540" w:lineRule="exact"/>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14:textFill>
            <w14:solidFill>
              <w14:schemeClr w14:val="tx1"/>
            </w14:solidFill>
          </w14:textFill>
        </w:rPr>
        <w:t>部门</w:t>
      </w:r>
      <w:r>
        <w:rPr>
          <w:rFonts w:ascii="Times New Roman" w:hAnsi="Times New Roman" w:eastAsia="仿宋_GB2312" w:cs="Times New Roman"/>
          <w:b/>
          <w:bCs/>
          <w:color w:val="000000" w:themeColor="text1"/>
          <w:sz w:val="32"/>
          <w:szCs w:val="32"/>
          <w14:textFill>
            <w14:solidFill>
              <w14:schemeClr w14:val="tx1"/>
            </w14:solidFill>
          </w14:textFill>
        </w:rPr>
        <w:t>无政府性基金预算支出安排</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pStyle w:val="4"/>
        <w:spacing w:before="0" w:beforeAutospacing="0" w:after="0" w:afterAutospacing="0" w:line="540" w:lineRule="exact"/>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14:textFill>
            <w14:solidFill>
              <w14:schemeClr w14:val="tx1"/>
            </w14:solidFill>
          </w14:textFill>
        </w:rPr>
        <w:t>部门</w:t>
      </w:r>
      <w:r>
        <w:rPr>
          <w:rFonts w:ascii="Times New Roman" w:hAnsi="Times New Roman" w:eastAsia="仿宋_GB2312" w:cs="Times New Roman"/>
          <w:b/>
          <w:bCs/>
          <w:color w:val="000000" w:themeColor="text1"/>
          <w:sz w:val="32"/>
          <w:szCs w:val="32"/>
          <w14:textFill>
            <w14:solidFill>
              <w14:schemeClr w14:val="tx1"/>
            </w14:solidFill>
          </w14:textFill>
        </w:rPr>
        <w:t>无国有资本经营预算支出安排</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4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2023年我</w:t>
      </w:r>
      <w:r>
        <w:rPr>
          <w:rFonts w:hint="eastAsia" w:eastAsia="仿宋_GB2312"/>
          <w:b/>
          <w:bCs/>
          <w:color w:val="000000" w:themeColor="text1"/>
          <w:sz w:val="32"/>
          <w:szCs w:val="32"/>
          <w14:textFill>
            <w14:solidFill>
              <w14:schemeClr w14:val="tx1"/>
            </w14:solidFill>
          </w14:textFill>
        </w:rPr>
        <w:t>部门</w:t>
      </w:r>
      <w:r>
        <w:rPr>
          <w:rFonts w:eastAsia="仿宋_GB2312"/>
          <w:b/>
          <w:bCs/>
          <w:color w:val="000000" w:themeColor="text1"/>
          <w:sz w:val="32"/>
          <w:szCs w:val="32"/>
          <w14:textFill>
            <w14:solidFill>
              <w14:schemeClr w14:val="tx1"/>
            </w14:solidFill>
          </w14:textFill>
        </w:rPr>
        <w:t>无政府采购预算</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十一、政府购买服务预算情况说明</w:t>
      </w:r>
    </w:p>
    <w:p>
      <w:pPr>
        <w:spacing w:line="540" w:lineRule="exact"/>
        <w:rPr>
          <w:rFonts w:eastAsia="仿宋_GB2312"/>
          <w:color w:val="000000" w:themeColor="text1"/>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2023年我</w:t>
      </w:r>
      <w:r>
        <w:rPr>
          <w:rFonts w:hint="eastAsia" w:eastAsia="仿宋_GB2312"/>
          <w:b/>
          <w:bCs/>
          <w:color w:val="000000" w:themeColor="text1"/>
          <w:kern w:val="0"/>
          <w:sz w:val="32"/>
          <w:szCs w:val="32"/>
          <w14:textFill>
            <w14:solidFill>
              <w14:schemeClr w14:val="tx1"/>
            </w14:solidFill>
          </w14:textFill>
        </w:rPr>
        <w:t>部门</w:t>
      </w:r>
      <w:r>
        <w:rPr>
          <w:rFonts w:eastAsia="仿宋_GB2312"/>
          <w:b/>
          <w:bCs/>
          <w:color w:val="000000" w:themeColor="text1"/>
          <w:kern w:val="0"/>
          <w:sz w:val="32"/>
          <w:szCs w:val="32"/>
          <w14:textFill>
            <w14:solidFill>
              <w14:schemeClr w14:val="tx1"/>
            </w14:solidFill>
          </w14:textFill>
        </w:rPr>
        <w:t>无政府购买服务预算</w:t>
      </w:r>
    </w:p>
    <w:p>
      <w:pPr>
        <w:tabs>
          <w:tab w:val="center" w:pos="4475"/>
        </w:tabs>
        <w:spacing w:line="540" w:lineRule="exact"/>
        <w:ind w:firstLine="640" w:firstLineChars="200"/>
        <w:rPr>
          <w:rFonts w:hint="eastAsia"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十二、</w:t>
      </w:r>
      <w:r>
        <w:rPr>
          <w:rFonts w:hint="eastAsia" w:eastAsia="黑体"/>
          <w:color w:val="000000" w:themeColor="text1"/>
          <w:kern w:val="0"/>
          <w:sz w:val="32"/>
          <w:szCs w:val="32"/>
          <w14:textFill>
            <w14:solidFill>
              <w14:schemeClr w14:val="tx1"/>
            </w14:solidFill>
          </w14:textFill>
        </w:rPr>
        <w:t>重点项目支出绩效目标情况说明</w:t>
      </w:r>
    </w:p>
    <w:p>
      <w:pPr>
        <w:pStyle w:val="4"/>
        <w:spacing w:before="0" w:beforeAutospacing="0" w:after="0" w:afterAutospacing="0" w:line="560" w:lineRule="exact"/>
        <w:ind w:firstLine="600" w:firstLineChars="200"/>
        <w:rPr>
          <w:rFonts w:cs="Times New Roman"/>
          <w:kern w:val="2"/>
          <w:sz w:val="30"/>
          <w:szCs w:val="30"/>
        </w:rPr>
      </w:pPr>
      <w:r>
        <w:rPr>
          <w:rFonts w:hint="eastAsia" w:cs="Times New Roman"/>
          <w:kern w:val="2"/>
          <w:sz w:val="30"/>
          <w:szCs w:val="30"/>
        </w:rPr>
        <w:t>2023年实行部门整体绩效，涉及一般公共预算当年拨款</w:t>
      </w:r>
      <w:r>
        <w:rPr>
          <w:rFonts w:hint="eastAsia" w:ascii="仿宋_GB2312" w:hAnsi="华文仿宋" w:eastAsia="仿宋_GB2312"/>
          <w:sz w:val="32"/>
          <w:szCs w:val="32"/>
        </w:rPr>
        <w:t>21.01</w:t>
      </w:r>
      <w:r>
        <w:rPr>
          <w:rFonts w:hint="eastAsia" w:cs="Times New Roman"/>
          <w:kern w:val="2"/>
          <w:sz w:val="30"/>
          <w:szCs w:val="30"/>
        </w:rPr>
        <w:t>万元。</w:t>
      </w:r>
    </w:p>
    <w:p>
      <w:pPr>
        <w:adjustRightInd w:val="0"/>
        <w:snapToGrid w:val="0"/>
        <w:spacing w:line="540" w:lineRule="exact"/>
        <w:ind w:right="-218" w:rightChars="-104" w:firstLine="640" w:firstLineChars="200"/>
        <w:rPr>
          <w:rFonts w:eastAsia="仿宋_GB2312"/>
          <w:bCs/>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2023年预算绩效目标公开的项目是消防水管安装费，预算支出</w:t>
      </w:r>
      <w:r>
        <w:rPr>
          <w:rFonts w:hint="eastAsia" w:eastAsia="仿宋_GB2312"/>
          <w:bCs/>
          <w:color w:val="000000" w:themeColor="text1"/>
          <w:kern w:val="0"/>
          <w:sz w:val="32"/>
          <w:szCs w:val="32"/>
          <w14:textFill>
            <w14:solidFill>
              <w14:schemeClr w14:val="tx1"/>
            </w14:solidFill>
          </w14:textFill>
        </w:rPr>
        <w:t>10.15</w:t>
      </w:r>
      <w:r>
        <w:rPr>
          <w:rFonts w:eastAsia="仿宋_GB2312"/>
          <w:bCs/>
          <w:color w:val="000000" w:themeColor="text1"/>
          <w:kern w:val="0"/>
          <w:sz w:val="32"/>
          <w:szCs w:val="32"/>
          <w14:textFill>
            <w14:solidFill>
              <w14:schemeClr w14:val="tx1"/>
            </w14:solidFill>
          </w14:textFill>
        </w:rPr>
        <w:t>万元，通过一般公共预算安排支出</w:t>
      </w:r>
      <w:r>
        <w:rPr>
          <w:rFonts w:hint="eastAsia" w:eastAsia="仿宋_GB2312"/>
          <w:bCs/>
          <w:color w:val="000000" w:themeColor="text1"/>
          <w:kern w:val="0"/>
          <w:sz w:val="32"/>
          <w:szCs w:val="32"/>
          <w14:textFill>
            <w14:solidFill>
              <w14:schemeClr w14:val="tx1"/>
            </w14:solidFill>
          </w14:textFill>
        </w:rPr>
        <w:t>10.15</w:t>
      </w:r>
      <w:r>
        <w:rPr>
          <w:rFonts w:eastAsia="仿宋_GB2312"/>
          <w:bCs/>
          <w:color w:val="000000" w:themeColor="text1"/>
          <w:kern w:val="0"/>
          <w:sz w:val="32"/>
          <w:szCs w:val="32"/>
          <w14:textFill>
            <w14:solidFill>
              <w14:schemeClr w14:val="tx1"/>
            </w14:solidFill>
          </w14:textFill>
        </w:rPr>
        <w:t>万元，项目支出绩效目标具体指标设置情况详见</w:t>
      </w:r>
      <w:r>
        <w:rPr>
          <w:rFonts w:hint="eastAsia" w:eastAsia="仿宋_GB2312"/>
          <w:bCs/>
          <w:color w:val="000000" w:themeColor="text1"/>
          <w:kern w:val="0"/>
          <w:sz w:val="32"/>
          <w:szCs w:val="32"/>
          <w:lang w:val="en-US" w:eastAsia="zh-CN"/>
          <w14:textFill>
            <w14:solidFill>
              <w14:schemeClr w14:val="tx1"/>
            </w14:solidFill>
          </w14:textFill>
        </w:rPr>
        <w:t>附件4</w:t>
      </w:r>
      <w:r>
        <w:rPr>
          <w:rFonts w:hint="eastAsia" w:eastAsia="仿宋_GB2312"/>
          <w:bCs/>
          <w:color w:val="000000" w:themeColor="text1"/>
          <w:kern w:val="0"/>
          <w:sz w:val="32"/>
          <w:szCs w:val="32"/>
          <w14:textFill>
            <w14:solidFill>
              <w14:schemeClr w14:val="tx1"/>
            </w14:solidFill>
          </w14:textFill>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十三、</w:t>
      </w:r>
      <w:r>
        <w:rPr>
          <w:rFonts w:eastAsia="黑体"/>
          <w:color w:val="000000" w:themeColor="text1"/>
          <w:kern w:val="0"/>
          <w:sz w:val="32"/>
          <w:szCs w:val="32"/>
          <w14:textFill>
            <w14:solidFill>
              <w14:schemeClr w14:val="tx1"/>
            </w14:solidFill>
          </w14:textFill>
        </w:rPr>
        <w:t>2023年</w:t>
      </w:r>
      <w:r>
        <w:rPr>
          <w:rFonts w:hint="eastAsia" w:eastAsia="黑体"/>
          <w:color w:val="000000" w:themeColor="text1"/>
          <w:kern w:val="0"/>
          <w:sz w:val="32"/>
          <w:szCs w:val="32"/>
          <w14:textFill>
            <w14:solidFill>
              <w14:schemeClr w14:val="tx1"/>
            </w14:solidFill>
          </w14:textFill>
        </w:rPr>
        <w:t>部门</w:t>
      </w:r>
      <w:r>
        <w:rPr>
          <w:rFonts w:eastAsia="黑体"/>
          <w:color w:val="000000" w:themeColor="text1"/>
          <w:kern w:val="0"/>
          <w:sz w:val="32"/>
          <w:szCs w:val="32"/>
          <w14:textFill>
            <w14:solidFill>
              <w14:schemeClr w14:val="tx1"/>
            </w14:solidFill>
          </w14:textFill>
        </w:rPr>
        <w:t>预算其他重要事项情况说明</w:t>
      </w:r>
    </w:p>
    <w:p>
      <w:pPr>
        <w:tabs>
          <w:tab w:val="center" w:pos="4475"/>
        </w:tabs>
        <w:spacing w:line="540" w:lineRule="exact"/>
        <w:ind w:firstLine="645"/>
        <w:rPr>
          <w:rFonts w:hint="eastAsia"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（一）机关运行经费安排情况说明</w:t>
      </w:r>
    </w:p>
    <w:p>
      <w:pPr>
        <w:spacing w:line="56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sz w:val="32"/>
          <w:szCs w:val="32"/>
        </w:rPr>
        <w:t>2020年本级及下属单位共有0个行政机关和1个参照公务员法管理的事业单位，机关运行经费财政拨款预算</w:t>
      </w:r>
      <w:r>
        <w:rPr>
          <w:rFonts w:hint="eastAsia" w:ascii="仿宋_GB2312" w:hAnsi="华文仿宋" w:eastAsia="仿宋_GB2312"/>
          <w:sz w:val="32"/>
          <w:szCs w:val="32"/>
          <w:lang w:val="en-US" w:eastAsia="zh-CN"/>
        </w:rPr>
        <w:t>15.8</w:t>
      </w:r>
      <w:r>
        <w:rPr>
          <w:rFonts w:hint="eastAsia" w:ascii="仿宋_GB2312" w:hAnsi="华文仿宋" w:eastAsia="仿宋_GB2312"/>
          <w:sz w:val="32"/>
          <w:szCs w:val="32"/>
        </w:rPr>
        <w:t>万元</w:t>
      </w:r>
      <w:bookmarkStart w:id="0" w:name="_GoBack"/>
      <w:bookmarkEnd w:id="0"/>
      <w:r>
        <w:rPr>
          <w:rFonts w:hint="eastAsia" w:ascii="仿宋_GB2312" w:hAnsi="华文仿宋" w:eastAsia="仿宋_GB2312" w:cs="宋体"/>
          <w:sz w:val="32"/>
          <w:szCs w:val="32"/>
        </w:rPr>
        <w:t>。</w:t>
      </w:r>
    </w:p>
    <w:p>
      <w:pPr>
        <w:pStyle w:val="4"/>
        <w:spacing w:before="0" w:beforeAutospacing="0" w:after="0" w:afterAutospacing="0" w:line="540" w:lineRule="exact"/>
        <w:ind w:firstLine="643"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（二）国有资产占用情况说明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截至2023年12月31日，我馆资产账面价值共计</w:t>
      </w:r>
      <w:r>
        <w:rPr>
          <w:rFonts w:hint="eastAsia" w:ascii="仿宋_GB2312" w:hAnsi="华文仿宋" w:eastAsia="仿宋_GB2312"/>
          <w:sz w:val="32"/>
          <w:szCs w:val="32"/>
          <w:lang w:val="en-US" w:eastAsia="zh-CN"/>
        </w:rPr>
        <w:t>518.65</w:t>
      </w:r>
      <w:r>
        <w:rPr>
          <w:rFonts w:hint="eastAsia" w:ascii="仿宋_GB2312" w:hAnsi="华文仿宋" w:eastAsia="仿宋_GB2312"/>
          <w:sz w:val="32"/>
          <w:szCs w:val="32"/>
        </w:rPr>
        <w:t>万元。本部门核定公务用车编制为0辆，实有车辆0辆；单位价值200万元以上专用设备0台（套）。</w:t>
      </w:r>
    </w:p>
    <w:p>
      <w:pPr>
        <w:pStyle w:val="4"/>
        <w:spacing w:before="0" w:beforeAutospacing="0" w:after="0" w:afterAutospacing="0" w:line="540" w:lineRule="exact"/>
        <w:jc w:val="center"/>
        <w:rPr>
          <w:rFonts w:ascii="Times New Roman" w:hAnsi="Times New Roman" w:eastAsia="仿宋_GB2312" w:cs="Times New Roman"/>
          <w:b/>
          <w:bCs/>
          <w:color w:val="000000" w:themeColor="text1"/>
          <w:sz w:val="32"/>
          <w:szCs w:val="32"/>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第三部分：</w:t>
      </w:r>
      <w:r>
        <w:rPr>
          <w:rFonts w:hint="eastAsia" w:eastAsia="黑体"/>
          <w:color w:val="000000" w:themeColor="text1"/>
          <w:kern w:val="0"/>
          <w:sz w:val="32"/>
          <w:szCs w:val="32"/>
          <w14:textFill>
            <w14:solidFill>
              <w14:schemeClr w14:val="tx1"/>
            </w14:solidFill>
          </w14:textFill>
        </w:rPr>
        <w:t>208</w:t>
      </w:r>
      <w:r>
        <w:rPr>
          <w:rFonts w:hint="eastAsia" w:eastAsia="黑体"/>
          <w:color w:val="000000" w:themeColor="text1"/>
          <w:kern w:val="0"/>
          <w:sz w:val="32"/>
          <w:szCs w:val="32"/>
          <w:lang w:val="en-US" w:eastAsia="zh-CN"/>
          <w14:textFill>
            <w14:solidFill>
              <w14:schemeClr w14:val="tx1"/>
            </w14:solidFill>
          </w14:textFill>
        </w:rPr>
        <w:t>001</w:t>
      </w:r>
      <w:r>
        <w:rPr>
          <w:rFonts w:hint="eastAsia" w:eastAsia="仿宋_GB2312"/>
          <w:b/>
          <w:bCs/>
          <w:color w:val="000000" w:themeColor="text1"/>
          <w:sz w:val="32"/>
          <w:szCs w:val="32"/>
          <w14:textFill>
            <w14:solidFill>
              <w14:schemeClr w14:val="tx1"/>
            </w14:solidFill>
          </w14:textFill>
        </w:rPr>
        <w:t>融水苗族自治县档案馆</w:t>
      </w:r>
      <w:r>
        <w:rPr>
          <w:rFonts w:eastAsia="黑体"/>
          <w:color w:val="000000" w:themeColor="text1"/>
          <w:kern w:val="0"/>
          <w:sz w:val="32"/>
          <w:szCs w:val="32"/>
          <w14:textFill>
            <w14:solidFill>
              <w14:schemeClr w14:val="tx1"/>
            </w14:solidFill>
          </w14:textFill>
        </w:rPr>
        <w:t>2023年部门预算报表</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一、</w:t>
      </w:r>
      <w:r>
        <w:rPr>
          <w:rFonts w:hint="eastAsia" w:ascii="Times New Roman" w:hAnsi="Times New Roman" w:eastAsia="仿宋_GB2312" w:cs="Times New Roman"/>
          <w:bCs/>
          <w:color w:val="000000" w:themeColor="text1"/>
          <w:sz w:val="32"/>
          <w:szCs w:val="32"/>
          <w14:textFill>
            <w14:solidFill>
              <w14:schemeClr w14:val="tx1"/>
            </w14:solidFill>
          </w14:textFill>
        </w:rPr>
        <w:t>部门</w:t>
      </w:r>
      <w:r>
        <w:rPr>
          <w:rFonts w:ascii="Times New Roman" w:hAnsi="Times New Roman" w:eastAsia="仿宋_GB2312" w:cs="Times New Roman"/>
          <w:bCs/>
          <w:color w:val="000000" w:themeColor="text1"/>
          <w:sz w:val="32"/>
          <w:szCs w:val="32"/>
          <w14:textFill>
            <w14:solidFill>
              <w14:schemeClr w14:val="tx1"/>
            </w14:solidFill>
          </w14:textFill>
        </w:rPr>
        <w:t>收支总体情况表（表1）</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二、</w:t>
      </w:r>
      <w:r>
        <w:rPr>
          <w:rFonts w:hint="eastAsia" w:ascii="Times New Roman" w:hAnsi="Times New Roman" w:eastAsia="仿宋_GB2312" w:cs="Times New Roman"/>
          <w:bCs/>
          <w:color w:val="000000" w:themeColor="text1"/>
          <w:sz w:val="32"/>
          <w:szCs w:val="32"/>
          <w14:textFill>
            <w14:solidFill>
              <w14:schemeClr w14:val="tx1"/>
            </w14:solidFill>
          </w14:textFill>
        </w:rPr>
        <w:t>部门</w:t>
      </w:r>
      <w:r>
        <w:rPr>
          <w:rFonts w:ascii="Times New Roman" w:hAnsi="Times New Roman" w:eastAsia="仿宋_GB2312" w:cs="Times New Roman"/>
          <w:bCs/>
          <w:color w:val="000000" w:themeColor="text1"/>
          <w:sz w:val="32"/>
          <w:szCs w:val="32"/>
          <w14:textFill>
            <w14:solidFill>
              <w14:schemeClr w14:val="tx1"/>
            </w14:solidFill>
          </w14:textFill>
        </w:rPr>
        <w:t>收入总体情况表（表2）</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三、</w:t>
      </w:r>
      <w:r>
        <w:rPr>
          <w:rFonts w:hint="eastAsia" w:ascii="Times New Roman" w:hAnsi="Times New Roman" w:eastAsia="仿宋_GB2312" w:cs="Times New Roman"/>
          <w:bCs/>
          <w:color w:val="000000" w:themeColor="text1"/>
          <w:sz w:val="32"/>
          <w:szCs w:val="32"/>
          <w14:textFill>
            <w14:solidFill>
              <w14:schemeClr w14:val="tx1"/>
            </w14:solidFill>
          </w14:textFill>
        </w:rPr>
        <w:t>部门</w:t>
      </w:r>
      <w:r>
        <w:rPr>
          <w:rFonts w:ascii="Times New Roman" w:hAnsi="Times New Roman" w:eastAsia="仿宋_GB2312" w:cs="Times New Roman"/>
          <w:bCs/>
          <w:color w:val="000000" w:themeColor="text1"/>
          <w:sz w:val="32"/>
          <w:szCs w:val="32"/>
          <w14:textFill>
            <w14:solidFill>
              <w14:schemeClr w14:val="tx1"/>
            </w14:solidFill>
          </w14:textFill>
        </w:rPr>
        <w:t>支出总体情况表（表3）</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四、财政拨款收支总体情况表（表4）</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五、一般公共预算支出情况表（表5）</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六、一般公共预算基本支出情况表（表6）</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七、财政拨款三公两费支出情况表（表7）</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八、政府性基金预算支出情况表（表8）</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九、国有资本经营预算支出情况表（表9）</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十、政府采购预算表（表10）</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十一、政府购买服务预算表（表11）</w:t>
      </w:r>
    </w:p>
    <w:p>
      <w:pPr>
        <w:pStyle w:val="4"/>
        <w:spacing w:before="0" w:beforeAutospacing="0" w:after="0" w:afterAutospacing="0" w:line="540" w:lineRule="exact"/>
        <w:jc w:val="center"/>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上述报表详见附件。</w:t>
      </w:r>
    </w:p>
    <w:p>
      <w:pPr>
        <w:adjustRightInd w:val="0"/>
        <w:snapToGrid w:val="0"/>
        <w:spacing w:line="540" w:lineRule="exact"/>
        <w:ind w:right="-218" w:rightChars="-104"/>
        <w:rPr>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 </w:t>
      </w: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第四部分：名词解释</w:t>
      </w:r>
    </w:p>
    <w:p>
      <w:pPr>
        <w:spacing w:line="540" w:lineRule="exact"/>
        <w:ind w:firstLine="640" w:firstLineChars="200"/>
        <w:rPr>
          <w:rFonts w:eastAsia="黑体"/>
          <w:color w:val="000000" w:themeColor="text1"/>
          <w:kern w:val="0"/>
          <w:sz w:val="32"/>
          <w:szCs w:val="32"/>
          <w14:textFill>
            <w14:solidFill>
              <w14:schemeClr w14:val="tx1"/>
            </w14:solidFill>
          </w14:textFill>
        </w:rPr>
      </w:pPr>
    </w:p>
    <w:p>
      <w:pPr>
        <w:ind w:firstLine="640"/>
        <w:rPr>
          <w:rFonts w:ascii="仿宋_GB2312" w:eastAsia="仿宋_GB2312"/>
          <w:sz w:val="32"/>
          <w:szCs w:val="32"/>
        </w:rPr>
      </w:pPr>
      <w:r>
        <w:rPr>
          <w:rFonts w:hint="eastAsia" w:ascii="仿宋_GB2312" w:eastAsia="仿宋_GB2312"/>
          <w:sz w:val="32"/>
          <w:szCs w:val="32"/>
        </w:rPr>
        <w:t xml:space="preserve">（一）财政拨款收入：指本级财政部门当年拨付的资金。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49D3D"/>
    <w:multiLevelType w:val="singleLevel"/>
    <w:tmpl w:val="A5449D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Tc4M2I5NTI1YjRmYzFhNzYwMDgwMjBmNDhjYWMifQ=="/>
  </w:docVars>
  <w:rsids>
    <w:rsidRoot w:val="290B15A7"/>
    <w:rsid w:val="000E42DA"/>
    <w:rsid w:val="00103C08"/>
    <w:rsid w:val="001222A9"/>
    <w:rsid w:val="00305D84"/>
    <w:rsid w:val="0041198F"/>
    <w:rsid w:val="00493B1D"/>
    <w:rsid w:val="0055091A"/>
    <w:rsid w:val="005A75D5"/>
    <w:rsid w:val="00615F98"/>
    <w:rsid w:val="00716E8F"/>
    <w:rsid w:val="007229AA"/>
    <w:rsid w:val="0073598F"/>
    <w:rsid w:val="00770B0F"/>
    <w:rsid w:val="00797F4E"/>
    <w:rsid w:val="008031FB"/>
    <w:rsid w:val="008F6363"/>
    <w:rsid w:val="00B005EF"/>
    <w:rsid w:val="00B27DC3"/>
    <w:rsid w:val="00C80C81"/>
    <w:rsid w:val="00CA1AC8"/>
    <w:rsid w:val="00D21677"/>
    <w:rsid w:val="00D9787A"/>
    <w:rsid w:val="046A325B"/>
    <w:rsid w:val="06CF05F6"/>
    <w:rsid w:val="06FC2DC7"/>
    <w:rsid w:val="0A8D7E1F"/>
    <w:rsid w:val="0D06214C"/>
    <w:rsid w:val="0F1E3512"/>
    <w:rsid w:val="11E47756"/>
    <w:rsid w:val="12761C7C"/>
    <w:rsid w:val="13710E82"/>
    <w:rsid w:val="160025D8"/>
    <w:rsid w:val="1896038C"/>
    <w:rsid w:val="19154AD3"/>
    <w:rsid w:val="19DF4D9C"/>
    <w:rsid w:val="1B0E451B"/>
    <w:rsid w:val="1B8B7B62"/>
    <w:rsid w:val="1C061FFB"/>
    <w:rsid w:val="1C6E0AF0"/>
    <w:rsid w:val="1C9C5BCF"/>
    <w:rsid w:val="1D2C1EB0"/>
    <w:rsid w:val="1DBD3C62"/>
    <w:rsid w:val="1EBC2337"/>
    <w:rsid w:val="221500B1"/>
    <w:rsid w:val="27174C5C"/>
    <w:rsid w:val="28C50D60"/>
    <w:rsid w:val="290B15A7"/>
    <w:rsid w:val="296D7255"/>
    <w:rsid w:val="29B015C6"/>
    <w:rsid w:val="2A676870"/>
    <w:rsid w:val="2A9B77DB"/>
    <w:rsid w:val="2E3C2032"/>
    <w:rsid w:val="2EB1125E"/>
    <w:rsid w:val="2F4E15AF"/>
    <w:rsid w:val="2FC07787"/>
    <w:rsid w:val="32926E43"/>
    <w:rsid w:val="32D26455"/>
    <w:rsid w:val="392C71CB"/>
    <w:rsid w:val="3A8E1C23"/>
    <w:rsid w:val="3AE07DBB"/>
    <w:rsid w:val="3D476376"/>
    <w:rsid w:val="41DB11FF"/>
    <w:rsid w:val="45DD7BAE"/>
    <w:rsid w:val="484766A5"/>
    <w:rsid w:val="48561ACF"/>
    <w:rsid w:val="4C983554"/>
    <w:rsid w:val="58004FB5"/>
    <w:rsid w:val="59795F8C"/>
    <w:rsid w:val="5F3833E6"/>
    <w:rsid w:val="5FE57A29"/>
    <w:rsid w:val="61B9712E"/>
    <w:rsid w:val="62B02069"/>
    <w:rsid w:val="66E47DC2"/>
    <w:rsid w:val="6CB73B9C"/>
    <w:rsid w:val="76D01F34"/>
    <w:rsid w:val="781E3C1D"/>
    <w:rsid w:val="78AD453D"/>
    <w:rsid w:val="78E57EE0"/>
    <w:rsid w:val="799C2A97"/>
    <w:rsid w:val="7B274780"/>
    <w:rsid w:val="7CAD2D8F"/>
    <w:rsid w:val="7D8D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4807</Words>
  <Characters>5417</Characters>
  <Lines>8</Lines>
  <Paragraphs>11</Paragraphs>
  <TotalTime>61</TotalTime>
  <ScaleCrop>false</ScaleCrop>
  <LinksUpToDate>false</LinksUpToDate>
  <CharactersWithSpaces>5670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2023-05-25T03:38:14Z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