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14:textFill>
            <w14:solidFill>
              <w14:schemeClr w14:val="tx1"/>
            </w14:solidFill>
          </w14:textFill>
        </w:rPr>
        <w:t>2</w:t>
      </w:r>
    </w:p>
    <w:p>
      <w:pPr>
        <w:spacing w:line="540" w:lineRule="exact"/>
        <w:jc w:val="center"/>
        <w:rPr>
          <w:rFonts w:eastAsia="仿宋_GB2312"/>
          <w:b/>
          <w:bCs/>
          <w:color w:val="000000" w:themeColor="text1"/>
          <w:sz w:val="32"/>
          <w:szCs w:val="32"/>
          <w14:textFill>
            <w14:solidFill>
              <w14:schemeClr w14:val="tx1"/>
            </w14:solidFill>
          </w14:textFill>
        </w:rPr>
      </w:pPr>
    </w:p>
    <w:p>
      <w:pPr>
        <w:spacing w:line="540" w:lineRule="exact"/>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201009融水苗族自治县杆洞乡中心小学</w:t>
      </w:r>
      <w:r>
        <w:rPr>
          <w:rFonts w:eastAsia="方正小标宋简体"/>
          <w:color w:val="000000" w:themeColor="text1"/>
          <w:sz w:val="44"/>
          <w:szCs w:val="44"/>
          <w14:textFill>
            <w14:solidFill>
              <w14:schemeClr w14:val="tx1"/>
            </w14:solidFill>
          </w14:textFill>
        </w:rPr>
        <w:t>2023年单位预算公开说明</w:t>
      </w:r>
    </w:p>
    <w:p>
      <w:pPr>
        <w:spacing w:line="540" w:lineRule="exact"/>
        <w:rPr>
          <w:rFonts w:eastAsia="方正小标宋简体"/>
          <w:color w:val="000000" w:themeColor="text1"/>
          <w:sz w:val="44"/>
          <w:szCs w:val="44"/>
          <w14:textFill>
            <w14:solidFill>
              <w14:schemeClr w14:val="tx1"/>
            </w14:solidFill>
          </w14:textFill>
        </w:rPr>
      </w:pPr>
    </w:p>
    <w:p>
      <w:pPr>
        <w:spacing w:line="540" w:lineRule="exact"/>
        <w:rPr>
          <w:rFonts w:eastAsia="方正小标宋简体"/>
          <w:color w:val="000000" w:themeColor="text1"/>
          <w:sz w:val="44"/>
          <w:szCs w:val="44"/>
          <w14:textFill>
            <w14:solidFill>
              <w14:schemeClr w14:val="tx1"/>
            </w14:solidFill>
          </w14:textFill>
        </w:rPr>
      </w:pPr>
    </w:p>
    <w:p>
      <w:pPr>
        <w:spacing w:line="540" w:lineRule="exact"/>
        <w:rPr>
          <w:rFonts w:eastAsia="方正小标宋简体"/>
          <w:color w:val="000000" w:themeColor="text1"/>
          <w:sz w:val="44"/>
          <w:szCs w:val="44"/>
          <w14:textFill>
            <w14:solidFill>
              <w14:schemeClr w14:val="tx1"/>
            </w14:solidFill>
          </w14:textFill>
        </w:rPr>
      </w:pPr>
    </w:p>
    <w:p>
      <w:pPr>
        <w:spacing w:line="540" w:lineRule="exact"/>
        <w:rPr>
          <w:rFonts w:eastAsia="方正小标宋简体"/>
          <w:color w:val="000000" w:themeColor="text1"/>
          <w:sz w:val="44"/>
          <w:szCs w:val="44"/>
          <w14:textFill>
            <w14:solidFill>
              <w14:schemeClr w14:val="tx1"/>
            </w14:solidFill>
          </w14:textFill>
        </w:rPr>
      </w:pPr>
    </w:p>
    <w:p>
      <w:pPr>
        <w:adjustRightInd w:val="0"/>
        <w:snapToGrid w:val="0"/>
        <w:spacing w:line="540" w:lineRule="exact"/>
        <w:ind w:right="-218" w:rightChars="-104"/>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目 录</w:t>
      </w:r>
    </w:p>
    <w:p>
      <w:pPr>
        <w:pStyle w:val="3"/>
        <w:spacing w:before="0" w:beforeAutospacing="0" w:after="0" w:afterAutospacing="0" w:line="540" w:lineRule="exact"/>
        <w:jc w:val="center"/>
        <w:rPr>
          <w:rStyle w:val="6"/>
          <w:rFonts w:ascii="Times New Roman" w:hAnsi="Times New Roman" w:eastAsia="方正小标宋简体" w:cs="Times New Roman"/>
          <w:color w:val="000000" w:themeColor="text1"/>
          <w:sz w:val="44"/>
          <w:szCs w:val="44"/>
          <w14:textFill>
            <w14:solidFill>
              <w14:schemeClr w14:val="tx1"/>
            </w14:solidFill>
          </w14:textFill>
        </w:rPr>
      </w:pPr>
    </w:p>
    <w:p>
      <w:pPr>
        <w:pStyle w:val="3"/>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第一部分：</w:t>
      </w:r>
      <w:r>
        <w:rPr>
          <w:rFonts w:hint="eastAsia" w:ascii="Times New Roman" w:hAnsi="Times New Roman" w:eastAsia="仿宋_GB2312" w:cs="Times New Roman"/>
          <w:b/>
          <w:bCs/>
          <w:color w:val="000000" w:themeColor="text1"/>
          <w:sz w:val="32"/>
          <w:szCs w:val="32"/>
          <w14:textFill>
            <w14:solidFill>
              <w14:schemeClr w14:val="tx1"/>
            </w14:solidFill>
          </w14:textFill>
        </w:rPr>
        <w:t>融水苗族自治县杆洞乡中心小学</w:t>
      </w:r>
      <w:r>
        <w:rPr>
          <w:rFonts w:ascii="Times New Roman" w:hAnsi="Times New Roman" w:eastAsia="仿宋_GB2312" w:cs="Times New Roman"/>
          <w:b/>
          <w:bCs/>
          <w:color w:val="000000" w:themeColor="text1"/>
          <w:sz w:val="32"/>
          <w:szCs w:val="32"/>
          <w14:textFill>
            <w14:solidFill>
              <w14:schemeClr w14:val="tx1"/>
            </w14:solidFill>
          </w14:textFill>
        </w:rPr>
        <w:t>概况</w:t>
      </w:r>
    </w:p>
    <w:p>
      <w:pPr>
        <w:pStyle w:val="3"/>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p>
    <w:p>
      <w:pPr>
        <w:pStyle w:val="3"/>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第二部分：</w:t>
      </w:r>
      <w:r>
        <w:rPr>
          <w:rFonts w:hint="eastAsia" w:ascii="Times New Roman" w:hAnsi="Times New Roman" w:eastAsia="仿宋_GB2312" w:cs="Times New Roman"/>
          <w:b/>
          <w:bCs/>
          <w:color w:val="000000" w:themeColor="text1"/>
          <w:sz w:val="32"/>
          <w:szCs w:val="32"/>
          <w14:textFill>
            <w14:solidFill>
              <w14:schemeClr w14:val="tx1"/>
            </w14:solidFill>
          </w14:textFill>
        </w:rPr>
        <w:t>融水苗族自治县杆洞乡中心小学</w:t>
      </w:r>
      <w:r>
        <w:rPr>
          <w:rFonts w:ascii="Times New Roman" w:hAnsi="Times New Roman" w:eastAsia="仿宋_GB2312" w:cs="Times New Roman"/>
          <w:b/>
          <w:bCs/>
          <w:color w:val="000000" w:themeColor="text1"/>
          <w:sz w:val="32"/>
          <w:szCs w:val="32"/>
          <w14:textFill>
            <w14:solidFill>
              <w14:schemeClr w14:val="tx1"/>
            </w14:solidFill>
          </w14:textFill>
        </w:rPr>
        <w:t>2023年单位预算情况说明</w:t>
      </w:r>
    </w:p>
    <w:p>
      <w:pPr>
        <w:pStyle w:val="3"/>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p>
    <w:p>
      <w:pPr>
        <w:pStyle w:val="3"/>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第三部分：</w:t>
      </w:r>
      <w:r>
        <w:rPr>
          <w:rFonts w:hint="eastAsia" w:ascii="Times New Roman" w:hAnsi="Times New Roman" w:eastAsia="仿宋_GB2312" w:cs="Times New Roman"/>
          <w:b/>
          <w:bCs/>
          <w:color w:val="000000" w:themeColor="text1"/>
          <w:sz w:val="32"/>
          <w:szCs w:val="32"/>
          <w14:textFill>
            <w14:solidFill>
              <w14:schemeClr w14:val="tx1"/>
            </w14:solidFill>
          </w14:textFill>
        </w:rPr>
        <w:t>融水苗族自治县杆洞乡中心小学</w:t>
      </w:r>
      <w:r>
        <w:rPr>
          <w:rFonts w:ascii="Times New Roman" w:hAnsi="Times New Roman" w:eastAsia="仿宋_GB2312" w:cs="Times New Roman"/>
          <w:b/>
          <w:bCs/>
          <w:color w:val="000000" w:themeColor="text1"/>
          <w:sz w:val="32"/>
          <w:szCs w:val="32"/>
          <w14:textFill>
            <w14:solidFill>
              <w14:schemeClr w14:val="tx1"/>
            </w14:solidFill>
          </w14:textFill>
        </w:rPr>
        <w:t>2023年单位预算报表</w:t>
      </w:r>
    </w:p>
    <w:p>
      <w:pPr>
        <w:pStyle w:val="3"/>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p>
    <w:p>
      <w:pPr>
        <w:pStyle w:val="3"/>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第四部分：名词解释</w:t>
      </w:r>
    </w:p>
    <w:p>
      <w:pPr>
        <w:adjustRightInd w:val="0"/>
        <w:snapToGrid w:val="0"/>
        <w:spacing w:line="540" w:lineRule="exact"/>
        <w:ind w:right="-218" w:rightChars="-104"/>
        <w:jc w:val="center"/>
        <w:rPr>
          <w:rStyle w:val="6"/>
          <w:rFonts w:eastAsia="仿宋_GB2312"/>
          <w:color w:val="000000" w:themeColor="text1"/>
          <w:sz w:val="32"/>
          <w:szCs w:val="32"/>
          <w14:textFill>
            <w14:solidFill>
              <w14:schemeClr w14:val="tx1"/>
            </w14:solidFill>
          </w14:textFill>
        </w:rPr>
      </w:pPr>
    </w:p>
    <w:p>
      <w:pPr>
        <w:adjustRightInd w:val="0"/>
        <w:snapToGrid w:val="0"/>
        <w:spacing w:line="540" w:lineRule="exact"/>
        <w:ind w:right="-218" w:rightChars="-104"/>
        <w:jc w:val="center"/>
        <w:rPr>
          <w:rStyle w:val="6"/>
          <w:rFonts w:eastAsia="仿宋_GB2312"/>
          <w:color w:val="000000" w:themeColor="text1"/>
          <w:sz w:val="32"/>
          <w:szCs w:val="32"/>
          <w14:textFill>
            <w14:solidFill>
              <w14:schemeClr w14:val="tx1"/>
            </w14:solidFill>
          </w14:textFill>
        </w:rPr>
      </w:pPr>
    </w:p>
    <w:p>
      <w:pPr>
        <w:adjustRightInd w:val="0"/>
        <w:snapToGrid w:val="0"/>
        <w:spacing w:line="540" w:lineRule="exact"/>
        <w:ind w:right="-218" w:rightChars="-104"/>
        <w:rPr>
          <w:rStyle w:val="6"/>
          <w:rFonts w:eastAsia="仿宋_GB2312"/>
          <w:color w:val="000000" w:themeColor="text1"/>
          <w:sz w:val="32"/>
          <w:szCs w:val="32"/>
          <w14:textFill>
            <w14:solidFill>
              <w14:schemeClr w14:val="tx1"/>
            </w14:solidFill>
          </w14:textFill>
        </w:rPr>
      </w:pPr>
    </w:p>
    <w:p>
      <w:pPr>
        <w:adjustRightInd w:val="0"/>
        <w:snapToGrid w:val="0"/>
        <w:spacing w:line="540" w:lineRule="exact"/>
        <w:ind w:right="-218" w:rightChars="-104"/>
        <w:rPr>
          <w:rFonts w:eastAsia="黑体"/>
          <w:color w:val="000000" w:themeColor="text1"/>
          <w:kern w:val="0"/>
          <w:sz w:val="32"/>
          <w:szCs w:val="32"/>
          <w14:textFill>
            <w14:solidFill>
              <w14:schemeClr w14:val="tx1"/>
            </w14:solidFill>
          </w14:textFill>
        </w:rPr>
      </w:pPr>
    </w:p>
    <w:p>
      <w:pPr>
        <w:adjustRightInd w:val="0"/>
        <w:snapToGrid w:val="0"/>
        <w:spacing w:line="540" w:lineRule="exact"/>
        <w:ind w:right="-218" w:rightChars="-104"/>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第一部分：</w:t>
      </w:r>
      <w:r>
        <w:rPr>
          <w:rFonts w:hint="eastAsia" w:eastAsia="黑体"/>
          <w:color w:val="000000" w:themeColor="text1"/>
          <w:kern w:val="0"/>
          <w:sz w:val="32"/>
          <w:szCs w:val="32"/>
          <w14:textFill>
            <w14:solidFill>
              <w14:schemeClr w14:val="tx1"/>
            </w14:solidFill>
          </w14:textFill>
        </w:rPr>
        <w:t>融水苗族自治县杆洞乡中心小学</w:t>
      </w:r>
      <w:r>
        <w:rPr>
          <w:rFonts w:eastAsia="黑体"/>
          <w:color w:val="000000" w:themeColor="text1"/>
          <w:kern w:val="0"/>
          <w:sz w:val="32"/>
          <w:szCs w:val="32"/>
          <w14:textFill>
            <w14:solidFill>
              <w14:schemeClr w14:val="tx1"/>
            </w14:solidFill>
          </w14:textFill>
        </w:rPr>
        <w:t>概况</w:t>
      </w:r>
    </w:p>
    <w:p>
      <w:pPr>
        <w:pStyle w:val="3"/>
        <w:spacing w:before="0" w:beforeAutospacing="0" w:after="0" w:afterAutospacing="0" w:line="540" w:lineRule="exact"/>
        <w:ind w:firstLine="640" w:firstLineChars="200"/>
        <w:jc w:val="both"/>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一、主要职责</w:t>
      </w:r>
    </w:p>
    <w:p>
      <w:pPr>
        <w:spacing w:line="520" w:lineRule="exact"/>
        <w:ind w:firstLine="640" w:firstLineChars="200"/>
        <w:rPr>
          <w:rFonts w:ascii="黑体" w:hAnsi="黑体" w:eastAsia="仿宋"/>
          <w:b/>
          <w:bCs/>
          <w:color w:val="FF0000"/>
          <w:sz w:val="28"/>
          <w:szCs w:val="28"/>
        </w:rPr>
      </w:pPr>
      <w:r>
        <w:rPr>
          <w:rFonts w:hint="eastAsia" w:ascii="仿宋" w:hAnsi="仿宋" w:eastAsia="仿宋" w:cs="仿宋"/>
          <w:sz w:val="32"/>
          <w:szCs w:val="32"/>
        </w:rPr>
        <w:t>融水县杆洞乡中心小学是融水县教育局为主管部门的下属单位，是独立核算的组织机构。主要工作职能：（一）贯彻执行党的教育方针、政策、法律、法规，依法拟定并组织实施全县教育工作发展规划、计划；（二）贯彻落实教育方针、政策，以文化育人为抓手，推进学校教育；（三）抓好师生思想政治、德育、体育卫生艺术与安全教育工作；（四）组织实施教师培训工作，依法统筹规划学校教师和管理人员的队伍建设工作。</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二、机构设置情况</w:t>
      </w:r>
    </w:p>
    <w:p>
      <w:pPr>
        <w:spacing w:line="360" w:lineRule="auto"/>
        <w:ind w:firstLine="640" w:firstLineChars="200"/>
        <w:rPr>
          <w:rFonts w:ascii="仿宋_GB2312" w:hAnsi="华文仿宋" w:eastAsia="仿宋_GB2312"/>
          <w:sz w:val="32"/>
          <w:szCs w:val="32"/>
        </w:rPr>
      </w:pPr>
      <w:r>
        <w:rPr>
          <w:rFonts w:hint="eastAsia" w:ascii="仿宋_GB2312" w:hAnsi="华文仿宋" w:eastAsia="仿宋_GB2312"/>
          <w:color w:val="000000"/>
          <w:sz w:val="32"/>
          <w:szCs w:val="32"/>
        </w:rPr>
        <w:t>融水苗族自治县杆洞乡中心小学共有直属单位1个。其中行政单位0个，参照公务员管理事业单位0个，全额拨款事业单位1个，差额拨款事业单位0个，自收自支事业单位0个。全额拨款事业单位是：</w:t>
      </w:r>
      <w:r>
        <w:rPr>
          <w:rFonts w:hint="eastAsia" w:ascii="仿宋_GB2312" w:hAnsi="华文仿宋" w:eastAsia="仿宋_GB2312"/>
          <w:sz w:val="32"/>
          <w:szCs w:val="32"/>
        </w:rPr>
        <w:t>融水苗族自治县杆洞乡中心小学。</w:t>
      </w:r>
    </w:p>
    <w:p>
      <w:pPr>
        <w:spacing w:line="560" w:lineRule="exact"/>
        <w:ind w:firstLine="640" w:firstLineChars="200"/>
        <w:jc w:val="left"/>
        <w:rPr>
          <w:rFonts w:ascii="仿宋_GB2312" w:hAnsi="华文仿宋" w:eastAsia="仿宋_GB2312"/>
          <w:sz w:val="32"/>
          <w:szCs w:val="32"/>
        </w:rPr>
      </w:pPr>
      <w:r>
        <w:rPr>
          <w:rFonts w:hint="eastAsia" w:ascii="仿宋_GB2312" w:hAnsi="仿宋_GB2312" w:eastAsia="仿宋_GB2312" w:cs="仿宋_GB2312"/>
          <w:sz w:val="32"/>
          <w:szCs w:val="32"/>
          <w:lang w:bidi="ar"/>
        </w:rPr>
        <w:t>学校设有后勤科、财务科、校团委、工会科、政教科、教务科、办公室等。</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三、编制现状及人员构成</w:t>
      </w:r>
    </w:p>
    <w:p>
      <w:pPr>
        <w:pStyle w:val="3"/>
        <w:spacing w:before="0" w:beforeAutospacing="0" w:after="0" w:afterAutospacing="0" w:line="540" w:lineRule="exact"/>
        <w:ind w:firstLine="640" w:firstLineChars="200"/>
        <w:jc w:val="both"/>
        <w:rPr>
          <w:rFonts w:ascii="仿宋_GB2312" w:hAnsi="华文仿宋" w:eastAsia="仿宋_GB2312"/>
          <w:color w:val="000000"/>
          <w:sz w:val="32"/>
          <w:szCs w:val="32"/>
        </w:rPr>
      </w:pPr>
      <w:r>
        <w:rPr>
          <w:rFonts w:hint="eastAsia" w:ascii="仿宋_GB2312" w:hAnsi="华文仿宋" w:eastAsia="仿宋_GB2312"/>
          <w:color w:val="000000"/>
          <w:sz w:val="32"/>
          <w:szCs w:val="32"/>
        </w:rPr>
        <w:t>单位人员编制总数为</w:t>
      </w:r>
      <w:r>
        <w:rPr>
          <w:rFonts w:ascii="仿宋_GB2312" w:hAnsi="华文仿宋" w:eastAsia="仿宋_GB2312"/>
          <w:color w:val="000000"/>
          <w:sz w:val="32"/>
          <w:szCs w:val="32"/>
        </w:rPr>
        <w:t>183</w:t>
      </w:r>
      <w:r>
        <w:rPr>
          <w:rFonts w:hint="eastAsia" w:ascii="仿宋_GB2312" w:hAnsi="华文仿宋" w:eastAsia="仿宋_GB2312"/>
          <w:color w:val="000000"/>
          <w:sz w:val="32"/>
          <w:szCs w:val="32"/>
        </w:rPr>
        <w:t>人，编内在职</w:t>
      </w:r>
      <w:r>
        <w:rPr>
          <w:rFonts w:ascii="仿宋_GB2312" w:hAnsi="华文仿宋" w:eastAsia="仿宋_GB2312"/>
          <w:color w:val="000000"/>
          <w:sz w:val="32"/>
          <w:szCs w:val="32"/>
        </w:rPr>
        <w:t>94</w:t>
      </w:r>
      <w:r>
        <w:rPr>
          <w:rFonts w:hint="eastAsia" w:ascii="仿宋_GB2312" w:hAnsi="华文仿宋" w:eastAsia="仿宋_GB2312"/>
          <w:color w:val="000000"/>
          <w:sz w:val="32"/>
          <w:szCs w:val="32"/>
        </w:rPr>
        <w:t>人，其中：行政在职0人，全额事业在职</w:t>
      </w:r>
      <w:r>
        <w:rPr>
          <w:rFonts w:ascii="仿宋_GB2312" w:hAnsi="华文仿宋" w:eastAsia="仿宋_GB2312"/>
          <w:color w:val="000000"/>
          <w:sz w:val="32"/>
          <w:szCs w:val="32"/>
        </w:rPr>
        <w:t>94</w:t>
      </w:r>
      <w:r>
        <w:rPr>
          <w:rFonts w:hint="eastAsia" w:ascii="仿宋_GB2312" w:hAnsi="华文仿宋" w:eastAsia="仿宋_GB2312"/>
          <w:color w:val="000000"/>
          <w:sz w:val="32"/>
          <w:szCs w:val="32"/>
        </w:rPr>
        <w:t>人。离休人员0人，退休补助</w:t>
      </w:r>
      <w:r>
        <w:rPr>
          <w:rFonts w:ascii="仿宋_GB2312" w:hAnsi="华文仿宋" w:eastAsia="仿宋_GB2312"/>
          <w:color w:val="000000"/>
          <w:sz w:val="32"/>
          <w:szCs w:val="32"/>
        </w:rPr>
        <w:t>70</w:t>
      </w:r>
      <w:r>
        <w:rPr>
          <w:rFonts w:hint="eastAsia" w:ascii="仿宋_GB2312" w:hAnsi="华文仿宋" w:eastAsia="仿宋_GB2312"/>
          <w:color w:val="000000"/>
          <w:sz w:val="32"/>
          <w:szCs w:val="32"/>
        </w:rPr>
        <w:t>人。</w:t>
      </w:r>
    </w:p>
    <w:p>
      <w:pPr>
        <w:pStyle w:val="3"/>
        <w:spacing w:before="0" w:beforeAutospacing="0" w:after="0" w:afterAutospacing="0" w:line="540" w:lineRule="exact"/>
        <w:ind w:firstLine="640" w:firstLineChars="200"/>
        <w:jc w:val="both"/>
        <w:rPr>
          <w:rFonts w:ascii="仿宋_GB2312" w:hAnsi="华文仿宋" w:eastAsia="仿宋_GB2312"/>
          <w:color w:val="000000"/>
          <w:sz w:val="32"/>
          <w:szCs w:val="32"/>
        </w:rPr>
      </w:pPr>
    </w:p>
    <w:p>
      <w:pPr>
        <w:pStyle w:val="3"/>
        <w:spacing w:before="0" w:beforeAutospacing="0" w:after="0" w:afterAutospacing="0" w:line="540" w:lineRule="exact"/>
        <w:ind w:firstLine="640" w:firstLineChars="200"/>
        <w:jc w:val="both"/>
        <w:rPr>
          <w:rFonts w:ascii="仿宋_GB2312" w:hAnsi="华文仿宋" w:eastAsia="仿宋_GB2312"/>
          <w:color w:val="000000"/>
          <w:sz w:val="32"/>
          <w:szCs w:val="32"/>
        </w:rPr>
      </w:pPr>
    </w:p>
    <w:p>
      <w:pPr>
        <w:pStyle w:val="3"/>
        <w:spacing w:before="0" w:beforeAutospacing="0" w:after="0" w:afterAutospacing="0" w:line="540" w:lineRule="exact"/>
        <w:ind w:firstLine="640" w:firstLineChars="200"/>
        <w:jc w:val="both"/>
        <w:rPr>
          <w:rFonts w:ascii="仿宋_GB2312" w:hAnsi="华文仿宋" w:eastAsia="仿宋_GB2312"/>
          <w:color w:val="000000"/>
          <w:sz w:val="32"/>
          <w:szCs w:val="32"/>
        </w:rPr>
      </w:pPr>
    </w:p>
    <w:p>
      <w:pPr>
        <w:adjustRightInd w:val="0"/>
        <w:snapToGrid w:val="0"/>
        <w:spacing w:line="540" w:lineRule="exact"/>
        <w:ind w:right="-218" w:rightChars="-104"/>
        <w:jc w:val="center"/>
        <w:rPr>
          <w:rFonts w:eastAsia="黑体"/>
          <w:color w:val="000000" w:themeColor="text1"/>
          <w:kern w:val="0"/>
          <w:sz w:val="32"/>
          <w:szCs w:val="32"/>
          <w14:textFill>
            <w14:solidFill>
              <w14:schemeClr w14:val="tx1"/>
            </w14:solidFill>
          </w14:textFill>
        </w:rPr>
      </w:pPr>
    </w:p>
    <w:p>
      <w:pPr>
        <w:adjustRightInd w:val="0"/>
        <w:snapToGrid w:val="0"/>
        <w:spacing w:line="540" w:lineRule="exact"/>
        <w:ind w:right="-218" w:rightChars="-104"/>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第二部分：</w:t>
      </w:r>
      <w:r>
        <w:rPr>
          <w:rFonts w:hint="eastAsia" w:eastAsia="黑体"/>
          <w:color w:val="000000" w:themeColor="text1"/>
          <w:kern w:val="0"/>
          <w:sz w:val="32"/>
          <w:szCs w:val="32"/>
          <w14:textFill>
            <w14:solidFill>
              <w14:schemeClr w14:val="tx1"/>
            </w14:solidFill>
          </w14:textFill>
        </w:rPr>
        <w:t>融水苗族自治县杆洞乡中心小学</w:t>
      </w:r>
      <w:r>
        <w:rPr>
          <w:rFonts w:eastAsia="黑体"/>
          <w:color w:val="000000" w:themeColor="text1"/>
          <w:kern w:val="0"/>
          <w:sz w:val="32"/>
          <w:szCs w:val="32"/>
          <w14:textFill>
            <w14:solidFill>
              <w14:schemeClr w14:val="tx1"/>
            </w14:solidFill>
          </w14:textFill>
        </w:rPr>
        <w:t>2023年单位预算情况说明</w:t>
      </w:r>
    </w:p>
    <w:p>
      <w:pPr>
        <w:tabs>
          <w:tab w:val="center" w:pos="4475"/>
        </w:tabs>
        <w:spacing w:line="540" w:lineRule="exact"/>
        <w:ind w:firstLine="645"/>
        <w:rPr>
          <w:rFonts w:eastAsia="仿宋_GB2312"/>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一、单位收支预算情况说明</w:t>
      </w:r>
    </w:p>
    <w:p>
      <w:pPr>
        <w:spacing w:line="560" w:lineRule="exact"/>
        <w:ind w:firstLine="640" w:firstLineChars="200"/>
        <w:jc w:val="left"/>
        <w:rPr>
          <w:rFonts w:ascii="仿宋_GB2312" w:hAnsi="仿宋_GB2312" w:eastAsia="仿宋_GB2312" w:cs="仿宋_GB2312"/>
          <w:strike/>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2023年单位收支总预算</w:t>
      </w:r>
      <w:r>
        <w:rPr>
          <w:rFonts w:ascii="仿宋_GB2312" w:hAnsi="仿宋_GB2312" w:eastAsia="仿宋_GB2312" w:cs="仿宋_GB2312"/>
          <w:color w:val="000000"/>
          <w:sz w:val="32"/>
          <w:szCs w:val="32"/>
        </w:rPr>
        <w:t>1687.28</w:t>
      </w:r>
      <w:r>
        <w:rPr>
          <w:rFonts w:hint="eastAsia" w:ascii="仿宋_GB2312" w:hAnsi="仿宋_GB2312" w:eastAsia="仿宋_GB2312" w:cs="仿宋_GB2312"/>
          <w:color w:val="000000" w:themeColor="text1"/>
          <w:sz w:val="32"/>
          <w:szCs w:val="32"/>
          <w14:textFill>
            <w14:solidFill>
              <w14:schemeClr w14:val="tx1"/>
            </w14:solidFill>
          </w14:textFill>
        </w:rPr>
        <w:t>万元，同比增加</w:t>
      </w:r>
      <w:bookmarkStart w:id="0" w:name="_Hlk134138633"/>
      <w:r>
        <w:rPr>
          <w:rFonts w:ascii="仿宋_GB2312" w:hAnsi="仿宋_GB2312" w:eastAsia="仿宋_GB2312" w:cs="仿宋_GB2312"/>
          <w:sz w:val="32"/>
          <w:szCs w:val="32"/>
        </w:rPr>
        <w:t>230.29</w:t>
      </w:r>
      <w:bookmarkEnd w:id="0"/>
      <w:r>
        <w:rPr>
          <w:rFonts w:hint="eastAsia" w:ascii="仿宋_GB2312" w:hAnsi="仿宋_GB2312" w:eastAsia="仿宋_GB2312" w:cs="仿宋_GB2312"/>
          <w:color w:val="000000" w:themeColor="text1"/>
          <w:sz w:val="32"/>
          <w:szCs w:val="32"/>
          <w14:textFill>
            <w14:solidFill>
              <w14:schemeClr w14:val="tx1"/>
            </w14:solidFill>
          </w14:textFill>
        </w:rPr>
        <w:t>万元，同比增长</w:t>
      </w:r>
      <w:r>
        <w:rPr>
          <w:rFonts w:hint="eastAsia" w:ascii="仿宋_GB2312" w:hAnsi="仿宋_GB2312" w:eastAsia="仿宋_GB2312" w:cs="仿宋_GB2312"/>
          <w:sz w:val="32"/>
          <w:szCs w:val="32"/>
        </w:rPr>
        <w:t>15.</w:t>
      </w:r>
      <w:r>
        <w:rPr>
          <w:rFonts w:ascii="仿宋_GB2312" w:hAnsi="仿宋_GB2312" w:eastAsia="仿宋_GB2312" w:cs="仿宋_GB2312"/>
          <w:sz w:val="32"/>
          <w:szCs w:val="32"/>
        </w:rPr>
        <w:t>81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收入包括:一般公共预算收入</w:t>
      </w:r>
      <w:r>
        <w:rPr>
          <w:rFonts w:ascii="仿宋_GB2312" w:hAnsi="仿宋_GB2312" w:eastAsia="仿宋_GB2312" w:cs="仿宋_GB2312"/>
          <w:color w:val="000000"/>
          <w:sz w:val="32"/>
          <w:szCs w:val="32"/>
        </w:rPr>
        <w:t>1509.99</w:t>
      </w:r>
      <w:r>
        <w:rPr>
          <w:rFonts w:hint="eastAsia" w:ascii="仿宋_GB2312" w:hAnsi="仿宋_GB2312" w:eastAsia="仿宋_GB2312" w:cs="仿宋_GB2312"/>
          <w:sz w:val="32"/>
          <w:szCs w:val="32"/>
        </w:rPr>
        <w:t>万元，上年结转结余</w:t>
      </w:r>
      <w:r>
        <w:rPr>
          <w:rFonts w:ascii="仿宋_GB2312" w:hAnsi="仿宋_GB2312" w:eastAsia="仿宋_GB2312" w:cs="仿宋_GB2312"/>
          <w:sz w:val="32"/>
          <w:szCs w:val="32"/>
        </w:rPr>
        <w:t>177.28</w:t>
      </w:r>
      <w:r>
        <w:rPr>
          <w:rFonts w:hint="eastAsia" w:ascii="仿宋_GB2312" w:hAnsi="仿宋_GB2312" w:eastAsia="仿宋_GB2312" w:cs="仿宋_GB2312"/>
          <w:sz w:val="32"/>
          <w:szCs w:val="32"/>
        </w:rPr>
        <w:t>万元。支出包括:教育支出</w:t>
      </w:r>
      <w:r>
        <w:rPr>
          <w:rFonts w:ascii="仿宋_GB2312" w:hAnsi="仿宋_GB2312" w:eastAsia="仿宋_GB2312" w:cs="仿宋_GB2312"/>
          <w:sz w:val="32"/>
          <w:szCs w:val="32"/>
        </w:rPr>
        <w:t>1216.61</w:t>
      </w:r>
      <w:r>
        <w:rPr>
          <w:rFonts w:hint="eastAsia" w:ascii="仿宋_GB2312" w:hAnsi="仿宋_GB2312" w:eastAsia="仿宋_GB2312" w:cs="仿宋_GB2312"/>
          <w:sz w:val="32"/>
          <w:szCs w:val="32"/>
        </w:rPr>
        <w:t>万元,社会保障和就业支出</w:t>
      </w:r>
      <w:r>
        <w:rPr>
          <w:rFonts w:ascii="仿宋_GB2312" w:hAnsi="仿宋_GB2312" w:eastAsia="仿宋_GB2312" w:cs="仿宋_GB2312"/>
          <w:sz w:val="32"/>
          <w:szCs w:val="32"/>
        </w:rPr>
        <w:t>235.27</w:t>
      </w:r>
      <w:r>
        <w:rPr>
          <w:rFonts w:hint="eastAsia" w:ascii="仿宋_GB2312" w:hAnsi="仿宋_GB2312" w:eastAsia="仿宋_GB2312" w:cs="仿宋_GB2312"/>
          <w:sz w:val="32"/>
          <w:szCs w:val="32"/>
        </w:rPr>
        <w:t>万元,卫生健康支出</w:t>
      </w:r>
      <w:r>
        <w:rPr>
          <w:rFonts w:ascii="仿宋_GB2312" w:hAnsi="仿宋_GB2312" w:eastAsia="仿宋_GB2312" w:cs="仿宋_GB2312"/>
          <w:sz w:val="32"/>
          <w:szCs w:val="32"/>
        </w:rPr>
        <w:t>92.43</w:t>
      </w:r>
      <w:r>
        <w:rPr>
          <w:rFonts w:hint="eastAsia" w:ascii="仿宋_GB2312" w:hAnsi="仿宋_GB2312" w:eastAsia="仿宋_GB2312" w:cs="仿宋_GB2312"/>
          <w:sz w:val="32"/>
          <w:szCs w:val="32"/>
        </w:rPr>
        <w:t>万元,住房保障支出</w:t>
      </w:r>
      <w:r>
        <w:rPr>
          <w:rFonts w:ascii="仿宋_GB2312" w:hAnsi="仿宋_GB2312" w:eastAsia="仿宋_GB2312" w:cs="仿宋_GB2312"/>
          <w:sz w:val="32"/>
          <w:szCs w:val="32"/>
        </w:rPr>
        <w:t>141.16</w:t>
      </w:r>
      <w:r>
        <w:rPr>
          <w:rFonts w:hint="eastAsia" w:ascii="仿宋_GB2312" w:hAnsi="仿宋_GB2312" w:eastAsia="仿宋_GB2312" w:cs="仿宋_GB2312"/>
          <w:sz w:val="32"/>
          <w:szCs w:val="32"/>
        </w:rPr>
        <w:t>万元，其他支出</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万元。</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二、单位收入预算情况说明</w:t>
      </w:r>
    </w:p>
    <w:p>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2023年单位收入总预算</w:t>
      </w:r>
      <w:r>
        <w:rPr>
          <w:rFonts w:ascii="仿宋_GB2312" w:hAnsi="仿宋_GB2312" w:eastAsia="仿宋_GB2312" w:cs="仿宋_GB2312"/>
          <w:color w:val="000000" w:themeColor="text1"/>
          <w:sz w:val="32"/>
          <w:szCs w:val="32"/>
          <w14:textFill>
            <w14:solidFill>
              <w14:schemeClr w14:val="tx1"/>
            </w14:solidFill>
          </w14:textFill>
        </w:rPr>
        <w:t>1687.28</w:t>
      </w:r>
      <w:r>
        <w:rPr>
          <w:rFonts w:hint="eastAsia" w:ascii="仿宋_GB2312" w:hAnsi="仿宋_GB2312" w:eastAsia="仿宋_GB2312" w:cs="仿宋_GB2312"/>
          <w:color w:val="000000" w:themeColor="text1"/>
          <w:sz w:val="32"/>
          <w:szCs w:val="32"/>
          <w14:textFill>
            <w14:solidFill>
              <w14:schemeClr w14:val="tx1"/>
            </w14:solidFill>
          </w14:textFill>
        </w:rPr>
        <w:t>万元，同比增加</w:t>
      </w:r>
      <w:r>
        <w:rPr>
          <w:rFonts w:ascii="仿宋_GB2312" w:hAnsi="仿宋_GB2312" w:eastAsia="仿宋_GB2312" w:cs="仿宋_GB2312"/>
          <w:sz w:val="32"/>
          <w:szCs w:val="32"/>
        </w:rPr>
        <w:t>230.29</w:t>
      </w:r>
      <w:r>
        <w:rPr>
          <w:rFonts w:hint="eastAsia" w:ascii="仿宋_GB2312" w:hAnsi="仿宋_GB2312" w:eastAsia="仿宋_GB2312" w:cs="仿宋_GB2312"/>
          <w:color w:val="000000" w:themeColor="text1"/>
          <w:sz w:val="32"/>
          <w:szCs w:val="32"/>
          <w14:textFill>
            <w14:solidFill>
              <w14:schemeClr w14:val="tx1"/>
            </w14:solidFill>
          </w14:textFill>
        </w:rPr>
        <w:t>万元，同比增长</w:t>
      </w:r>
      <w:r>
        <w:rPr>
          <w:rFonts w:hint="eastAsia" w:ascii="仿宋_GB2312" w:hAnsi="仿宋_GB2312" w:eastAsia="仿宋_GB2312" w:cs="仿宋_GB2312"/>
          <w:sz w:val="32"/>
          <w:szCs w:val="32"/>
        </w:rPr>
        <w:t>15.</w:t>
      </w:r>
      <w:r>
        <w:rPr>
          <w:rFonts w:ascii="仿宋_GB2312" w:hAnsi="仿宋_GB2312" w:eastAsia="仿宋_GB2312" w:cs="仿宋_GB2312"/>
          <w:sz w:val="32"/>
          <w:szCs w:val="32"/>
        </w:rPr>
        <w:t>82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。其中：</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（一）一般公共预算拨款</w:t>
      </w:r>
      <w:r>
        <w:rPr>
          <w:rFonts w:ascii="仿宋_GB2312" w:hAnsi="仿宋_GB2312" w:eastAsia="仿宋_GB2312" w:cs="仿宋_GB2312"/>
          <w:color w:val="000000"/>
          <w:sz w:val="32"/>
          <w:szCs w:val="32"/>
        </w:rPr>
        <w:t>1509.99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sz w:val="32"/>
          <w:szCs w:val="32"/>
        </w:rPr>
        <w:t>同比增加</w:t>
      </w:r>
      <w:r>
        <w:rPr>
          <w:rFonts w:ascii="仿宋_GB2312" w:hAnsi="仿宋_GB2312" w:eastAsia="仿宋_GB2312" w:cs="仿宋_GB2312"/>
          <w:sz w:val="32"/>
          <w:szCs w:val="32"/>
        </w:rPr>
        <w:t>53</w:t>
      </w:r>
      <w:r>
        <w:rPr>
          <w:rFonts w:hint="eastAsia" w:ascii="仿宋_GB2312" w:hAnsi="仿宋_GB2312" w:eastAsia="仿宋_GB2312" w:cs="仿宋_GB2312"/>
          <w:sz w:val="32"/>
          <w:szCs w:val="32"/>
        </w:rPr>
        <w:t>万元，同比增长3.</w:t>
      </w:r>
      <w:r>
        <w:rPr>
          <w:rFonts w:ascii="仿宋_GB2312" w:hAnsi="仿宋_GB2312" w:eastAsia="仿宋_GB2312" w:cs="仿宋_GB2312"/>
          <w:sz w:val="32"/>
          <w:szCs w:val="32"/>
        </w:rPr>
        <w:t>64</w:t>
      </w:r>
      <w:r>
        <w:rPr>
          <w:rFonts w:hint="eastAsia" w:ascii="仿宋_GB2312" w:hAnsi="仿宋_GB2312" w:eastAsia="仿宋_GB2312" w:cs="仿宋_GB2312"/>
          <w:sz w:val="32"/>
          <w:szCs w:val="32"/>
        </w:rPr>
        <w:t>%。</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sz w:val="32"/>
          <w:szCs w:val="32"/>
        </w:rPr>
        <w:t>上年结余收入</w:t>
      </w:r>
      <w:r>
        <w:rPr>
          <w:rFonts w:ascii="仿宋_GB2312" w:hAnsi="仿宋_GB2312" w:eastAsia="仿宋_GB2312" w:cs="仿宋_GB2312"/>
          <w:sz w:val="32"/>
          <w:szCs w:val="32"/>
        </w:rPr>
        <w:t>177.28</w:t>
      </w:r>
      <w:r>
        <w:rPr>
          <w:rFonts w:hint="eastAsia" w:ascii="仿宋_GB2312" w:hAnsi="仿宋_GB2312" w:eastAsia="仿宋_GB2312" w:cs="仿宋_GB2312"/>
          <w:sz w:val="32"/>
          <w:szCs w:val="32"/>
        </w:rPr>
        <w:t>万元，同比增加</w:t>
      </w:r>
      <w:r>
        <w:rPr>
          <w:rFonts w:ascii="仿宋_GB2312" w:hAnsi="仿宋_GB2312" w:eastAsia="仿宋_GB2312" w:cs="仿宋_GB2312"/>
          <w:sz w:val="32"/>
          <w:szCs w:val="32"/>
        </w:rPr>
        <w:t>177.28</w:t>
      </w:r>
      <w:r>
        <w:rPr>
          <w:rFonts w:hint="eastAsia" w:ascii="仿宋_GB2312" w:hAnsi="仿宋_GB2312" w:eastAsia="仿宋_GB2312" w:cs="仿宋_GB2312"/>
          <w:sz w:val="32"/>
          <w:szCs w:val="32"/>
        </w:rPr>
        <w:t>万元，同比增长100%</w:t>
      </w:r>
      <w:r>
        <w:rPr>
          <w:rFonts w:hint="eastAsia" w:ascii="仿宋_GB2312" w:hAnsi="仿宋_GB2312" w:eastAsia="仿宋_GB2312" w:cs="仿宋_GB2312"/>
          <w:color w:val="000000"/>
          <w:sz w:val="32"/>
          <w:szCs w:val="32"/>
        </w:rPr>
        <w:t>；其中：一般公共预算拨款结转</w:t>
      </w:r>
      <w:r>
        <w:rPr>
          <w:rFonts w:ascii="仿宋_GB2312" w:hAnsi="仿宋_GB2312" w:eastAsia="仿宋_GB2312" w:cs="仿宋_GB2312"/>
          <w:sz w:val="32"/>
          <w:szCs w:val="32"/>
        </w:rPr>
        <w:t>175.48</w:t>
      </w:r>
      <w:r>
        <w:rPr>
          <w:rFonts w:hint="eastAsia" w:ascii="仿宋_GB2312" w:hAnsi="仿宋_GB2312" w:eastAsia="仿宋_GB2312" w:cs="仿宋_GB2312"/>
          <w:sz w:val="32"/>
          <w:szCs w:val="32"/>
        </w:rPr>
        <w:t>万元，同比增加</w:t>
      </w:r>
      <w:r>
        <w:rPr>
          <w:rFonts w:ascii="仿宋_GB2312" w:hAnsi="仿宋_GB2312" w:eastAsia="仿宋_GB2312" w:cs="仿宋_GB2312"/>
          <w:sz w:val="32"/>
          <w:szCs w:val="32"/>
        </w:rPr>
        <w:t>175.48</w:t>
      </w:r>
      <w:r>
        <w:rPr>
          <w:rFonts w:hint="eastAsia" w:ascii="仿宋_GB2312" w:hAnsi="仿宋_GB2312" w:eastAsia="仿宋_GB2312" w:cs="仿宋_GB2312"/>
          <w:sz w:val="32"/>
          <w:szCs w:val="32"/>
        </w:rPr>
        <w:t>万元，同比增长100%</w:t>
      </w:r>
      <w:r>
        <w:rPr>
          <w:rFonts w:hint="eastAsia" w:ascii="仿宋_GB2312" w:hAnsi="仿宋_GB2312" w:eastAsia="仿宋_GB2312" w:cs="仿宋_GB2312"/>
          <w:color w:val="000000"/>
          <w:sz w:val="32"/>
          <w:szCs w:val="32"/>
        </w:rPr>
        <w:t>；政府性基金预算结转</w:t>
      </w:r>
      <w:r>
        <w:rPr>
          <w:rFonts w:ascii="仿宋_GB2312" w:hAnsi="仿宋_GB2312" w:eastAsia="仿宋_GB2312" w:cs="仿宋_GB2312"/>
          <w:sz w:val="32"/>
          <w:szCs w:val="32"/>
        </w:rPr>
        <w:t>1.80</w:t>
      </w:r>
      <w:r>
        <w:rPr>
          <w:rFonts w:hint="eastAsia" w:ascii="仿宋_GB2312" w:hAnsi="仿宋_GB2312" w:eastAsia="仿宋_GB2312" w:cs="仿宋_GB2312"/>
          <w:sz w:val="32"/>
          <w:szCs w:val="32"/>
        </w:rPr>
        <w:t>万元，同比增加1.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0万元，同比增长100%。</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pStyle w:val="3"/>
        <w:spacing w:before="0" w:beforeAutospacing="0" w:after="0" w:afterAutospacing="0" w:line="54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2023年收入预算总体增加主要是上年结转结余和一般公共预算拨款增加，增加的主要原因：一是2022年结转结余，二是工资及各项社保增加。</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三、单位支出预算情况说明</w:t>
      </w:r>
    </w:p>
    <w:p>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2023年单位支出总预算</w:t>
      </w:r>
      <w:r>
        <w:rPr>
          <w:rFonts w:ascii="仿宋_GB2312" w:hAnsi="仿宋_GB2312" w:eastAsia="仿宋_GB2312" w:cs="仿宋_GB2312"/>
          <w:sz w:val="32"/>
          <w:szCs w:val="32"/>
        </w:rPr>
        <w:t>1687.28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，基本支出预算</w:t>
      </w:r>
      <w:r>
        <w:rPr>
          <w:rFonts w:ascii="仿宋_GB2312" w:hAnsi="仿宋_GB2312" w:eastAsia="仿宋_GB2312" w:cs="仿宋_GB2312"/>
          <w:sz w:val="32"/>
          <w:szCs w:val="32"/>
        </w:rPr>
        <w:t>1583.36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，占支出总预算的</w:t>
      </w:r>
      <w:r>
        <w:rPr>
          <w:rFonts w:ascii="仿宋_GB2312" w:hAnsi="仿宋_GB2312" w:eastAsia="仿宋_GB2312" w:cs="仿宋_GB2312"/>
          <w:color w:val="000000" w:themeColor="text1"/>
          <w:sz w:val="32"/>
          <w:szCs w:val="32"/>
          <w14:textFill>
            <w14:solidFill>
              <w14:schemeClr w14:val="tx1"/>
            </w14:solidFill>
          </w14:textFill>
        </w:rPr>
        <w:t>93.84</w:t>
      </w:r>
      <w:r>
        <w:rPr>
          <w:rFonts w:hint="eastAsia" w:ascii="仿宋_GB2312" w:hAnsi="仿宋_GB2312" w:eastAsia="仿宋_GB2312" w:cs="仿宋_GB2312"/>
          <w:color w:val="000000" w:themeColor="text1"/>
          <w:sz w:val="32"/>
          <w:szCs w:val="32"/>
          <w14:textFill>
            <w14:solidFill>
              <w14:schemeClr w14:val="tx1"/>
            </w14:solidFill>
          </w14:textFill>
        </w:rPr>
        <w:t>%，同比增加</w:t>
      </w:r>
      <w:r>
        <w:rPr>
          <w:rFonts w:ascii="仿宋_GB2312" w:hAnsi="仿宋_GB2312" w:eastAsia="仿宋_GB2312" w:cs="仿宋_GB2312"/>
          <w:color w:val="000000" w:themeColor="text1"/>
          <w:sz w:val="32"/>
          <w:szCs w:val="32"/>
          <w14:textFill>
            <w14:solidFill>
              <w14:schemeClr w14:val="tx1"/>
            </w14:solidFill>
          </w14:textFill>
        </w:rPr>
        <w:t>126.37</w:t>
      </w:r>
      <w:r>
        <w:rPr>
          <w:rFonts w:hint="eastAsia" w:ascii="仿宋_GB2312" w:hAnsi="仿宋_GB2312" w:eastAsia="仿宋_GB2312" w:cs="仿宋_GB2312"/>
          <w:color w:val="000000" w:themeColor="text1"/>
          <w:sz w:val="32"/>
          <w:szCs w:val="32"/>
          <w14:textFill>
            <w14:solidFill>
              <w14:schemeClr w14:val="tx1"/>
            </w14:solidFill>
          </w14:textFill>
        </w:rPr>
        <w:t>万元，同比增长</w:t>
      </w:r>
      <w:r>
        <w:rPr>
          <w:rFonts w:ascii="仿宋_GB2312" w:hAnsi="仿宋_GB2312" w:eastAsia="仿宋_GB2312" w:cs="仿宋_GB2312"/>
          <w:color w:val="000000" w:themeColor="text1"/>
          <w:sz w:val="32"/>
          <w:szCs w:val="32"/>
          <w14:textFill>
            <w14:solidFill>
              <w14:schemeClr w14:val="tx1"/>
            </w14:solidFill>
          </w14:textFill>
        </w:rPr>
        <w:t>8.67</w:t>
      </w:r>
      <w:r>
        <w:rPr>
          <w:rFonts w:hint="eastAsia" w:ascii="仿宋_GB2312" w:hAnsi="仿宋_GB2312" w:eastAsia="仿宋_GB2312" w:cs="仿宋_GB2312"/>
          <w:color w:val="000000" w:themeColor="text1"/>
          <w:sz w:val="32"/>
          <w:szCs w:val="32"/>
          <w14:textFill>
            <w14:solidFill>
              <w14:schemeClr w14:val="tx1"/>
            </w14:solidFill>
          </w14:textFill>
        </w:rPr>
        <w:t>%。项目支出预算</w:t>
      </w:r>
      <w:r>
        <w:rPr>
          <w:rFonts w:ascii="仿宋_GB2312" w:hAnsi="仿宋_GB2312" w:eastAsia="仿宋_GB2312" w:cs="仿宋_GB2312"/>
          <w:color w:val="000000" w:themeColor="text1"/>
          <w:sz w:val="32"/>
          <w:szCs w:val="32"/>
          <w14:textFill>
            <w14:solidFill>
              <w14:schemeClr w14:val="tx1"/>
            </w14:solidFill>
          </w14:textFill>
        </w:rPr>
        <w:t>103.92</w:t>
      </w:r>
      <w:r>
        <w:rPr>
          <w:rFonts w:hint="eastAsia" w:ascii="仿宋_GB2312" w:hAnsi="仿宋_GB2312" w:eastAsia="仿宋_GB2312" w:cs="仿宋_GB2312"/>
          <w:color w:val="000000" w:themeColor="text1"/>
          <w:sz w:val="32"/>
          <w:szCs w:val="32"/>
          <w14:textFill>
            <w14:solidFill>
              <w14:schemeClr w14:val="tx1"/>
            </w14:solidFill>
          </w14:textFill>
        </w:rPr>
        <w:t>万元，占支出总预算的</w:t>
      </w:r>
      <w:r>
        <w:rPr>
          <w:rFonts w:ascii="仿宋_GB2312" w:hAnsi="仿宋_GB2312" w:eastAsia="仿宋_GB2312" w:cs="仿宋_GB2312"/>
          <w:color w:val="000000" w:themeColor="text1"/>
          <w:sz w:val="32"/>
          <w:szCs w:val="32"/>
          <w14:textFill>
            <w14:solidFill>
              <w14:schemeClr w14:val="tx1"/>
            </w14:solidFill>
          </w14:textFill>
        </w:rPr>
        <w:t>6.16</w:t>
      </w:r>
      <w:r>
        <w:rPr>
          <w:rFonts w:hint="eastAsia" w:ascii="仿宋_GB2312" w:hAnsi="仿宋_GB2312" w:eastAsia="仿宋_GB2312" w:cs="仿宋_GB2312"/>
          <w:color w:val="000000" w:themeColor="text1"/>
          <w:sz w:val="32"/>
          <w:szCs w:val="32"/>
          <w14:textFill>
            <w14:solidFill>
              <w14:schemeClr w14:val="tx1"/>
            </w14:solidFill>
          </w14:textFill>
        </w:rPr>
        <w:t>%，同比增加10</w:t>
      </w:r>
      <w:r>
        <w:rPr>
          <w:rFonts w:ascii="仿宋_GB2312" w:hAnsi="仿宋_GB2312" w:eastAsia="仿宋_GB2312" w:cs="仿宋_GB2312"/>
          <w:color w:val="000000" w:themeColor="text1"/>
          <w:sz w:val="32"/>
          <w:szCs w:val="32"/>
          <w14:textFill>
            <w14:solidFill>
              <w14:schemeClr w14:val="tx1"/>
            </w14:solidFill>
          </w14:textFill>
        </w:rPr>
        <w:t>3.92</w:t>
      </w:r>
      <w:r>
        <w:rPr>
          <w:rFonts w:hint="eastAsia" w:ascii="仿宋_GB2312" w:hAnsi="仿宋_GB2312" w:eastAsia="仿宋_GB2312" w:cs="仿宋_GB2312"/>
          <w:color w:val="000000" w:themeColor="text1"/>
          <w:sz w:val="32"/>
          <w:szCs w:val="32"/>
          <w14:textFill>
            <w14:solidFill>
              <w14:schemeClr w14:val="tx1"/>
            </w14:solidFill>
          </w14:textFill>
        </w:rPr>
        <w:t>万元，同比增长100%。</w:t>
      </w:r>
    </w:p>
    <w:p>
      <w:pPr>
        <w:pStyle w:val="3"/>
        <w:spacing w:before="0" w:beforeAutospacing="0" w:after="0" w:afterAutospacing="0" w:line="54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（一）按支出功能分类科目划分，共分为五类，其中：</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1.205类教育科目支出预算</w:t>
      </w:r>
      <w:r>
        <w:rPr>
          <w:rFonts w:ascii="仿宋_GB2312" w:hAnsi="仿宋_GB2312" w:eastAsia="仿宋_GB2312" w:cs="仿宋_GB2312"/>
          <w:kern w:val="0"/>
          <w:sz w:val="32"/>
          <w:szCs w:val="32"/>
        </w:rPr>
        <w:t>1216.61</w:t>
      </w:r>
      <w:r>
        <w:rPr>
          <w:rFonts w:hint="eastAsia" w:ascii="仿宋_GB2312" w:hAnsi="仿宋_GB2312" w:eastAsia="仿宋_GB2312" w:cs="仿宋_GB2312"/>
          <w:kern w:val="0"/>
          <w:sz w:val="32"/>
          <w:szCs w:val="32"/>
        </w:rPr>
        <w:t>万元；占支出总预算7</w:t>
      </w:r>
      <w:r>
        <w:rPr>
          <w:rFonts w:ascii="仿宋_GB2312" w:hAnsi="仿宋_GB2312" w:eastAsia="仿宋_GB2312" w:cs="仿宋_GB2312"/>
          <w:kern w:val="0"/>
          <w:sz w:val="32"/>
          <w:szCs w:val="32"/>
        </w:rPr>
        <w:t>2.10</w:t>
      </w:r>
      <w:r>
        <w:rPr>
          <w:rFonts w:hint="eastAsia" w:ascii="仿宋_GB2312" w:hAnsi="仿宋_GB2312" w:eastAsia="仿宋_GB2312" w:cs="仿宋_GB2312"/>
          <w:kern w:val="0"/>
          <w:sz w:val="32"/>
          <w:szCs w:val="32"/>
        </w:rPr>
        <w:t>%，同比增加</w:t>
      </w:r>
      <w:r>
        <w:rPr>
          <w:rFonts w:ascii="仿宋_GB2312" w:hAnsi="仿宋_GB2312" w:eastAsia="仿宋_GB2312" w:cs="仿宋_GB2312"/>
          <w:kern w:val="0"/>
          <w:sz w:val="32"/>
          <w:szCs w:val="32"/>
        </w:rPr>
        <w:t>210.21</w:t>
      </w:r>
      <w:r>
        <w:rPr>
          <w:rFonts w:hint="eastAsia" w:ascii="仿宋_GB2312" w:hAnsi="仿宋_GB2312" w:eastAsia="仿宋_GB2312" w:cs="仿宋_GB2312"/>
          <w:kern w:val="0"/>
          <w:sz w:val="32"/>
          <w:szCs w:val="32"/>
        </w:rPr>
        <w:t>万元，同比增长20.8</w:t>
      </w: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2.208类社会保障和就业科目支出预算</w:t>
      </w:r>
      <w:r>
        <w:rPr>
          <w:rFonts w:ascii="仿宋_GB2312" w:hAnsi="仿宋_GB2312" w:eastAsia="仿宋_GB2312" w:cs="仿宋_GB2312"/>
          <w:kern w:val="0"/>
          <w:sz w:val="32"/>
          <w:szCs w:val="32"/>
        </w:rPr>
        <w:t>235.27</w:t>
      </w:r>
      <w:r>
        <w:rPr>
          <w:rFonts w:hint="eastAsia" w:ascii="仿宋_GB2312" w:hAnsi="仿宋_GB2312" w:eastAsia="仿宋_GB2312" w:cs="仿宋_GB2312"/>
          <w:kern w:val="0"/>
          <w:sz w:val="32"/>
          <w:szCs w:val="32"/>
        </w:rPr>
        <w:t>万元, 占支出总预算</w:t>
      </w:r>
      <w:r>
        <w:rPr>
          <w:rFonts w:ascii="仿宋_GB2312" w:hAnsi="仿宋_GB2312" w:eastAsia="仿宋_GB2312" w:cs="仿宋_GB2312"/>
          <w:kern w:val="0"/>
          <w:sz w:val="32"/>
          <w:szCs w:val="32"/>
        </w:rPr>
        <w:t>13.94</w:t>
      </w:r>
      <w:r>
        <w:rPr>
          <w:rFonts w:hint="eastAsia" w:ascii="仿宋_GB2312" w:hAnsi="仿宋_GB2312" w:eastAsia="仿宋_GB2312" w:cs="仿宋_GB2312"/>
          <w:kern w:val="0"/>
          <w:sz w:val="32"/>
          <w:szCs w:val="32"/>
        </w:rPr>
        <w:t>%，同比增加</w:t>
      </w:r>
      <w:r>
        <w:rPr>
          <w:rFonts w:ascii="仿宋_GB2312" w:hAnsi="仿宋_GB2312" w:eastAsia="仿宋_GB2312" w:cs="仿宋_GB2312"/>
          <w:kern w:val="0"/>
          <w:sz w:val="32"/>
          <w:szCs w:val="32"/>
        </w:rPr>
        <w:t>7.47</w:t>
      </w:r>
      <w:r>
        <w:rPr>
          <w:rFonts w:hint="eastAsia" w:ascii="仿宋_GB2312" w:hAnsi="仿宋_GB2312" w:eastAsia="仿宋_GB2312" w:cs="仿宋_GB2312"/>
          <w:kern w:val="0"/>
          <w:sz w:val="32"/>
          <w:szCs w:val="32"/>
        </w:rPr>
        <w:t>万元，同比增长3.</w:t>
      </w:r>
      <w:r>
        <w:rPr>
          <w:rFonts w:ascii="仿宋_GB2312" w:hAnsi="仿宋_GB2312" w:eastAsia="仿宋_GB2312" w:cs="仿宋_GB2312"/>
          <w:kern w:val="0"/>
          <w:sz w:val="32"/>
          <w:szCs w:val="32"/>
        </w:rPr>
        <w:t>28</w:t>
      </w:r>
      <w:r>
        <w:rPr>
          <w:rFonts w:hint="eastAsia" w:ascii="仿宋_GB2312" w:hAnsi="仿宋_GB2312" w:eastAsia="仿宋_GB2312" w:cs="仿宋_GB2312"/>
          <w:kern w:val="0"/>
          <w:sz w:val="32"/>
          <w:szCs w:val="32"/>
        </w:rPr>
        <w:t>%。</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3.210类卫生健康支出预算</w:t>
      </w:r>
      <w:r>
        <w:rPr>
          <w:rFonts w:ascii="仿宋_GB2312" w:hAnsi="仿宋_GB2312" w:eastAsia="仿宋_GB2312" w:cs="仿宋_GB2312"/>
          <w:kern w:val="0"/>
          <w:sz w:val="32"/>
          <w:szCs w:val="32"/>
        </w:rPr>
        <w:t>92.43</w:t>
      </w:r>
      <w:r>
        <w:rPr>
          <w:rFonts w:hint="eastAsia" w:ascii="仿宋_GB2312" w:hAnsi="仿宋_GB2312" w:eastAsia="仿宋_GB2312" w:cs="仿宋_GB2312"/>
          <w:kern w:val="0"/>
          <w:sz w:val="32"/>
          <w:szCs w:val="32"/>
        </w:rPr>
        <w:t>万元，占支出总预算5.</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8%，同比增加</w:t>
      </w:r>
      <w:r>
        <w:rPr>
          <w:rFonts w:ascii="仿宋_GB2312" w:hAnsi="仿宋_GB2312" w:eastAsia="仿宋_GB2312" w:cs="仿宋_GB2312"/>
          <w:kern w:val="0"/>
          <w:sz w:val="32"/>
          <w:szCs w:val="32"/>
        </w:rPr>
        <w:t>6.32</w:t>
      </w:r>
      <w:r>
        <w:rPr>
          <w:rFonts w:hint="eastAsia" w:ascii="仿宋_GB2312" w:hAnsi="仿宋_GB2312" w:eastAsia="仿宋_GB2312" w:cs="仿宋_GB2312"/>
          <w:kern w:val="0"/>
          <w:sz w:val="32"/>
          <w:szCs w:val="32"/>
        </w:rPr>
        <w:t>万元，同比增加7.</w:t>
      </w:r>
      <w:r>
        <w:rPr>
          <w:rFonts w:ascii="仿宋_GB2312" w:hAnsi="仿宋_GB2312" w:eastAsia="仿宋_GB2312" w:cs="仿宋_GB2312"/>
          <w:kern w:val="0"/>
          <w:sz w:val="32"/>
          <w:szCs w:val="32"/>
        </w:rPr>
        <w:t>34</w:t>
      </w:r>
      <w:r>
        <w:rPr>
          <w:rFonts w:hint="eastAsia" w:ascii="仿宋_GB2312" w:hAnsi="仿宋_GB2312" w:eastAsia="仿宋_GB2312" w:cs="仿宋_GB2312"/>
          <w:kern w:val="0"/>
          <w:sz w:val="32"/>
          <w:szCs w:val="32"/>
        </w:rPr>
        <w:t>%。</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4.221类住房保障支出预算</w:t>
      </w:r>
      <w:r>
        <w:rPr>
          <w:rFonts w:ascii="仿宋_GB2312" w:hAnsi="仿宋_GB2312" w:eastAsia="仿宋_GB2312" w:cs="仿宋_GB2312"/>
          <w:kern w:val="0"/>
          <w:sz w:val="32"/>
          <w:szCs w:val="32"/>
        </w:rPr>
        <w:t>141.16</w:t>
      </w:r>
      <w:r>
        <w:rPr>
          <w:rFonts w:hint="eastAsia" w:ascii="仿宋_GB2312" w:hAnsi="仿宋_GB2312" w:eastAsia="仿宋_GB2312" w:cs="仿宋_GB2312"/>
          <w:kern w:val="0"/>
          <w:sz w:val="32"/>
          <w:szCs w:val="32"/>
        </w:rPr>
        <w:t>万元，占支出总预算8.</w:t>
      </w:r>
      <w:r>
        <w:rPr>
          <w:rFonts w:ascii="仿宋_GB2312" w:hAnsi="仿宋_GB2312" w:eastAsia="仿宋_GB2312" w:cs="仿宋_GB2312"/>
          <w:kern w:val="0"/>
          <w:sz w:val="32"/>
          <w:szCs w:val="32"/>
        </w:rPr>
        <w:t>37</w:t>
      </w:r>
      <w:r>
        <w:rPr>
          <w:rFonts w:hint="eastAsia" w:ascii="仿宋_GB2312" w:hAnsi="仿宋_GB2312" w:eastAsia="仿宋_GB2312" w:cs="仿宋_GB2312"/>
          <w:kern w:val="0"/>
          <w:sz w:val="32"/>
          <w:szCs w:val="32"/>
        </w:rPr>
        <w:t>%，同比增加</w:t>
      </w:r>
      <w:r>
        <w:rPr>
          <w:rFonts w:ascii="仿宋_GB2312" w:hAnsi="仿宋_GB2312" w:eastAsia="仿宋_GB2312" w:cs="仿宋_GB2312"/>
          <w:kern w:val="0"/>
          <w:sz w:val="32"/>
          <w:szCs w:val="32"/>
        </w:rPr>
        <w:t>4.48</w:t>
      </w:r>
      <w:r>
        <w:rPr>
          <w:rFonts w:hint="eastAsia" w:ascii="仿宋_GB2312" w:hAnsi="仿宋_GB2312" w:eastAsia="仿宋_GB2312" w:cs="仿宋_GB2312"/>
          <w:kern w:val="0"/>
          <w:sz w:val="32"/>
          <w:szCs w:val="32"/>
        </w:rPr>
        <w:t>万元，同比增长3.</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8%。</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5.229类其他支出预算1.</w:t>
      </w: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0万元，占支出总预算0.</w:t>
      </w:r>
      <w:r>
        <w:rPr>
          <w:rFonts w:ascii="仿宋_GB2312" w:hAnsi="仿宋_GB2312" w:eastAsia="仿宋_GB2312" w:cs="仿宋_GB2312"/>
          <w:kern w:val="0"/>
          <w:sz w:val="32"/>
          <w:szCs w:val="32"/>
        </w:rPr>
        <w:t>11</w:t>
      </w:r>
      <w:r>
        <w:rPr>
          <w:rFonts w:hint="eastAsia" w:ascii="仿宋_GB2312" w:hAnsi="仿宋_GB2312" w:eastAsia="仿宋_GB2312" w:cs="仿宋_GB2312"/>
          <w:kern w:val="0"/>
          <w:sz w:val="32"/>
          <w:szCs w:val="32"/>
        </w:rPr>
        <w:t>%，同比增加1.</w:t>
      </w: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0万元，同比增长100%。</w:t>
      </w:r>
    </w:p>
    <w:p>
      <w:pPr>
        <w:pStyle w:val="3"/>
        <w:spacing w:before="0" w:beforeAutospacing="0" w:after="0" w:afterAutospacing="0" w:line="54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（二）按支出结构分类划分，分为基本支出预算和项目支出预算，其中：</w:t>
      </w:r>
    </w:p>
    <w:p>
      <w:pPr>
        <w:pStyle w:val="3"/>
        <w:tabs>
          <w:tab w:val="center" w:pos="4475"/>
        </w:tabs>
        <w:spacing w:before="0" w:beforeAutospacing="0" w:after="0" w:afterAutospacing="0" w:line="54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1.基本支出预算</w:t>
      </w:r>
      <w:r>
        <w:rPr>
          <w:rFonts w:ascii="仿宋_GB2312" w:hAnsi="仿宋_GB2312" w:eastAsia="仿宋_GB2312" w:cs="仿宋_GB2312"/>
          <w:sz w:val="32"/>
          <w:szCs w:val="32"/>
        </w:rPr>
        <w:t>1583.36</w:t>
      </w:r>
      <w:r>
        <w:rPr>
          <w:rFonts w:hint="eastAsia" w:ascii="仿宋_GB2312" w:hAnsi="仿宋_GB2312" w:eastAsia="仿宋_GB2312" w:cs="仿宋_GB2312"/>
          <w:color w:val="000000" w:themeColor="text1"/>
          <w:kern w:val="2"/>
          <w:sz w:val="32"/>
          <w:szCs w:val="32"/>
          <w14:textFill>
            <w14:solidFill>
              <w14:schemeClr w14:val="tx1"/>
            </w14:solidFill>
          </w14:textFill>
        </w:rPr>
        <w:t>万元，占支出总预算9</w:t>
      </w:r>
      <w:r>
        <w:rPr>
          <w:rFonts w:ascii="仿宋_GB2312" w:hAnsi="仿宋_GB2312" w:eastAsia="仿宋_GB2312" w:cs="仿宋_GB2312"/>
          <w:color w:val="000000" w:themeColor="text1"/>
          <w:kern w:val="2"/>
          <w:sz w:val="32"/>
          <w:szCs w:val="32"/>
          <w14:textFill>
            <w14:solidFill>
              <w14:schemeClr w14:val="tx1"/>
            </w14:solidFill>
          </w14:textFill>
        </w:rPr>
        <w:t>3</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ascii="仿宋_GB2312" w:hAnsi="仿宋_GB2312" w:eastAsia="仿宋_GB2312" w:cs="仿宋_GB2312"/>
          <w:color w:val="000000" w:themeColor="text1"/>
          <w:kern w:val="2"/>
          <w:sz w:val="32"/>
          <w:szCs w:val="32"/>
          <w14:textFill>
            <w14:solidFill>
              <w14:schemeClr w14:val="tx1"/>
            </w14:solidFill>
          </w14:textFill>
        </w:rPr>
        <w:t>84</w:t>
      </w:r>
      <w:r>
        <w:rPr>
          <w:rFonts w:hint="eastAsia" w:ascii="仿宋_GB2312" w:hAnsi="仿宋_GB2312" w:eastAsia="仿宋_GB2312" w:cs="仿宋_GB2312"/>
          <w:color w:val="000000" w:themeColor="text1"/>
          <w:kern w:val="2"/>
          <w:sz w:val="32"/>
          <w:szCs w:val="32"/>
          <w14:textFill>
            <w14:solidFill>
              <w14:schemeClr w14:val="tx1"/>
            </w14:solidFill>
          </w14:textFill>
        </w:rPr>
        <w:t>%，同比增加</w:t>
      </w:r>
      <w:r>
        <w:rPr>
          <w:rFonts w:ascii="仿宋_GB2312" w:hAnsi="仿宋_GB2312" w:eastAsia="仿宋_GB2312" w:cs="仿宋_GB2312"/>
          <w:color w:val="000000" w:themeColor="text1"/>
          <w:kern w:val="2"/>
          <w:sz w:val="32"/>
          <w:szCs w:val="32"/>
          <w14:textFill>
            <w14:solidFill>
              <w14:schemeClr w14:val="tx1"/>
            </w14:solidFill>
          </w14:textFill>
        </w:rPr>
        <w:t>126.37</w:t>
      </w:r>
      <w:r>
        <w:rPr>
          <w:rFonts w:hint="eastAsia" w:ascii="仿宋_GB2312" w:hAnsi="仿宋_GB2312" w:eastAsia="仿宋_GB2312" w:cs="仿宋_GB2312"/>
          <w:color w:val="000000" w:themeColor="text1"/>
          <w:kern w:val="2"/>
          <w:sz w:val="32"/>
          <w:szCs w:val="32"/>
          <w14:textFill>
            <w14:solidFill>
              <w14:schemeClr w14:val="tx1"/>
            </w14:solidFill>
          </w14:textFill>
        </w:rPr>
        <w:t>万元，同比增长</w:t>
      </w:r>
      <w:r>
        <w:rPr>
          <w:rFonts w:ascii="仿宋_GB2312" w:hAnsi="仿宋_GB2312" w:eastAsia="仿宋_GB2312" w:cs="仿宋_GB2312"/>
          <w:color w:val="000000" w:themeColor="text1"/>
          <w:kern w:val="2"/>
          <w:sz w:val="32"/>
          <w:szCs w:val="32"/>
          <w14:textFill>
            <w14:solidFill>
              <w14:schemeClr w14:val="tx1"/>
            </w14:solidFill>
          </w14:textFill>
        </w:rPr>
        <w:t>8.67</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pPr>
        <w:pStyle w:val="3"/>
        <w:tabs>
          <w:tab w:val="center" w:pos="4475"/>
        </w:tabs>
        <w:spacing w:before="0" w:beforeAutospacing="0" w:after="0" w:afterAutospacing="0" w:line="54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2.项目支出预算10</w:t>
      </w:r>
      <w:r>
        <w:rPr>
          <w:rFonts w:ascii="仿宋_GB2312" w:hAnsi="仿宋_GB2312" w:eastAsia="仿宋_GB2312" w:cs="仿宋_GB2312"/>
          <w:color w:val="000000" w:themeColor="text1"/>
          <w:kern w:val="2"/>
          <w:sz w:val="32"/>
          <w:szCs w:val="32"/>
          <w14:textFill>
            <w14:solidFill>
              <w14:schemeClr w14:val="tx1"/>
            </w14:solidFill>
          </w14:textFill>
        </w:rPr>
        <w:t>3.92</w:t>
      </w:r>
      <w:r>
        <w:rPr>
          <w:rFonts w:hint="eastAsia" w:ascii="仿宋_GB2312" w:hAnsi="仿宋_GB2312" w:eastAsia="仿宋_GB2312" w:cs="仿宋_GB2312"/>
          <w:color w:val="000000" w:themeColor="text1"/>
          <w:kern w:val="2"/>
          <w:sz w:val="32"/>
          <w:szCs w:val="32"/>
          <w14:textFill>
            <w14:solidFill>
              <w14:schemeClr w14:val="tx1"/>
            </w14:solidFill>
          </w14:textFill>
        </w:rPr>
        <w:t>万元，占支出总预算</w:t>
      </w:r>
      <w:r>
        <w:rPr>
          <w:rFonts w:ascii="仿宋_GB2312" w:hAnsi="仿宋_GB2312" w:eastAsia="仿宋_GB2312" w:cs="仿宋_GB2312"/>
          <w:color w:val="000000" w:themeColor="text1"/>
          <w:kern w:val="2"/>
          <w:sz w:val="32"/>
          <w:szCs w:val="32"/>
          <w14:textFill>
            <w14:solidFill>
              <w14:schemeClr w14:val="tx1"/>
            </w14:solidFill>
          </w14:textFill>
        </w:rPr>
        <w:t>6.1</w:t>
      </w:r>
      <w:r>
        <w:rPr>
          <w:rFonts w:hint="eastAsia" w:ascii="仿宋_GB2312" w:hAnsi="仿宋_GB2312" w:eastAsia="仿宋_GB2312" w:cs="仿宋_GB2312"/>
          <w:color w:val="000000" w:themeColor="text1"/>
          <w:kern w:val="2"/>
          <w:sz w:val="32"/>
          <w:szCs w:val="32"/>
          <w14:textFill>
            <w14:solidFill>
              <w14:schemeClr w14:val="tx1"/>
            </w14:solidFill>
          </w14:textFill>
        </w:rPr>
        <w:t>6%，同比增加</w:t>
      </w:r>
      <w:r>
        <w:rPr>
          <w:rFonts w:ascii="仿宋_GB2312" w:hAnsi="仿宋_GB2312" w:eastAsia="仿宋_GB2312" w:cs="仿宋_GB2312"/>
          <w:color w:val="000000" w:themeColor="text1"/>
          <w:kern w:val="2"/>
          <w:sz w:val="32"/>
          <w:szCs w:val="32"/>
          <w14:textFill>
            <w14:solidFill>
              <w14:schemeClr w14:val="tx1"/>
            </w14:solidFill>
          </w14:textFill>
        </w:rPr>
        <w:t>103.92</w:t>
      </w:r>
      <w:r>
        <w:rPr>
          <w:rFonts w:hint="eastAsia" w:ascii="仿宋_GB2312" w:hAnsi="仿宋_GB2312" w:eastAsia="仿宋_GB2312" w:cs="仿宋_GB2312"/>
          <w:color w:val="000000" w:themeColor="text1"/>
          <w:kern w:val="2"/>
          <w:sz w:val="32"/>
          <w:szCs w:val="32"/>
          <w14:textFill>
            <w14:solidFill>
              <w14:schemeClr w14:val="tx1"/>
            </w14:solidFill>
          </w14:textFill>
        </w:rPr>
        <w:t>万元，同比增长100%。</w:t>
      </w:r>
    </w:p>
    <w:p>
      <w:pPr>
        <w:pStyle w:val="3"/>
        <w:spacing w:before="0" w:beforeAutospacing="0" w:after="0" w:afterAutospacing="0" w:line="5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2023年支出预算总体增加主要是上年结转结余和一般公共预算拨款增加，增加的主要原因：一是2022年结转结余，二是工资及各项社保费用增加。</w:t>
      </w:r>
    </w:p>
    <w:p>
      <w:pPr>
        <w:pStyle w:val="3"/>
        <w:spacing w:before="0" w:beforeAutospacing="0" w:after="0" w:afterAutospacing="0" w:line="5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四、财政拨款收支预算情况说明</w:t>
      </w:r>
    </w:p>
    <w:p>
      <w:pPr>
        <w:spacing w:line="560" w:lineRule="exact"/>
        <w:ind w:firstLine="640" w:firstLineChars="200"/>
        <w:jc w:val="left"/>
        <w:rPr>
          <w:rFonts w:ascii="仿宋_GB2312" w:hAnsi="华文仿宋" w:eastAsia="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2023年单位财政拨款收支总预算</w:t>
      </w:r>
      <w:r>
        <w:rPr>
          <w:rFonts w:ascii="仿宋_GB2312" w:hAnsi="仿宋_GB2312" w:eastAsia="仿宋_GB2312" w:cs="仿宋_GB2312"/>
          <w:color w:val="000000" w:themeColor="text1"/>
          <w:sz w:val="32"/>
          <w:szCs w:val="32"/>
          <w14:textFill>
            <w14:solidFill>
              <w14:schemeClr w14:val="tx1"/>
            </w14:solidFill>
          </w14:textFill>
        </w:rPr>
        <w:t>1687.28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sz w:val="32"/>
          <w:szCs w:val="32"/>
        </w:rPr>
        <w:t>收入包括:一般公共预算收入</w:t>
      </w:r>
      <w:r>
        <w:rPr>
          <w:rFonts w:ascii="仿宋_GB2312" w:hAnsi="仿宋_GB2312" w:eastAsia="仿宋_GB2312" w:cs="仿宋_GB2312"/>
          <w:sz w:val="32"/>
          <w:szCs w:val="32"/>
        </w:rPr>
        <w:t>1509.99</w:t>
      </w:r>
      <w:r>
        <w:rPr>
          <w:rFonts w:hint="eastAsia" w:ascii="仿宋_GB2312" w:hAnsi="仿宋_GB2312" w:eastAsia="仿宋_GB2312" w:cs="仿宋_GB2312"/>
          <w:sz w:val="32"/>
          <w:szCs w:val="32"/>
        </w:rPr>
        <w:t>万元，上年结转结余</w:t>
      </w:r>
      <w:r>
        <w:rPr>
          <w:rFonts w:ascii="仿宋_GB2312" w:hAnsi="仿宋_GB2312" w:eastAsia="仿宋_GB2312" w:cs="仿宋_GB2312"/>
          <w:sz w:val="32"/>
          <w:szCs w:val="32"/>
        </w:rPr>
        <w:t>177.28</w:t>
      </w:r>
      <w:r>
        <w:rPr>
          <w:rFonts w:hint="eastAsia" w:ascii="仿宋_GB2312" w:hAnsi="仿宋_GB2312" w:eastAsia="仿宋_GB2312" w:cs="仿宋_GB2312"/>
          <w:sz w:val="32"/>
          <w:szCs w:val="32"/>
        </w:rPr>
        <w:t>万元。支出包括:205类教育支出</w:t>
      </w:r>
      <w:r>
        <w:rPr>
          <w:rFonts w:ascii="仿宋_GB2312" w:hAnsi="仿宋_GB2312" w:eastAsia="仿宋_GB2312" w:cs="仿宋_GB2312"/>
          <w:sz w:val="32"/>
          <w:szCs w:val="32"/>
        </w:rPr>
        <w:t>1216.61</w:t>
      </w:r>
      <w:r>
        <w:rPr>
          <w:rFonts w:hint="eastAsia" w:ascii="仿宋_GB2312" w:hAnsi="仿宋_GB2312" w:eastAsia="仿宋_GB2312" w:cs="仿宋_GB2312"/>
          <w:sz w:val="32"/>
          <w:szCs w:val="32"/>
        </w:rPr>
        <w:t>万元,208类社会保障和就业支出</w:t>
      </w:r>
      <w:r>
        <w:rPr>
          <w:rFonts w:ascii="仿宋_GB2312" w:hAnsi="仿宋_GB2312" w:eastAsia="仿宋_GB2312" w:cs="仿宋_GB2312"/>
          <w:sz w:val="32"/>
          <w:szCs w:val="32"/>
        </w:rPr>
        <w:t>235.27</w:t>
      </w:r>
      <w:r>
        <w:rPr>
          <w:rFonts w:hint="eastAsia" w:ascii="仿宋_GB2312" w:hAnsi="仿宋_GB2312" w:eastAsia="仿宋_GB2312" w:cs="仿宋_GB2312"/>
          <w:sz w:val="32"/>
          <w:szCs w:val="32"/>
        </w:rPr>
        <w:t>万元,210类卫生健康支出</w:t>
      </w:r>
      <w:r>
        <w:rPr>
          <w:rFonts w:ascii="仿宋_GB2312" w:hAnsi="仿宋_GB2312" w:eastAsia="仿宋_GB2312" w:cs="仿宋_GB2312"/>
          <w:sz w:val="32"/>
          <w:szCs w:val="32"/>
        </w:rPr>
        <w:t>92.43</w:t>
      </w:r>
      <w:r>
        <w:rPr>
          <w:rFonts w:hint="eastAsia" w:ascii="仿宋_GB2312" w:hAnsi="仿宋_GB2312" w:eastAsia="仿宋_GB2312" w:cs="仿宋_GB2312"/>
          <w:sz w:val="32"/>
          <w:szCs w:val="32"/>
        </w:rPr>
        <w:t>万元,221类住房保障支出</w:t>
      </w:r>
      <w:r>
        <w:rPr>
          <w:rFonts w:ascii="仿宋_GB2312" w:hAnsi="仿宋_GB2312" w:eastAsia="仿宋_GB2312" w:cs="仿宋_GB2312"/>
          <w:sz w:val="32"/>
          <w:szCs w:val="32"/>
        </w:rPr>
        <w:t>141.16</w:t>
      </w:r>
      <w:r>
        <w:rPr>
          <w:rFonts w:hint="eastAsia" w:ascii="仿宋_GB2312" w:hAnsi="仿宋_GB2312" w:eastAsia="仿宋_GB2312" w:cs="仿宋_GB2312"/>
          <w:sz w:val="32"/>
          <w:szCs w:val="32"/>
        </w:rPr>
        <w:t>万元，229类其他支出1.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0万元。</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五、一般公共预算支出情况说明</w:t>
      </w:r>
    </w:p>
    <w:p>
      <w:pPr>
        <w:pStyle w:val="3"/>
        <w:spacing w:before="0" w:beforeAutospacing="0" w:after="0" w:afterAutospacing="0" w:line="54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2023年单位一般公共预算拨款支出</w:t>
      </w:r>
      <w:r>
        <w:rPr>
          <w:rFonts w:ascii="仿宋_GB2312" w:hAnsi="仿宋_GB2312" w:eastAsia="仿宋_GB2312" w:cs="仿宋_GB2312"/>
          <w:color w:val="000000" w:themeColor="text1"/>
          <w:kern w:val="2"/>
          <w:sz w:val="32"/>
          <w:szCs w:val="32"/>
          <w14:textFill>
            <w14:solidFill>
              <w14:schemeClr w14:val="tx1"/>
            </w14:solidFill>
          </w14:textFill>
        </w:rPr>
        <w:t>1509.99</w:t>
      </w:r>
      <w:r>
        <w:rPr>
          <w:rFonts w:hint="eastAsia" w:ascii="仿宋_GB2312" w:hAnsi="仿宋_GB2312" w:eastAsia="仿宋_GB2312" w:cs="仿宋_GB2312"/>
          <w:color w:val="000000" w:themeColor="text1"/>
          <w:kern w:val="2"/>
          <w:sz w:val="32"/>
          <w:szCs w:val="32"/>
          <w14:textFill>
            <w14:solidFill>
              <w14:schemeClr w14:val="tx1"/>
            </w14:solidFill>
          </w14:textFill>
        </w:rPr>
        <w:t>万元，其中：基本支出</w:t>
      </w:r>
      <w:r>
        <w:rPr>
          <w:rFonts w:ascii="仿宋_GB2312" w:hAnsi="仿宋_GB2312" w:eastAsia="仿宋_GB2312" w:cs="仿宋_GB2312"/>
          <w:color w:val="000000" w:themeColor="text1"/>
          <w:kern w:val="2"/>
          <w:sz w:val="32"/>
          <w:szCs w:val="32"/>
          <w14:textFill>
            <w14:solidFill>
              <w14:schemeClr w14:val="tx1"/>
            </w14:solidFill>
          </w14:textFill>
        </w:rPr>
        <w:t>1509.99</w:t>
      </w:r>
      <w:r>
        <w:rPr>
          <w:rFonts w:hint="eastAsia" w:ascii="仿宋_GB2312" w:hAnsi="仿宋_GB2312" w:eastAsia="仿宋_GB2312" w:cs="仿宋_GB2312"/>
          <w:color w:val="000000" w:themeColor="text1"/>
          <w:kern w:val="2"/>
          <w:sz w:val="32"/>
          <w:szCs w:val="32"/>
          <w14:textFill>
            <w14:solidFill>
              <w14:schemeClr w14:val="tx1"/>
            </w14:solidFill>
          </w14:textFill>
        </w:rPr>
        <w:t>万元，项目支出0万元，具体支出预算如下：</w:t>
      </w:r>
    </w:p>
    <w:p>
      <w:pPr>
        <w:pStyle w:val="3"/>
        <w:spacing w:before="0" w:beforeAutospacing="0" w:after="0" w:afterAutospacing="0"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themeColor="text1"/>
          <w:kern w:val="2"/>
          <w:sz w:val="32"/>
          <w:szCs w:val="32"/>
          <w14:textFill>
            <w14:solidFill>
              <w14:schemeClr w14:val="tx1"/>
            </w14:solidFill>
          </w14:textFill>
        </w:rPr>
        <w:t>（一）</w:t>
      </w:r>
      <w:r>
        <w:rPr>
          <w:rFonts w:hint="eastAsia" w:ascii="仿宋_GB2312" w:hAnsi="仿宋_GB2312" w:eastAsia="仿宋_GB2312" w:cs="仿宋_GB2312"/>
          <w:color w:val="000000"/>
          <w:sz w:val="32"/>
          <w:szCs w:val="32"/>
        </w:rPr>
        <w:t>小学教育支出</w:t>
      </w:r>
      <w:r>
        <w:rPr>
          <w:rFonts w:ascii="仿宋_GB2312" w:hAnsi="仿宋_GB2312" w:eastAsia="仿宋_GB2312" w:cs="仿宋_GB2312"/>
          <w:sz w:val="32"/>
          <w:szCs w:val="32"/>
        </w:rPr>
        <w:t>1041.12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themeColor="text1"/>
          <w:kern w:val="2"/>
          <w:sz w:val="32"/>
          <w:szCs w:val="32"/>
          <w14:textFill>
            <w14:solidFill>
              <w14:schemeClr w14:val="tx1"/>
            </w14:solidFill>
          </w14:textFill>
        </w:rPr>
        <w:t>全部为基本支出。主要用于人员经费</w:t>
      </w:r>
      <w:r>
        <w:rPr>
          <w:rFonts w:ascii="仿宋_GB2312" w:hAnsi="仿宋_GB2312" w:eastAsia="仿宋_GB2312" w:cs="仿宋_GB2312"/>
          <w:color w:val="000000" w:themeColor="text1"/>
          <w:kern w:val="2"/>
          <w:sz w:val="32"/>
          <w:szCs w:val="32"/>
          <w14:textFill>
            <w14:solidFill>
              <w14:schemeClr w14:val="tx1"/>
            </w14:solidFill>
          </w14:textFill>
        </w:rPr>
        <w:t>942.86</w:t>
      </w:r>
      <w:r>
        <w:rPr>
          <w:rFonts w:hint="eastAsia" w:ascii="仿宋_GB2312" w:hAnsi="仿宋_GB2312" w:eastAsia="仿宋_GB2312" w:cs="仿宋_GB2312"/>
          <w:color w:val="000000" w:themeColor="text1"/>
          <w:kern w:val="2"/>
          <w:sz w:val="32"/>
          <w:szCs w:val="32"/>
          <w14:textFill>
            <w14:solidFill>
              <w14:schemeClr w14:val="tx1"/>
            </w14:solidFill>
          </w14:textFill>
        </w:rPr>
        <w:t>万元、公用经费</w:t>
      </w:r>
      <w:r>
        <w:rPr>
          <w:rFonts w:ascii="仿宋_GB2312" w:hAnsi="仿宋_GB2312" w:eastAsia="仿宋_GB2312" w:cs="仿宋_GB2312"/>
          <w:color w:val="000000" w:themeColor="text1"/>
          <w:kern w:val="2"/>
          <w:sz w:val="32"/>
          <w:szCs w:val="32"/>
          <w14:textFill>
            <w14:solidFill>
              <w14:schemeClr w14:val="tx1"/>
            </w14:solidFill>
          </w14:textFill>
        </w:rPr>
        <w:t>98.26</w:t>
      </w:r>
      <w:r>
        <w:rPr>
          <w:rFonts w:hint="eastAsia" w:ascii="仿宋_GB2312" w:hAnsi="仿宋_GB2312" w:eastAsia="仿宋_GB2312" w:cs="仿宋_GB2312"/>
          <w:color w:val="000000" w:themeColor="text1"/>
          <w:kern w:val="2"/>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
        <w:spacing w:before="0" w:beforeAutospacing="0" w:after="0" w:afterAutospacing="0"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themeColor="text1"/>
          <w:kern w:val="2"/>
          <w:sz w:val="32"/>
          <w:szCs w:val="32"/>
          <w14:textFill>
            <w14:solidFill>
              <w14:schemeClr w14:val="tx1"/>
            </w14:solidFill>
          </w14:textFill>
        </w:rPr>
        <w:t>（二）</w:t>
      </w:r>
      <w:r>
        <w:rPr>
          <w:rFonts w:hint="eastAsia" w:ascii="仿宋_GB2312" w:hAnsi="仿宋_GB2312" w:eastAsia="仿宋_GB2312" w:cs="仿宋_GB2312"/>
          <w:color w:val="000000"/>
          <w:sz w:val="32"/>
          <w:szCs w:val="32"/>
        </w:rPr>
        <w:t>社会保障和就业支出机关事业单位基本养老保险缴费支出</w:t>
      </w:r>
      <w:r>
        <w:rPr>
          <w:rFonts w:ascii="仿宋_GB2312" w:hAnsi="仿宋_GB2312" w:eastAsia="仿宋_GB2312" w:cs="仿宋_GB2312"/>
          <w:sz w:val="32"/>
          <w:szCs w:val="32"/>
        </w:rPr>
        <w:t>235.27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themeColor="text1"/>
          <w:kern w:val="2"/>
          <w:sz w:val="32"/>
          <w:szCs w:val="32"/>
          <w14:textFill>
            <w14:solidFill>
              <w14:schemeClr w14:val="tx1"/>
            </w14:solidFill>
          </w14:textFill>
        </w:rPr>
        <w:t>全部为基本支出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kern w:val="2"/>
          <w:sz w:val="32"/>
          <w:szCs w:val="32"/>
          <w14:textFill>
            <w14:solidFill>
              <w14:schemeClr w14:val="tx1"/>
            </w14:solidFill>
          </w14:textFill>
        </w:rPr>
        <w:t>主要用于人员单位部分</w:t>
      </w:r>
      <w:r>
        <w:rPr>
          <w:rFonts w:hint="eastAsia" w:ascii="仿宋_GB2312" w:hAnsi="仿宋_GB2312" w:eastAsia="仿宋_GB2312" w:cs="仿宋_GB2312"/>
          <w:color w:val="000000"/>
          <w:sz w:val="32"/>
          <w:szCs w:val="32"/>
        </w:rPr>
        <w:t>基本养老保险缴费支出</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
        <w:spacing w:before="0" w:beforeAutospacing="0" w:after="0" w:afterAutospacing="0"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themeColor="text1"/>
          <w:kern w:val="2"/>
          <w:sz w:val="32"/>
          <w:szCs w:val="32"/>
          <w14:textFill>
            <w14:solidFill>
              <w14:schemeClr w14:val="tx1"/>
            </w14:solidFill>
          </w14:textFill>
        </w:rPr>
        <w:t>（三）</w:t>
      </w:r>
      <w:r>
        <w:rPr>
          <w:rFonts w:hint="eastAsia" w:ascii="仿宋_GB2312" w:hAnsi="仿宋_GB2312" w:eastAsia="仿宋_GB2312" w:cs="仿宋_GB2312"/>
          <w:color w:val="000000"/>
          <w:sz w:val="32"/>
          <w:szCs w:val="32"/>
        </w:rPr>
        <w:t>卫生健康支出事业单位医疗</w:t>
      </w:r>
      <w:r>
        <w:rPr>
          <w:rFonts w:ascii="仿宋_GB2312" w:hAnsi="仿宋_GB2312" w:eastAsia="仿宋_GB2312" w:cs="仿宋_GB2312"/>
          <w:sz w:val="32"/>
          <w:szCs w:val="32"/>
        </w:rPr>
        <w:t>92.43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themeColor="text1"/>
          <w:kern w:val="2"/>
          <w:sz w:val="32"/>
          <w:szCs w:val="32"/>
          <w14:textFill>
            <w14:solidFill>
              <w14:schemeClr w14:val="tx1"/>
            </w14:solidFill>
          </w14:textFill>
        </w:rPr>
        <w:t>全部为基本支出。主要用于人员单位部分</w:t>
      </w:r>
      <w:r>
        <w:rPr>
          <w:rFonts w:hint="eastAsia" w:ascii="仿宋_GB2312" w:hAnsi="仿宋_GB2312" w:eastAsia="仿宋_GB2312" w:cs="仿宋_GB2312"/>
          <w:color w:val="000000"/>
          <w:sz w:val="32"/>
          <w:szCs w:val="32"/>
        </w:rPr>
        <w:t>医疗保险缴费支出</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
        <w:spacing w:before="0" w:beforeAutospacing="0" w:after="0" w:afterAutospacing="0" w:line="54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（四）</w:t>
      </w:r>
      <w:r>
        <w:rPr>
          <w:rFonts w:hint="eastAsia" w:ascii="仿宋_GB2312" w:hAnsi="仿宋_GB2312" w:eastAsia="仿宋_GB2312" w:cs="仿宋_GB2312"/>
          <w:color w:val="000000"/>
          <w:sz w:val="32"/>
          <w:szCs w:val="32"/>
        </w:rPr>
        <w:t>住房保障支出住房公积金</w:t>
      </w:r>
      <w:r>
        <w:rPr>
          <w:rFonts w:ascii="仿宋_GB2312" w:hAnsi="仿宋_GB2312" w:eastAsia="仿宋_GB2312" w:cs="仿宋_GB2312"/>
          <w:color w:val="000000"/>
          <w:sz w:val="32"/>
          <w:szCs w:val="32"/>
        </w:rPr>
        <w:t>141.16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themeColor="text1"/>
          <w:kern w:val="2"/>
          <w:sz w:val="32"/>
          <w:szCs w:val="32"/>
          <w14:textFill>
            <w14:solidFill>
              <w14:schemeClr w14:val="tx1"/>
            </w14:solidFill>
          </w14:textFill>
        </w:rPr>
        <w:t>全部为基本支出。主要用于人员单位部分</w:t>
      </w:r>
      <w:r>
        <w:rPr>
          <w:rFonts w:hint="eastAsia" w:ascii="仿宋_GB2312" w:hAnsi="仿宋_GB2312" w:eastAsia="仿宋_GB2312" w:cs="仿宋_GB2312"/>
          <w:color w:val="000000"/>
          <w:sz w:val="32"/>
          <w:szCs w:val="32"/>
        </w:rPr>
        <w:t>住房公积金缴费支出</w:t>
      </w:r>
      <w:r>
        <w:rPr>
          <w:rFonts w:hint="eastAsia" w:ascii="仿宋_GB2312" w:hAnsi="仿宋_GB2312" w:eastAsia="仿宋_GB2312" w:cs="仿宋_GB2312"/>
          <w:color w:val="000000" w:themeColor="text1"/>
          <w:sz w:val="32"/>
          <w:szCs w:val="32"/>
          <w14:textFill>
            <w14:solidFill>
              <w14:schemeClr w14:val="tx1"/>
            </w14:solidFill>
          </w14:textFill>
        </w:rPr>
        <w:t>。</w:t>
      </w:r>
    </w:p>
    <w:p>
      <w:pPr>
        <w:tabs>
          <w:tab w:val="center" w:pos="4475"/>
        </w:tabs>
        <w:spacing w:line="540" w:lineRule="exact"/>
        <w:ind w:firstLine="645"/>
        <w:rPr>
          <w:rFonts w:eastAsia="仿宋_GB2312"/>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六、一般公共预算基本支出情况说明</w:t>
      </w:r>
      <w:r>
        <w:rPr>
          <w:rFonts w:hint="eastAsia" w:eastAsia="黑体"/>
          <w:color w:val="000000" w:themeColor="text1"/>
          <w:kern w:val="0"/>
          <w:sz w:val="32"/>
          <w:szCs w:val="32"/>
          <w14:textFill>
            <w14:solidFill>
              <w14:schemeClr w14:val="tx1"/>
            </w14:solidFill>
          </w14:textFill>
        </w:rPr>
        <w:t xml:space="preserve">                                                                                                                                                                                                                                                                                                                                                                                                           </w:t>
      </w:r>
    </w:p>
    <w:p>
      <w:pPr>
        <w:pStyle w:val="3"/>
        <w:spacing w:before="0" w:beforeAutospacing="0" w:after="0" w:afterAutospacing="0" w:line="54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2023年单位一般公共预算基本支出</w:t>
      </w:r>
      <w:r>
        <w:rPr>
          <w:rFonts w:ascii="仿宋_GB2312" w:hAnsi="仿宋_GB2312" w:eastAsia="仿宋_GB2312" w:cs="仿宋_GB2312"/>
          <w:color w:val="000000" w:themeColor="text1"/>
          <w:kern w:val="2"/>
          <w:sz w:val="32"/>
          <w:szCs w:val="32"/>
          <w14:textFill>
            <w14:solidFill>
              <w14:schemeClr w14:val="tx1"/>
            </w14:solidFill>
          </w14:textFill>
        </w:rPr>
        <w:t>1509.99</w:t>
      </w:r>
      <w:r>
        <w:rPr>
          <w:rFonts w:hint="eastAsia" w:ascii="仿宋_GB2312" w:hAnsi="仿宋_GB2312" w:eastAsia="仿宋_GB2312" w:cs="仿宋_GB2312"/>
          <w:color w:val="000000" w:themeColor="text1"/>
          <w:kern w:val="2"/>
          <w:sz w:val="32"/>
          <w:szCs w:val="32"/>
          <w14:textFill>
            <w14:solidFill>
              <w14:schemeClr w14:val="tx1"/>
            </w14:solidFill>
          </w14:textFill>
        </w:rPr>
        <w:t>万元，其中：</w:t>
      </w:r>
    </w:p>
    <w:p>
      <w:pPr>
        <w:pStyle w:val="3"/>
        <w:spacing w:before="0" w:beforeAutospacing="0" w:after="0" w:afterAutospacing="0" w:line="560" w:lineRule="exact"/>
        <w:ind w:firstLine="640" w:firstLineChars="200"/>
        <w:rPr>
          <w:rFonts w:ascii="仿宋_GB2312" w:hAnsi="仿宋_GB2312" w:eastAsia="仿宋_GB2312" w:cs="仿宋_GB2312"/>
          <w:bCs/>
          <w:strike/>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（一）人员经费</w:t>
      </w:r>
      <w:r>
        <w:rPr>
          <w:rFonts w:ascii="仿宋_GB2312" w:hAnsi="仿宋_GB2312" w:eastAsia="仿宋_GB2312" w:cs="仿宋_GB2312"/>
          <w:color w:val="000000" w:themeColor="text1"/>
          <w:kern w:val="2"/>
          <w:sz w:val="32"/>
          <w:szCs w:val="32"/>
          <w14:textFill>
            <w14:solidFill>
              <w14:schemeClr w14:val="tx1"/>
            </w14:solidFill>
          </w14:textFill>
        </w:rPr>
        <w:t>1411.73</w:t>
      </w:r>
      <w:r>
        <w:rPr>
          <w:rFonts w:hint="eastAsia" w:ascii="仿宋_GB2312" w:hAnsi="仿宋_GB2312" w:eastAsia="仿宋_GB2312" w:cs="仿宋_GB2312"/>
          <w:color w:val="000000" w:themeColor="text1"/>
          <w:kern w:val="2"/>
          <w:sz w:val="32"/>
          <w:szCs w:val="32"/>
          <w14:textFill>
            <w14:solidFill>
              <w14:schemeClr w14:val="tx1"/>
            </w14:solidFill>
          </w14:textFill>
        </w:rPr>
        <w:t>万元，主要包括：</w:t>
      </w:r>
      <w:r>
        <w:rPr>
          <w:rFonts w:hint="eastAsia" w:ascii="仿宋_GB2312" w:hAnsi="仿宋_GB2312" w:eastAsia="仿宋_GB2312" w:cs="仿宋_GB2312"/>
          <w:sz w:val="32"/>
          <w:szCs w:val="32"/>
        </w:rPr>
        <w:t>：基本工资</w:t>
      </w:r>
      <w:r>
        <w:rPr>
          <w:rFonts w:ascii="仿宋_GB2312" w:hAnsi="仿宋_GB2312" w:eastAsia="仿宋_GB2312" w:cs="仿宋_GB2312"/>
          <w:sz w:val="32"/>
          <w:szCs w:val="32"/>
        </w:rPr>
        <w:t>468.76</w:t>
      </w:r>
      <w:r>
        <w:rPr>
          <w:rFonts w:hint="eastAsia" w:ascii="仿宋_GB2312" w:hAnsi="仿宋_GB2312" w:eastAsia="仿宋_GB2312" w:cs="仿宋_GB2312"/>
          <w:sz w:val="32"/>
          <w:szCs w:val="32"/>
        </w:rPr>
        <w:t>万元、津贴补贴</w:t>
      </w:r>
      <w:r>
        <w:rPr>
          <w:rFonts w:ascii="仿宋_GB2312" w:hAnsi="仿宋_GB2312" w:eastAsia="仿宋_GB2312" w:cs="仿宋_GB2312"/>
          <w:sz w:val="32"/>
          <w:szCs w:val="32"/>
        </w:rPr>
        <w:t>141.52</w:t>
      </w:r>
      <w:r>
        <w:rPr>
          <w:rFonts w:hint="eastAsia" w:ascii="仿宋_GB2312" w:hAnsi="仿宋_GB2312" w:eastAsia="仿宋_GB2312" w:cs="仿宋_GB2312"/>
          <w:sz w:val="32"/>
          <w:szCs w:val="32"/>
        </w:rPr>
        <w:t>万元、绩效工资</w:t>
      </w:r>
      <w:r>
        <w:rPr>
          <w:rFonts w:ascii="仿宋_GB2312" w:hAnsi="仿宋_GB2312" w:eastAsia="仿宋_GB2312" w:cs="仿宋_GB2312"/>
          <w:sz w:val="32"/>
          <w:szCs w:val="32"/>
        </w:rPr>
        <w:t>209.52</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机关事业单位基本养老保险缴费</w:t>
      </w:r>
      <w:r>
        <w:rPr>
          <w:rFonts w:ascii="仿宋_GB2312" w:hAnsi="仿宋_GB2312" w:eastAsia="仿宋_GB2312" w:cs="仿宋_GB2312"/>
          <w:color w:val="000000"/>
          <w:sz w:val="32"/>
          <w:szCs w:val="32"/>
        </w:rPr>
        <w:t>235.27</w:t>
      </w:r>
      <w:r>
        <w:rPr>
          <w:rFonts w:hint="eastAsia" w:ascii="仿宋_GB2312" w:hAnsi="仿宋_GB2312" w:eastAsia="仿宋_GB2312" w:cs="仿宋_GB2312"/>
          <w:color w:val="000000"/>
          <w:sz w:val="32"/>
          <w:szCs w:val="32"/>
        </w:rPr>
        <w:t>万元、职工基本医疗保险缴费</w:t>
      </w:r>
      <w:r>
        <w:rPr>
          <w:rFonts w:ascii="仿宋_GB2312" w:hAnsi="仿宋_GB2312" w:eastAsia="仿宋_GB2312" w:cs="仿宋_GB2312"/>
          <w:color w:val="000000"/>
          <w:sz w:val="32"/>
          <w:szCs w:val="32"/>
        </w:rPr>
        <w:t>91.76</w:t>
      </w:r>
      <w:r>
        <w:rPr>
          <w:rFonts w:hint="eastAsia" w:ascii="仿宋_GB2312" w:hAnsi="仿宋_GB2312" w:eastAsia="仿宋_GB2312" w:cs="仿宋_GB2312"/>
          <w:color w:val="000000"/>
          <w:sz w:val="32"/>
          <w:szCs w:val="32"/>
        </w:rPr>
        <w:t>万元、其他社会保障缴费</w:t>
      </w:r>
      <w:r>
        <w:rPr>
          <w:rFonts w:ascii="仿宋_GB2312" w:hAnsi="仿宋_GB2312" w:eastAsia="仿宋_GB2312" w:cs="仿宋_GB2312"/>
          <w:color w:val="000000"/>
          <w:sz w:val="32"/>
          <w:szCs w:val="32"/>
        </w:rPr>
        <w:t>8.91</w:t>
      </w:r>
      <w:r>
        <w:rPr>
          <w:rFonts w:hint="eastAsia" w:ascii="仿宋_GB2312" w:hAnsi="仿宋_GB2312" w:eastAsia="仿宋_GB2312" w:cs="仿宋_GB2312"/>
          <w:color w:val="000000"/>
          <w:sz w:val="32"/>
          <w:szCs w:val="32"/>
        </w:rPr>
        <w:t>万元、住房公积金</w:t>
      </w:r>
      <w:r>
        <w:rPr>
          <w:rFonts w:ascii="仿宋_GB2312" w:hAnsi="仿宋_GB2312" w:eastAsia="仿宋_GB2312" w:cs="仿宋_GB2312"/>
          <w:color w:val="000000"/>
          <w:sz w:val="32"/>
          <w:szCs w:val="32"/>
        </w:rPr>
        <w:t>141.16</w:t>
      </w:r>
      <w:r>
        <w:rPr>
          <w:rFonts w:hint="eastAsia" w:ascii="仿宋_GB2312" w:hAnsi="仿宋_GB2312" w:eastAsia="仿宋_GB2312" w:cs="仿宋_GB2312"/>
          <w:color w:val="000000"/>
          <w:sz w:val="32"/>
          <w:szCs w:val="32"/>
        </w:rPr>
        <w:t>万元、其他工资福利支出</w:t>
      </w:r>
      <w:r>
        <w:rPr>
          <w:rFonts w:ascii="仿宋_GB2312" w:hAnsi="仿宋_GB2312" w:eastAsia="仿宋_GB2312" w:cs="仿宋_GB2312"/>
          <w:color w:val="000000"/>
          <w:sz w:val="32"/>
          <w:szCs w:val="32"/>
        </w:rPr>
        <w:t>13.21</w:t>
      </w:r>
      <w:r>
        <w:rPr>
          <w:rFonts w:hint="eastAsia" w:ascii="仿宋_GB2312" w:hAnsi="仿宋_GB2312" w:eastAsia="仿宋_GB2312" w:cs="仿宋_GB2312"/>
          <w:color w:val="000000"/>
          <w:sz w:val="32"/>
          <w:szCs w:val="32"/>
        </w:rPr>
        <w:t>万元、退休费</w:t>
      </w:r>
      <w:r>
        <w:rPr>
          <w:rFonts w:ascii="仿宋_GB2312" w:hAnsi="仿宋_GB2312" w:eastAsia="仿宋_GB2312" w:cs="仿宋_GB2312"/>
          <w:color w:val="000000"/>
          <w:sz w:val="32"/>
          <w:szCs w:val="32"/>
        </w:rPr>
        <w:t>76.73</w:t>
      </w:r>
      <w:r>
        <w:rPr>
          <w:rFonts w:hint="eastAsia" w:ascii="仿宋_GB2312" w:hAnsi="仿宋_GB2312" w:eastAsia="仿宋_GB2312" w:cs="仿宋_GB2312"/>
          <w:color w:val="000000"/>
          <w:sz w:val="32"/>
          <w:szCs w:val="32"/>
        </w:rPr>
        <w:t>万元、助学金15.0</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万元、其他对个人和家庭的补助</w:t>
      </w:r>
      <w:r>
        <w:rPr>
          <w:rFonts w:ascii="仿宋_GB2312" w:hAnsi="仿宋_GB2312" w:eastAsia="仿宋_GB2312" w:cs="仿宋_GB2312"/>
          <w:color w:val="000000"/>
          <w:sz w:val="32"/>
          <w:szCs w:val="32"/>
        </w:rPr>
        <w:t>9.89</w:t>
      </w:r>
      <w:r>
        <w:rPr>
          <w:rFonts w:hint="eastAsia" w:ascii="仿宋_GB2312" w:hAnsi="仿宋_GB2312" w:eastAsia="仿宋_GB2312" w:cs="仿宋_GB2312"/>
          <w:color w:val="000000"/>
          <w:sz w:val="32"/>
          <w:szCs w:val="32"/>
        </w:rPr>
        <w:t>万元。</w:t>
      </w:r>
    </w:p>
    <w:p>
      <w:pPr>
        <w:pStyle w:val="3"/>
        <w:spacing w:before="0" w:beforeAutospacing="0" w:after="0" w:afterAutospacing="0" w:line="540" w:lineRule="exact"/>
        <w:ind w:firstLine="640" w:firstLineChars="200"/>
        <w:jc w:val="both"/>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（二）公用经费</w:t>
      </w:r>
      <w:r>
        <w:rPr>
          <w:rFonts w:ascii="仿宋_GB2312" w:hAnsi="仿宋_GB2312" w:eastAsia="仿宋_GB2312" w:cs="仿宋_GB2312"/>
          <w:color w:val="000000" w:themeColor="text1"/>
          <w:kern w:val="2"/>
          <w:sz w:val="32"/>
          <w:szCs w:val="32"/>
          <w14:textFill>
            <w14:solidFill>
              <w14:schemeClr w14:val="tx1"/>
            </w14:solidFill>
          </w14:textFill>
        </w:rPr>
        <w:t>98.26</w:t>
      </w:r>
      <w:r>
        <w:rPr>
          <w:rFonts w:hint="eastAsia" w:ascii="仿宋_GB2312" w:hAnsi="仿宋_GB2312" w:eastAsia="仿宋_GB2312" w:cs="仿宋_GB2312"/>
          <w:color w:val="000000" w:themeColor="text1"/>
          <w:kern w:val="2"/>
          <w:sz w:val="32"/>
          <w:szCs w:val="32"/>
          <w14:textFill>
            <w14:solidFill>
              <w14:schemeClr w14:val="tx1"/>
            </w14:solidFill>
          </w14:textFill>
        </w:rPr>
        <w:t>万元，主要包括：</w:t>
      </w:r>
      <w:r>
        <w:rPr>
          <w:rFonts w:hint="eastAsia" w:ascii="仿宋_GB2312" w:hAnsi="仿宋_GB2312" w:eastAsia="仿宋_GB2312" w:cs="仿宋_GB2312"/>
          <w:color w:val="000000"/>
          <w:sz w:val="32"/>
          <w:szCs w:val="32"/>
        </w:rPr>
        <w:t>办公费</w:t>
      </w:r>
      <w:r>
        <w:rPr>
          <w:rFonts w:ascii="仿宋_GB2312" w:hAnsi="仿宋_GB2312" w:eastAsia="仿宋_GB2312" w:cs="仿宋_GB2312"/>
          <w:color w:val="000000"/>
          <w:sz w:val="32"/>
          <w:szCs w:val="32"/>
        </w:rPr>
        <w:t>8.18</w:t>
      </w:r>
      <w:r>
        <w:rPr>
          <w:rFonts w:hint="eastAsia" w:ascii="仿宋_GB2312" w:hAnsi="仿宋_GB2312" w:eastAsia="仿宋_GB2312" w:cs="仿宋_GB2312"/>
          <w:color w:val="000000"/>
          <w:sz w:val="32"/>
          <w:szCs w:val="32"/>
        </w:rPr>
        <w:t>万元、福利费</w:t>
      </w:r>
      <w:r>
        <w:rPr>
          <w:rFonts w:ascii="仿宋_GB2312" w:hAnsi="仿宋_GB2312" w:eastAsia="仿宋_GB2312" w:cs="仿宋_GB2312"/>
          <w:color w:val="000000"/>
          <w:sz w:val="32"/>
          <w:szCs w:val="32"/>
        </w:rPr>
        <w:t>6.58</w:t>
      </w:r>
      <w:r>
        <w:rPr>
          <w:rFonts w:hint="eastAsia" w:ascii="仿宋_GB2312" w:hAnsi="仿宋_GB2312" w:eastAsia="仿宋_GB2312" w:cs="仿宋_GB2312"/>
          <w:color w:val="000000"/>
          <w:sz w:val="32"/>
          <w:szCs w:val="32"/>
        </w:rPr>
        <w:t>万元、其他商品和服务支出</w:t>
      </w:r>
      <w:r>
        <w:rPr>
          <w:rFonts w:ascii="仿宋_GB2312" w:hAnsi="仿宋_GB2312" w:eastAsia="仿宋_GB2312" w:cs="仿宋_GB2312"/>
          <w:color w:val="000000"/>
          <w:sz w:val="32"/>
          <w:szCs w:val="32"/>
        </w:rPr>
        <w:t>83.5</w:t>
      </w:r>
      <w:r>
        <w:rPr>
          <w:rFonts w:hint="eastAsia" w:ascii="仿宋_GB2312" w:hAnsi="仿宋_GB2312" w:eastAsia="仿宋_GB2312" w:cs="仿宋_GB2312"/>
          <w:color w:val="000000"/>
          <w:sz w:val="32"/>
          <w:szCs w:val="32"/>
        </w:rPr>
        <w:t>0万元。</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七、一般公共预算“三公”经费情况说明</w:t>
      </w:r>
    </w:p>
    <w:p>
      <w:pPr>
        <w:pStyle w:val="3"/>
        <w:spacing w:before="0" w:beforeAutospacing="0" w:after="0" w:afterAutospacing="0" w:line="540" w:lineRule="exact"/>
        <w:ind w:firstLine="640" w:firstLineChars="200"/>
        <w:jc w:val="both"/>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2023年单位一般公共预算安排的“三公”经费支出预算0万元，同比增加0万元，同比增长0%。其中：</w:t>
      </w:r>
    </w:p>
    <w:p>
      <w:pPr>
        <w:pStyle w:val="3"/>
        <w:spacing w:before="0" w:beforeAutospacing="0" w:after="0" w:afterAutospacing="0" w:line="540" w:lineRule="exact"/>
        <w:ind w:firstLine="640" w:firstLineChars="200"/>
        <w:jc w:val="both"/>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w:t>
      </w:r>
      <w:r>
        <w:rPr>
          <w:rFonts w:hint="eastAsia" w:ascii="仿宋_GB2312" w:hAnsi="仿宋_GB2312" w:eastAsia="仿宋_GB2312" w:cs="仿宋_GB2312"/>
          <w:bCs/>
          <w:color w:val="000000" w:themeColor="text1"/>
          <w:sz w:val="32"/>
          <w:szCs w:val="32"/>
          <w14:textFill>
            <w14:solidFill>
              <w14:schemeClr w14:val="tx1"/>
            </w14:solidFill>
          </w14:textFill>
        </w:rPr>
        <w:t>因公出国（境）经费2023年预算0万元，同比增加0万元，增长0%。</w:t>
      </w:r>
    </w:p>
    <w:p>
      <w:pPr>
        <w:pStyle w:val="3"/>
        <w:spacing w:before="0" w:beforeAutospacing="0" w:after="0" w:afterAutospacing="0" w:line="540" w:lineRule="exact"/>
        <w:ind w:firstLine="640" w:firstLineChars="200"/>
        <w:jc w:val="both"/>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（二）</w:t>
      </w:r>
      <w:r>
        <w:rPr>
          <w:rFonts w:hint="eastAsia" w:ascii="仿宋_GB2312" w:hAnsi="仿宋_GB2312" w:eastAsia="仿宋_GB2312" w:cs="仿宋_GB2312"/>
          <w:bCs/>
          <w:color w:val="000000" w:themeColor="text1"/>
          <w:sz w:val="32"/>
          <w:szCs w:val="32"/>
          <w14:textFill>
            <w14:solidFill>
              <w14:schemeClr w14:val="tx1"/>
            </w14:solidFill>
          </w14:textFill>
        </w:rPr>
        <w:t>公务接待费2023年预算0万元，同比增加0万元，增长0%。</w:t>
      </w:r>
    </w:p>
    <w:p>
      <w:pPr>
        <w:pStyle w:val="3"/>
        <w:spacing w:before="0" w:beforeAutospacing="0" w:after="0" w:afterAutospacing="0" w:line="540" w:lineRule="exact"/>
        <w:ind w:firstLine="640" w:firstLineChars="200"/>
        <w:jc w:val="both"/>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（三）公务用车购置及运行维护费2023年预算0万元，同比增加0万元，增长0%。其中：</w:t>
      </w:r>
    </w:p>
    <w:p>
      <w:pPr>
        <w:pStyle w:val="3"/>
        <w:spacing w:before="0" w:beforeAutospacing="0" w:after="0" w:afterAutospacing="0" w:line="540" w:lineRule="exact"/>
        <w:ind w:firstLine="640" w:firstLineChars="200"/>
        <w:jc w:val="both"/>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1.公务用车购置费2023年预算0万元，同比增加0万元，增长0%。</w:t>
      </w:r>
    </w:p>
    <w:p>
      <w:pPr>
        <w:pStyle w:val="3"/>
        <w:spacing w:before="0" w:beforeAutospacing="0" w:after="0" w:afterAutospacing="0" w:line="540" w:lineRule="exact"/>
        <w:ind w:firstLine="640" w:firstLineChars="200"/>
        <w:jc w:val="both"/>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2.公务用车运行维护费2023年预算0万元，同比增加0万元，增长0%。</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八、政府性基金预算情况说明</w:t>
      </w:r>
    </w:p>
    <w:p>
      <w:pPr>
        <w:tabs>
          <w:tab w:val="center" w:pos="4475"/>
        </w:tabs>
        <w:spacing w:line="540" w:lineRule="exact"/>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2023年我单位无</w:t>
      </w:r>
      <w:r>
        <w:rPr>
          <w:rFonts w:hint="eastAsia" w:ascii="仿宋_GB2312" w:hAnsi="仿宋_GB2312" w:eastAsia="仿宋_GB2312" w:cs="仿宋_GB2312"/>
          <w:color w:val="000000" w:themeColor="text1"/>
          <w:kern w:val="0"/>
          <w:sz w:val="32"/>
          <w:szCs w:val="32"/>
          <w14:textFill>
            <w14:solidFill>
              <w14:schemeClr w14:val="tx1"/>
            </w14:solidFill>
          </w14:textFill>
        </w:rPr>
        <w:t>政府性基金预算</w:t>
      </w:r>
      <w:r>
        <w:rPr>
          <w:rFonts w:hint="eastAsia" w:ascii="仿宋_GB2312" w:hAnsi="仿宋_GB2312" w:eastAsia="仿宋_GB2312" w:cs="仿宋_GB2312"/>
          <w:color w:val="000000" w:themeColor="text1"/>
          <w:kern w:val="2"/>
          <w:sz w:val="32"/>
          <w:szCs w:val="32"/>
          <w14:textFill>
            <w14:solidFill>
              <w14:schemeClr w14:val="tx1"/>
            </w14:solidFill>
          </w14:textFill>
        </w:rPr>
        <w:t>预算支出安排。</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九、国有资本经营预算情况说明</w:t>
      </w:r>
    </w:p>
    <w:p>
      <w:pPr>
        <w:pStyle w:val="3"/>
        <w:spacing w:before="0" w:beforeAutospacing="0" w:after="0" w:afterAutospacing="0" w:line="54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2023年我单位无国有资本经营预算支出安排。</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十、政府采购预算情况说明</w:t>
      </w:r>
    </w:p>
    <w:p>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2023年我单位无政府采购预算</w:t>
      </w:r>
      <w:r>
        <w:rPr>
          <w:rFonts w:hint="eastAsia" w:ascii="仿宋_GB2312" w:hAnsi="仿宋_GB2312" w:eastAsia="仿宋_GB2312" w:cs="仿宋_GB2312"/>
          <w:color w:val="000000" w:themeColor="text1"/>
          <w:sz w:val="32"/>
          <w:szCs w:val="32"/>
          <w14:textFill>
            <w14:solidFill>
              <w14:schemeClr w14:val="tx1"/>
            </w14:solidFill>
          </w14:textFill>
        </w:rPr>
        <w:t>。</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十一、政府购买服务预算情况说明</w:t>
      </w:r>
    </w:p>
    <w:p>
      <w:pPr>
        <w:spacing w:line="540" w:lineRule="exact"/>
        <w:ind w:firstLine="640"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2023年我单位无政府购买服务预算</w:t>
      </w:r>
      <w:r>
        <w:rPr>
          <w:rFonts w:hint="eastAsia" w:ascii="仿宋_GB2312" w:hAnsi="仿宋_GB2312" w:eastAsia="仿宋_GB2312" w:cs="仿宋_GB2312"/>
          <w:color w:val="000000" w:themeColor="text1"/>
          <w:sz w:val="32"/>
          <w:szCs w:val="32"/>
          <w14:textFill>
            <w14:solidFill>
              <w14:schemeClr w14:val="tx1"/>
            </w14:solidFill>
          </w14:textFill>
        </w:rPr>
        <w:t>。</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十二、</w:t>
      </w:r>
      <w:r>
        <w:rPr>
          <w:rFonts w:hint="eastAsia" w:eastAsia="黑体"/>
          <w:color w:val="000000" w:themeColor="text1"/>
          <w:kern w:val="0"/>
          <w:sz w:val="32"/>
          <w:szCs w:val="32"/>
          <w14:textFill>
            <w14:solidFill>
              <w14:schemeClr w14:val="tx1"/>
            </w14:solidFill>
          </w14:textFill>
        </w:rPr>
        <w:t>重点项目支出绩效目标情况说明</w:t>
      </w:r>
    </w:p>
    <w:p>
      <w:pPr>
        <w:adjustRightInd w:val="0"/>
        <w:snapToGrid w:val="0"/>
        <w:spacing w:line="540" w:lineRule="exact"/>
        <w:ind w:right="-218" w:rightChars="-104" w:firstLine="640" w:firstLineChars="200"/>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2023年预算绩效目标公开的项目是乡村学校少年宫中央专项彩票公益金，通过上年结余收入政府性基金预算拨款结转结余安排支出1.</w:t>
      </w:r>
      <w:r>
        <w:rPr>
          <w:rFonts w:ascii="仿宋_GB2312" w:hAnsi="仿宋_GB2312" w:eastAsia="仿宋_GB2312" w:cs="仿宋_GB2312"/>
          <w:bCs/>
          <w:color w:val="000000" w:themeColor="text1"/>
          <w:kern w:val="0"/>
          <w:sz w:val="32"/>
          <w:szCs w:val="32"/>
          <w14:textFill>
            <w14:solidFill>
              <w14:schemeClr w14:val="tx1"/>
            </w14:solidFill>
          </w14:textFill>
        </w:rPr>
        <w:t>8</w:t>
      </w:r>
      <w:r>
        <w:rPr>
          <w:rFonts w:hint="eastAsia" w:ascii="仿宋_GB2312" w:hAnsi="仿宋_GB2312" w:eastAsia="仿宋_GB2312" w:cs="仿宋_GB2312"/>
          <w:bCs/>
          <w:color w:val="000000" w:themeColor="text1"/>
          <w:kern w:val="0"/>
          <w:sz w:val="32"/>
          <w:szCs w:val="32"/>
          <w14:textFill>
            <w14:solidFill>
              <w14:schemeClr w14:val="tx1"/>
            </w14:solidFill>
          </w14:textFill>
        </w:rPr>
        <w:t>0万元，项目支出绩效目标具体指标设置情况详见</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附件4</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hint="eastAsia" w:eastAsia="黑体"/>
          <w:color w:val="000000" w:themeColor="text1"/>
          <w:kern w:val="0"/>
          <w:sz w:val="32"/>
          <w:szCs w:val="32"/>
          <w14:textFill>
            <w14:solidFill>
              <w14:schemeClr w14:val="tx1"/>
            </w14:solidFill>
          </w14:textFill>
        </w:rPr>
        <w:t>十三、</w:t>
      </w:r>
      <w:r>
        <w:rPr>
          <w:rFonts w:eastAsia="黑体"/>
          <w:color w:val="000000" w:themeColor="text1"/>
          <w:kern w:val="0"/>
          <w:sz w:val="32"/>
          <w:szCs w:val="32"/>
          <w14:textFill>
            <w14:solidFill>
              <w14:schemeClr w14:val="tx1"/>
            </w14:solidFill>
          </w14:textFill>
        </w:rPr>
        <w:t>2023年单位预算其他重要事项情况说明</w:t>
      </w:r>
    </w:p>
    <w:p>
      <w:pPr>
        <w:tabs>
          <w:tab w:val="center" w:pos="4475"/>
        </w:tabs>
        <w:spacing w:line="540" w:lineRule="exact"/>
        <w:ind w:firstLine="645"/>
        <w:rPr>
          <w:rFonts w:eastAsia="仿宋_GB2312"/>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（一）事业单位相关运行经费安排情况说明</w:t>
      </w:r>
    </w:p>
    <w:p>
      <w:pPr>
        <w:spacing w:line="540" w:lineRule="exact"/>
        <w:ind w:firstLine="640"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2023年事业单位运行预算</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98.26</w:t>
      </w:r>
      <w:r>
        <w:rPr>
          <w:rFonts w:hint="eastAsia" w:ascii="仿宋_GB2312" w:hAnsi="仿宋_GB2312" w:eastAsia="仿宋_GB2312" w:cs="仿宋_GB2312"/>
          <w:bCs/>
          <w:color w:val="000000" w:themeColor="text1"/>
          <w:kern w:val="0"/>
          <w:sz w:val="32"/>
          <w:szCs w:val="32"/>
          <w14:textFill>
            <w14:solidFill>
              <w14:schemeClr w14:val="tx1"/>
            </w14:solidFill>
          </w14:textFill>
        </w:rPr>
        <w:t>万元</w:t>
      </w:r>
      <w:bookmarkStart w:id="1" w:name="_GoBack"/>
      <w:bookmarkEnd w:id="1"/>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pPr>
        <w:pStyle w:val="3"/>
        <w:spacing w:before="0" w:beforeAutospacing="0" w:after="0" w:afterAutospacing="0" w:line="540" w:lineRule="exact"/>
        <w:ind w:firstLine="643"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（二）国有资产占用情况说明</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2023年我单位无国有资产占用相关情况。</w:t>
      </w:r>
    </w:p>
    <w:p>
      <w:pPr>
        <w:spacing w:line="540" w:lineRule="exact"/>
        <w:rPr>
          <w:rFonts w:eastAsia="仿宋_GB2312"/>
          <w:color w:val="000000" w:themeColor="text1"/>
          <w:sz w:val="32"/>
          <w:szCs w:val="32"/>
          <w14:textFill>
            <w14:solidFill>
              <w14:schemeClr w14:val="tx1"/>
            </w14:solidFill>
          </w14:textFill>
        </w:rPr>
      </w:pPr>
    </w:p>
    <w:p>
      <w:pPr>
        <w:adjustRightInd w:val="0"/>
        <w:snapToGrid w:val="0"/>
        <w:spacing w:line="540" w:lineRule="exact"/>
        <w:ind w:right="-218" w:rightChars="-104"/>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第三部分：</w:t>
      </w:r>
      <w:r>
        <w:rPr>
          <w:rFonts w:hint="eastAsia" w:eastAsia="黑体"/>
          <w:color w:val="000000" w:themeColor="text1"/>
          <w:kern w:val="0"/>
          <w:sz w:val="32"/>
          <w:szCs w:val="32"/>
          <w14:textFill>
            <w14:solidFill>
              <w14:schemeClr w14:val="tx1"/>
            </w14:solidFill>
          </w14:textFill>
        </w:rPr>
        <w:t>融水苗族自治县杆洞乡中心小学</w:t>
      </w:r>
      <w:r>
        <w:rPr>
          <w:rFonts w:eastAsia="黑体"/>
          <w:color w:val="000000" w:themeColor="text1"/>
          <w:kern w:val="0"/>
          <w:sz w:val="32"/>
          <w:szCs w:val="32"/>
          <w14:textFill>
            <w14:solidFill>
              <w14:schemeClr w14:val="tx1"/>
            </w14:solidFill>
          </w14:textFill>
        </w:rPr>
        <w:t>2023年单位预算报表</w:t>
      </w:r>
    </w:p>
    <w:p>
      <w:pPr>
        <w:pStyle w:val="3"/>
        <w:spacing w:before="0" w:beforeAutospacing="0" w:after="0" w:afterAutospacing="0" w:line="54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一、单位收支总体情况表（表1）</w:t>
      </w:r>
    </w:p>
    <w:p>
      <w:pPr>
        <w:pStyle w:val="3"/>
        <w:spacing w:before="0" w:beforeAutospacing="0" w:after="0" w:afterAutospacing="0" w:line="54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二、单位收入总体情况表（表2）</w:t>
      </w:r>
    </w:p>
    <w:p>
      <w:pPr>
        <w:pStyle w:val="3"/>
        <w:spacing w:before="0" w:beforeAutospacing="0" w:after="0" w:afterAutospacing="0" w:line="54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三、单位支出总体情况表（表3）</w:t>
      </w:r>
    </w:p>
    <w:p>
      <w:pPr>
        <w:pStyle w:val="3"/>
        <w:spacing w:before="0" w:beforeAutospacing="0" w:after="0" w:afterAutospacing="0" w:line="54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四、财政拨款收支总体情况表（表4）</w:t>
      </w:r>
    </w:p>
    <w:p>
      <w:pPr>
        <w:pStyle w:val="3"/>
        <w:spacing w:before="0" w:beforeAutospacing="0" w:after="0" w:afterAutospacing="0" w:line="54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五、一般公共预算支出情况表（表5）</w:t>
      </w:r>
    </w:p>
    <w:p>
      <w:pPr>
        <w:pStyle w:val="3"/>
        <w:spacing w:before="0" w:beforeAutospacing="0" w:after="0" w:afterAutospacing="0" w:line="54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六、一般公共预算基本支出情况表（表6）</w:t>
      </w:r>
    </w:p>
    <w:p>
      <w:pPr>
        <w:pStyle w:val="3"/>
        <w:spacing w:before="0" w:beforeAutospacing="0" w:after="0" w:afterAutospacing="0" w:line="54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七、财政拨款三公两费支出情况表（表7）</w:t>
      </w:r>
    </w:p>
    <w:p>
      <w:pPr>
        <w:pStyle w:val="3"/>
        <w:spacing w:before="0" w:beforeAutospacing="0" w:after="0" w:afterAutospacing="0" w:line="54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八、政府性基金预算支出情况表（表8）</w:t>
      </w:r>
    </w:p>
    <w:p>
      <w:pPr>
        <w:pStyle w:val="3"/>
        <w:spacing w:before="0" w:beforeAutospacing="0" w:after="0" w:afterAutospacing="0" w:line="54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九、国有资本经营预算支出情况表（表9）</w:t>
      </w:r>
    </w:p>
    <w:p>
      <w:pPr>
        <w:pStyle w:val="3"/>
        <w:spacing w:before="0" w:beforeAutospacing="0" w:after="0" w:afterAutospacing="0" w:line="54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十、政府采购预算表（表10）</w:t>
      </w:r>
    </w:p>
    <w:p>
      <w:pPr>
        <w:pStyle w:val="3"/>
        <w:spacing w:before="0" w:beforeAutospacing="0" w:after="0" w:afterAutospacing="0" w:line="54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十一、政府购买服务预算表（表11）</w:t>
      </w:r>
    </w:p>
    <w:p>
      <w:pPr>
        <w:pStyle w:val="3"/>
        <w:spacing w:before="0" w:beforeAutospacing="0" w:after="0" w:afterAutospacing="0" w:line="540" w:lineRule="exact"/>
        <w:jc w:val="center"/>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上述报表详见附件。</w:t>
      </w:r>
    </w:p>
    <w:p>
      <w:pPr>
        <w:adjustRightInd w:val="0"/>
        <w:snapToGrid w:val="0"/>
        <w:spacing w:line="540" w:lineRule="exact"/>
        <w:ind w:right="-218" w:rightChars="-104"/>
        <w:jc w:val="center"/>
        <w:rPr>
          <w:rFonts w:eastAsia="黑体"/>
          <w:color w:val="000000" w:themeColor="text1"/>
          <w:kern w:val="0"/>
          <w:sz w:val="32"/>
          <w:szCs w:val="32"/>
          <w14:textFill>
            <w14:solidFill>
              <w14:schemeClr w14:val="tx1"/>
            </w14:solidFill>
          </w14:textFill>
        </w:rPr>
      </w:pPr>
    </w:p>
    <w:p>
      <w:pPr>
        <w:adjustRightInd w:val="0"/>
        <w:snapToGrid w:val="0"/>
        <w:spacing w:line="540" w:lineRule="exact"/>
        <w:ind w:right="-218" w:rightChars="-104"/>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第四部分：名词解释</w:t>
      </w:r>
    </w:p>
    <w:p>
      <w:p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一、财政拨款收入</w:t>
      </w:r>
      <w:r>
        <w:rPr>
          <w:rFonts w:eastAsia="仿宋_GB2312"/>
          <w:color w:val="000000" w:themeColor="text1"/>
          <w:kern w:val="0"/>
          <w:sz w:val="32"/>
          <w:szCs w:val="32"/>
          <w14:textFill>
            <w14:solidFill>
              <w14:schemeClr w14:val="tx1"/>
            </w14:solidFill>
          </w14:textFill>
        </w:rPr>
        <w:t>：指市本级财政部门当年拨付的资金。</w:t>
      </w:r>
    </w:p>
    <w:p>
      <w:p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二、事业收入</w:t>
      </w:r>
      <w:r>
        <w:rPr>
          <w:rFonts w:eastAsia="仿宋_GB2312"/>
          <w:color w:val="000000" w:themeColor="text1"/>
          <w:kern w:val="0"/>
          <w:sz w:val="32"/>
          <w:szCs w:val="32"/>
          <w14:textFill>
            <w14:solidFill>
              <w14:schemeClr w14:val="tx1"/>
            </w14:solidFill>
          </w14:textFill>
        </w:rPr>
        <w:t>：指事业单位开展专业业务活动及辅助活动所取得的收入。</w:t>
      </w:r>
    </w:p>
    <w:p>
      <w:p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三、经营收入</w:t>
      </w:r>
      <w:r>
        <w:rPr>
          <w:rFonts w:eastAsia="仿宋_GB2312"/>
          <w:color w:val="000000" w:themeColor="text1"/>
          <w:kern w:val="0"/>
          <w:sz w:val="32"/>
          <w:szCs w:val="32"/>
          <w14:textFill>
            <w14:solidFill>
              <w14:schemeClr w14:val="tx1"/>
            </w14:solidFill>
          </w14:textFill>
        </w:rPr>
        <w:t>：指事业单位在专业业务活动及其辅助活动之外开展非独立核算经营活动取得的收入。</w:t>
      </w:r>
    </w:p>
    <w:p>
      <w:p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四、其他收入</w:t>
      </w:r>
      <w:r>
        <w:rPr>
          <w:rFonts w:eastAsia="仿宋_GB2312"/>
          <w:color w:val="000000" w:themeColor="text1"/>
          <w:kern w:val="0"/>
          <w:sz w:val="32"/>
          <w:szCs w:val="32"/>
          <w14:textFill>
            <w14:solidFill>
              <w14:schemeClr w14:val="tx1"/>
            </w14:solidFill>
          </w14:textFill>
        </w:rPr>
        <w:t>：指除上述“财政拨款收入”“事业收入”“经营收入”等以外的收入。</w:t>
      </w:r>
    </w:p>
    <w:p>
      <w:p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五、基本支出</w:t>
      </w:r>
      <w:r>
        <w:rPr>
          <w:rFonts w:eastAsia="仿宋_GB2312"/>
          <w:color w:val="000000" w:themeColor="text1"/>
          <w:kern w:val="0"/>
          <w:sz w:val="32"/>
          <w:szCs w:val="32"/>
          <w14:textFill>
            <w14:solidFill>
              <w14:schemeClr w14:val="tx1"/>
            </w14:solidFill>
          </w14:textFill>
        </w:rPr>
        <w:t>：指为保障机构正常运转、完成日常工作任务而发生的人员支出和公用支出。</w:t>
      </w:r>
    </w:p>
    <w:p>
      <w:p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六、项目支出</w:t>
      </w:r>
      <w:r>
        <w:rPr>
          <w:rFonts w:eastAsia="仿宋_GB2312"/>
          <w:color w:val="000000" w:themeColor="text1"/>
          <w:kern w:val="0"/>
          <w:sz w:val="32"/>
          <w:szCs w:val="32"/>
          <w14:textFill>
            <w14:solidFill>
              <w14:schemeClr w14:val="tx1"/>
            </w14:solidFill>
          </w14:textFill>
        </w:rPr>
        <w:t>：指在基本支出之外为完成特定行政任务和事业发展目标所发生的支出。</w:t>
      </w:r>
    </w:p>
    <w:p>
      <w:p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七、“三公”经费</w:t>
      </w:r>
      <w:r>
        <w:rPr>
          <w:rFonts w:eastAsia="仿宋_GB2312"/>
          <w:color w:val="000000" w:themeColor="text1"/>
          <w:kern w:val="0"/>
          <w:sz w:val="32"/>
          <w:szCs w:val="32"/>
          <w14:textFill>
            <w14:solidFill>
              <w14:schemeClr w14:val="tx1"/>
            </w14:solidFill>
          </w14:textFill>
        </w:rPr>
        <w:t>：纳入市财政预决算管理的“三公”经费，是指市</w:t>
      </w:r>
      <w:r>
        <w:rPr>
          <w:rFonts w:eastAsia="仿宋_GB2312"/>
          <w:color w:val="000000" w:themeColor="text1"/>
          <w:sz w:val="32"/>
          <w:szCs w:val="32"/>
          <w14:textFill>
            <w14:solidFill>
              <w14:schemeClr w14:val="tx1"/>
            </w14:solidFill>
          </w14:textFill>
        </w:rPr>
        <w:t>本级各部门用财政拨款安排的因公出国（境）费、公务用车购置及运行维护费和公务接待费。</w:t>
      </w:r>
      <w:r>
        <w:rPr>
          <w:rFonts w:eastAsia="仿宋_GB2312"/>
          <w:color w:val="000000" w:themeColor="text1"/>
          <w:kern w:val="0"/>
          <w:sz w:val="32"/>
          <w:szCs w:val="32"/>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八、事业单位运行经费</w:t>
      </w:r>
      <w:r>
        <w:rPr>
          <w:rFonts w:eastAsia="仿宋_GB2312"/>
          <w:color w:val="000000" w:themeColor="text1"/>
          <w:kern w:val="0"/>
          <w:sz w:val="32"/>
          <w:szCs w:val="32"/>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000000" w:themeColor="text1"/>
          <w14:textFill>
            <w14:solidFill>
              <w14:schemeClr w14:val="tx1"/>
            </w14:solidFill>
          </w14:textFill>
        </w:rPr>
      </w:pPr>
    </w:p>
    <w:sectPr>
      <w:footerReference r:id="rId3" w:type="default"/>
      <w:footerReference r:id="rId4" w:type="even"/>
      <w:pgSz w:w="11906" w:h="16838"/>
      <w:pgMar w:top="2041" w:right="1531" w:bottom="204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B7E20"/>
    <w:rsid w:val="000F67A1"/>
    <w:rsid w:val="00137B9B"/>
    <w:rsid w:val="001E1C92"/>
    <w:rsid w:val="001E4FB2"/>
    <w:rsid w:val="00297E34"/>
    <w:rsid w:val="002C770A"/>
    <w:rsid w:val="003D3313"/>
    <w:rsid w:val="00436972"/>
    <w:rsid w:val="004A3440"/>
    <w:rsid w:val="00784690"/>
    <w:rsid w:val="008059F1"/>
    <w:rsid w:val="00AE11F1"/>
    <w:rsid w:val="00B3076C"/>
    <w:rsid w:val="00B43D26"/>
    <w:rsid w:val="00B744CA"/>
    <w:rsid w:val="00BE3D57"/>
    <w:rsid w:val="00C27F81"/>
    <w:rsid w:val="00CA617D"/>
    <w:rsid w:val="00D92C64"/>
    <w:rsid w:val="00F7648C"/>
    <w:rsid w:val="00FB4D6B"/>
    <w:rsid w:val="00FF61C5"/>
    <w:rsid w:val="00FF7367"/>
    <w:rsid w:val="03944417"/>
    <w:rsid w:val="16EB7E20"/>
    <w:rsid w:val="22982281"/>
    <w:rsid w:val="3DCE63DE"/>
    <w:rsid w:val="3F8B6786"/>
    <w:rsid w:val="4A973102"/>
    <w:rsid w:val="5B30418D"/>
    <w:rsid w:val="5E564A5C"/>
    <w:rsid w:val="6A4051DE"/>
    <w:rsid w:val="720D4023"/>
    <w:rsid w:val="78120E72"/>
    <w:rsid w:val="7E85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664</Words>
  <Characters>3788</Characters>
  <Lines>31</Lines>
  <Paragraphs>8</Paragraphs>
  <TotalTime>1</TotalTime>
  <ScaleCrop>false</ScaleCrop>
  <LinksUpToDate>false</LinksUpToDate>
  <CharactersWithSpaces>4444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2023-05-24T10:53:15Z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0D75356E43D14A8AB151635176BECA9F</vt:lpwstr>
  </property>
</Properties>
</file>