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ind w:left="2200" w:hanging="2200" w:hangingChars="500"/>
        <w:jc w:val="both"/>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201009</w:t>
      </w:r>
      <w:r>
        <w:rPr>
          <w:rFonts w:hint="eastAsia" w:eastAsia="方正小标宋简体" w:cs="Times New Roman"/>
          <w:color w:val="000000" w:themeColor="text1"/>
          <w:sz w:val="44"/>
          <w:szCs w:val="44"/>
          <w:highlight w:val="none"/>
          <w:lang w:val="en-US" w:eastAsia="zh-CN"/>
          <w14:textFill>
            <w14:solidFill>
              <w14:schemeClr w14:val="tx1"/>
            </w14:solidFill>
          </w14:textFill>
        </w:rPr>
        <w:t>融水苗族自治县洞头镇中心小学</w:t>
      </w:r>
      <w:bookmarkEnd w:id="0"/>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融水苗族自治县洞头镇中心小学</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主要职责</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融水苗族自治县洞头镇中心小学</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融水苗族自治县洞头镇中心小学</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第一部分：</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201009融水苗族自治县洞头镇中心小学</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概况</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主要职责</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 xml:space="preserve">      实施小学教育、促进基础教育发展及相关社会服务。培养具有良好道德素质，扎实的基础理论，健康的心理素质，健全的人格素养，全面发展的社会主义现代化建设者和接班人。</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楷体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、宣传贯彻执行党和国家的教育方针、政策、法律法规等，坚持依法治教、依法治学、贯彻执行我校的行政规章制度。</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、贯彻落实教育方针、政策，教书育人，全面推进素质教育，紧密联系民族地区实际，为上一级学校培养输送新生。</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（三）、抓好师生思想政治、德育、体育、卫生艺术与安全教育工作。</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（四）、组织实施教师培训工作，依法统筹规划学校教师和管理人员的队伍建设。</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（五）、配合各级人民政府依法动员、组织适龄儿童少年入学,严格控制辍学，推进普及义务教育。</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360" w:lineRule="auto"/>
        <w:ind w:firstLine="640" w:firstLineChars="200"/>
        <w:rPr>
          <w:rFonts w:hint="default" w:ascii="仿宋_GB2312" w:hAnsi="华文仿宋" w:eastAsia="仿宋_GB2312"/>
          <w:sz w:val="32"/>
          <w:szCs w:val="32"/>
          <w:lang w:val="en-US" w:eastAsia="zh-CN"/>
        </w:rPr>
      </w:pPr>
      <w:r>
        <w:rPr>
          <w:rFonts w:hint="eastAsia" w:ascii="仿宋_GB2312" w:hAnsi="华文仿宋" w:eastAsia="仿宋_GB2312"/>
          <w:color w:val="000000"/>
          <w:sz w:val="32"/>
          <w:szCs w:val="32"/>
        </w:rPr>
        <w:t>融水苗族自治县洞头镇中心小学共有直属单位1个。其中行政单位0个，参照公务员管理事业单位0个，全额拨款事业单位1个，差额拨款事业单位0个，自收自支事业单位0个。全额拨款事业单位是：</w:t>
      </w:r>
      <w:r>
        <w:rPr>
          <w:rFonts w:hint="eastAsia" w:ascii="仿宋_GB2312" w:hAnsi="华文仿宋" w:eastAsia="仿宋_GB2312"/>
          <w:sz w:val="32"/>
          <w:szCs w:val="32"/>
        </w:rPr>
        <w:t>融水苗族自治县洞头镇中心小学。</w:t>
      </w:r>
      <w:r>
        <w:rPr>
          <w:rFonts w:hint="eastAsia" w:ascii="仿宋_GB2312" w:hAnsi="仿宋_GB2312" w:eastAsia="仿宋_GB2312" w:cs="仿宋_GB2312"/>
          <w:sz w:val="32"/>
          <w:szCs w:val="32"/>
          <w:lang w:bidi="ar"/>
        </w:rPr>
        <w:t>学校设有后勤处、财务处、党支部、学生少队部、工会组织、政教处、教务处、办公室等。</w:t>
      </w:r>
      <w:r>
        <w:rPr>
          <w:rFonts w:hint="eastAsia" w:ascii="仿宋_GB2312" w:hAnsi="仿宋_GB2312" w:eastAsia="仿宋_GB2312" w:cs="仿宋_GB2312"/>
          <w:sz w:val="32"/>
          <w:szCs w:val="32"/>
          <w:lang w:val="en-US" w:eastAsia="zh-CN" w:bidi="ar"/>
        </w:rPr>
        <w:t>单位编制数48人，在编教师48人，退休83人。</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left="1600" w:right="-218" w:rightChars="-104" w:hanging="1600" w:hangingChars="5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201009融水苗族自治县洞头镇中心小学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keepNext w:val="0"/>
        <w:keepLines w:val="0"/>
        <w:pageBreakBefore w:val="0"/>
        <w:numPr>
          <w:ilvl w:val="0"/>
          <w:numId w:val="3"/>
        </w:numP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单位收支预算情况说明</w:t>
      </w:r>
    </w:p>
    <w:p>
      <w:pPr>
        <w:keepNext w:val="0"/>
        <w:keepLines w:val="0"/>
        <w:pageBreakBefore w:val="0"/>
        <w:numPr>
          <w:ilvl w:val="0"/>
          <w:numId w:val="0"/>
        </w:numP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 xml:space="preserve"> 2023年单位收支总收入946.16万元，</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同比增加49.56万元，同比增长5.53%。收入包括：</w:t>
      </w: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一般公共预算拨款877.89万元，上年结转结余68.27万元</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。支出包括：小学教育支出683.43万元，社会保障和就业支出131.12万元，卫生健康支出51.14万元，住房保障支出78.67万元，其他支出1.8万元。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946.16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49.56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5.53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2023年收入预算总体增加的主要原因是：特岗教师入编、教师岗位变动及各项社保等费用增加。</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877.89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18.71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2.09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eastAsia="仿宋_GB2312" w:cs="Times New Roman"/>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68.27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eastAsia="仿宋_GB2312" w:cs="Times New Roman"/>
          <w:color w:val="000000" w:themeColor="text1"/>
          <w:sz w:val="32"/>
          <w:szCs w:val="32"/>
          <w:highlight w:val="none"/>
          <w:lang w:val="en-US" w:eastAsia="zh-CN"/>
          <w14:textFill>
            <w14:solidFill>
              <w14:schemeClr w14:val="tx1"/>
            </w14:solidFill>
          </w14:textFill>
        </w:rPr>
        <w:t>其中一般公共预算结转结余66.47万元，政府性基金预算1.8万元，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68.27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上年结转结余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946.16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eastAsia="仿宋_GB2312" w:cs="Times New Roman"/>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911.86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96.37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15.26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1.70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34.30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3.63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34.30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4"/>
        </w:numP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960" w:firstLineChars="300"/>
        <w:jc w:val="both"/>
        <w:textAlignment w:val="auto"/>
        <w:outlineLvl w:val="9"/>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、2050202小学教育支出683.26万元，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72.21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55.51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8.88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增加的主要原因是：2023年教师工资福利支出增加。</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960" w:firstLineChars="3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、20502099其他普通教育支出0.17万元，占支出总预算0.02%，同比增加0.17万元，同比增长100%。增加的主要原因是：2023年教师工资福利支出增加。</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960" w:firstLineChars="3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、2080505机关事业单位基本养老保险缴费支出131.12万元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13.86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5.01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减少的主要原因是：教师人数减少。</w:t>
      </w:r>
    </w:p>
    <w:p>
      <w:pPr>
        <w:pStyle w:val="3"/>
        <w:keepNext w:val="0"/>
        <w:keepLines w:val="0"/>
        <w:pageBreakBefore w:val="0"/>
        <w:numPr>
          <w:ilvl w:val="0"/>
          <w:numId w:val="5"/>
        </w:numPr>
        <w:kinsoku/>
        <w:wordWrap/>
        <w:overflowPunct/>
        <w:topLinePunct w:val="0"/>
        <w:autoSpaceDE/>
        <w:autoSpaceDN/>
        <w:bidi w:val="0"/>
        <w:spacing w:before="0" w:beforeAutospacing="0" w:after="0" w:afterAutospacing="0" w:line="540" w:lineRule="exact"/>
        <w:ind w:firstLine="960" w:firstLineChars="3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、2101102事业单位医疗支出51.14万元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5.41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0.09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0.18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与2022年支出基本持平。</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960" w:firstLineChars="300"/>
        <w:jc w:val="both"/>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（5）、2210201住房公积金支出78.67万元，占支出总预算8.31%，同比减少3.01万元，同比下降3.69%。减少的主要原因是：教师人数减少。</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（6）、2296004用于教育事业的彩票公益金支出1.8万元，占支出总预算0.19%，同比增加1.8万元，同比增长100%。增加的原因是：2022年结转下来的用于教育事业的彩票公益金支出。</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911.86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96.37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15.26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1.70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34.30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3.63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34.30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增加，增加的主要原因：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2022年预算没有项目支出。</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946.16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一般公共预算拨款877.89万元，上年结转结余68.27万元。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205类教育支出预算683.43万元，208类社会保障和就业支出预算131.12万元，210类卫生健康支出51.14万元，221类住房保障支出78.67万元，其他支出1.8万元。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877.89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877.89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、小学教育支出616.96万元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主</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在职人员工资福利支出和个人和家庭的补助支出。</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、机关事业单位基本养老保险缴费支出131.12万元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教师基本养老保险缴费支出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（三）、事业单位医疗51.14万元，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教师基本医疗保险缴费支出。</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（四）、住房公积金78.67万元，全部为基本支出。主要用于缴纳教师住房公积金缴费支出。</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2023年单位一般公共预算基本支出877.89万元，其中：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846.03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工资284.19万元、津贴补贴75.29万元、绩效工资114.41万元、机关事业单位基本养老保险缴费131.12万元、职工基本医疗保险缴费51.14万元、其他社会保障缴费4.93万元、住房公积金78.67万元、其他工资福利支出4.39万元、对个人和家庭的补助101.89万元、退休费91.62万元、助学金1.2万元、其他对个人和家庭的补助9.06万元。</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31.86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办公费2.43万元、福利费3.36万元、其他商品和服务支出26.07万元。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主要原因</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用于教育事业的彩票公益金支出1.8万元。</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2023年我单位无国有资本经营预算支出安排。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2023年我单位无政府采购预算。</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2023年我单位无政府购买服务预算支出安排。</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bCs/>
          <w:color w:val="000000" w:themeColor="text1"/>
          <w:kern w:val="0"/>
          <w:sz w:val="32"/>
          <w:szCs w:val="32"/>
          <w:highlight w:val="none"/>
          <w:lang w:val="en-US"/>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预算绩效目标公开的项目：2023年农村学校营养膳食补助中央资金（小学），预算支出16.80万元，通过一般公共预算安排支出16.80万元，通过政府性基金安排支出0万元，项目支出绩效目标具体指标设置情况详见附件4。</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w:t>
      </w:r>
      <w:r>
        <w:rPr>
          <w:rFonts w:hint="eastAsia" w:eastAsia="楷体_GB2312" w:cs="Times New Roman"/>
          <w:b/>
          <w:bCs w:val="0"/>
          <w:color w:val="000000" w:themeColor="text1"/>
          <w:sz w:val="32"/>
          <w:szCs w:val="32"/>
          <w:highlight w:val="none"/>
          <w:lang w:val="en-US" w:eastAsia="zh-CN"/>
          <w14:textFill>
            <w14:solidFill>
              <w14:schemeClr w14:val="tx1"/>
            </w14:solidFill>
          </w14:textFill>
        </w:rPr>
        <w:t>事业单位</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2023年我单位事业单位运行经费预算支出31.86万元。</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单位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无国有资产占用相关情况。</w:t>
      </w:r>
    </w:p>
    <w:p>
      <w:pPr>
        <w:keepNext w:val="0"/>
        <w:keepLines w:val="0"/>
        <w:pageBreakBefore w:val="0"/>
        <w:kinsoku/>
        <w:wordWrap/>
        <w:overflowPunct/>
        <w:topLinePunct w:val="0"/>
        <w:autoSpaceDE/>
        <w:autoSpaceDN/>
        <w:bidi w:val="0"/>
        <w:adjustRightInd w:val="0"/>
        <w:snapToGrid w:val="0"/>
        <w:spacing w:line="540" w:lineRule="exact"/>
        <w:ind w:left="1600" w:right="-218" w:rightChars="-104" w:hanging="1600" w:hangingChars="5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201009融水苗族自治县洞头镇中心小学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政府购买服务预算表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事业单位相关</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事业</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rebuchet MS">
    <w:panose1 w:val="020B0603020202020204"/>
    <w:charset w:val="00"/>
    <w:family w:val="auto"/>
    <w:pitch w:val="default"/>
    <w:sig w:usb0="00000687" w:usb1="00000000" w:usb2="00000000" w:usb3="00000000" w:csb0="2000009F" w:csb1="00000000"/>
  </w:font>
  <w:font w:name="Segoe MDL2 Assets">
    <w:panose1 w:val="050A0102010101010101"/>
    <w:charset w:val="00"/>
    <w:family w:val="auto"/>
    <w:pitch w:val="default"/>
    <w:sig w:usb0="00000000" w:usb1="10000000" w:usb2="00000000" w:usb3="00000000" w:csb0="00000001" w:csb1="00000000"/>
  </w:font>
  <w:font w:name="Segoe UI Black">
    <w:panose1 w:val="020B0A02040204020203"/>
    <w:charset w:val="00"/>
    <w:family w:val="auto"/>
    <w:pitch w:val="default"/>
    <w:sig w:usb0="E00002FF" w:usb1="4000E47F" w:usb2="00000021" w:usb3="00000000" w:csb0="2000019F" w:csb1="00000000"/>
  </w:font>
  <w:font w:name="Lucida Calligraphy">
    <w:panose1 w:val="03010101010101010101"/>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Corbel Light">
    <w:panose1 w:val="020B0303020204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BE968"/>
    <w:multiLevelType w:val="singleLevel"/>
    <w:tmpl w:val="914BE968"/>
    <w:lvl w:ilvl="0" w:tentative="0">
      <w:start w:val="1"/>
      <w:numFmt w:val="chineseCounting"/>
      <w:suff w:val="nothing"/>
      <w:lvlText w:val="（%1）"/>
      <w:lvlJc w:val="left"/>
      <w:rPr>
        <w:rFonts w:hint="eastAsia"/>
      </w:rPr>
    </w:lvl>
  </w:abstractNum>
  <w:abstractNum w:abstractNumId="1">
    <w:nsid w:val="D5657091"/>
    <w:multiLevelType w:val="singleLevel"/>
    <w:tmpl w:val="D5657091"/>
    <w:lvl w:ilvl="0" w:tentative="0">
      <w:start w:val="1"/>
      <w:numFmt w:val="chineseCounting"/>
      <w:suff w:val="nothing"/>
      <w:lvlText w:val="%1、"/>
      <w:lvlJc w:val="left"/>
      <w:rPr>
        <w:rFonts w:hint="eastAsia"/>
      </w:rPr>
    </w:lvl>
  </w:abstractNum>
  <w:abstractNum w:abstractNumId="2">
    <w:nsid w:val="DA682BFD"/>
    <w:multiLevelType w:val="singleLevel"/>
    <w:tmpl w:val="DA682BFD"/>
    <w:lvl w:ilvl="0" w:tentative="0">
      <w:start w:val="1"/>
      <w:numFmt w:val="chineseCounting"/>
      <w:suff w:val="nothing"/>
      <w:lvlText w:val="%1、"/>
      <w:lvlJc w:val="left"/>
      <w:rPr>
        <w:rFonts w:hint="eastAsia"/>
      </w:rPr>
    </w:lvl>
  </w:abstractNum>
  <w:abstractNum w:abstractNumId="3">
    <w:nsid w:val="17CA9857"/>
    <w:multiLevelType w:val="singleLevel"/>
    <w:tmpl w:val="17CA9857"/>
    <w:lvl w:ilvl="0" w:tentative="0">
      <w:start w:val="1"/>
      <w:numFmt w:val="decimal"/>
      <w:suff w:val="nothing"/>
      <w:lvlText w:val="（%1）"/>
      <w:lvlJc w:val="left"/>
    </w:lvl>
  </w:abstractNum>
  <w:abstractNum w:abstractNumId="4">
    <w:nsid w:val="589A3D5A"/>
    <w:multiLevelType w:val="singleLevel"/>
    <w:tmpl w:val="589A3D5A"/>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MjExOTZhOTg2MWQ5ZTI5MTUyNGFkODk0NjY5ODIifQ=="/>
  </w:docVars>
  <w:rsids>
    <w:rsidRoot w:val="16EB7E20"/>
    <w:rsid w:val="02533C5E"/>
    <w:rsid w:val="03944417"/>
    <w:rsid w:val="07FB67F7"/>
    <w:rsid w:val="085A05C0"/>
    <w:rsid w:val="087A4C54"/>
    <w:rsid w:val="09EA5159"/>
    <w:rsid w:val="0AD31295"/>
    <w:rsid w:val="0C590374"/>
    <w:rsid w:val="0CAE5925"/>
    <w:rsid w:val="0EB3312E"/>
    <w:rsid w:val="148A4F17"/>
    <w:rsid w:val="167E1E4F"/>
    <w:rsid w:val="16EB7E20"/>
    <w:rsid w:val="17131D08"/>
    <w:rsid w:val="17AA6CE0"/>
    <w:rsid w:val="18511F5A"/>
    <w:rsid w:val="187D681A"/>
    <w:rsid w:val="18BE612E"/>
    <w:rsid w:val="18E806F7"/>
    <w:rsid w:val="18F2037A"/>
    <w:rsid w:val="1B195CB1"/>
    <w:rsid w:val="2004354A"/>
    <w:rsid w:val="201725C8"/>
    <w:rsid w:val="204A474C"/>
    <w:rsid w:val="21FB3F4F"/>
    <w:rsid w:val="222D6B3C"/>
    <w:rsid w:val="22982281"/>
    <w:rsid w:val="23563407"/>
    <w:rsid w:val="253B3382"/>
    <w:rsid w:val="2719615A"/>
    <w:rsid w:val="27995A08"/>
    <w:rsid w:val="27E86D24"/>
    <w:rsid w:val="28B76C3D"/>
    <w:rsid w:val="29EB2A7C"/>
    <w:rsid w:val="2A702D46"/>
    <w:rsid w:val="2C697D08"/>
    <w:rsid w:val="2F5763F8"/>
    <w:rsid w:val="31435509"/>
    <w:rsid w:val="3171151A"/>
    <w:rsid w:val="31E42682"/>
    <w:rsid w:val="332A30ED"/>
    <w:rsid w:val="33C65A3F"/>
    <w:rsid w:val="34265A9E"/>
    <w:rsid w:val="35B76B4B"/>
    <w:rsid w:val="36E763EB"/>
    <w:rsid w:val="36F60945"/>
    <w:rsid w:val="37790C0F"/>
    <w:rsid w:val="38060B00"/>
    <w:rsid w:val="3DD32C78"/>
    <w:rsid w:val="3E5508AE"/>
    <w:rsid w:val="3F4C7741"/>
    <w:rsid w:val="43C35DE9"/>
    <w:rsid w:val="44130A49"/>
    <w:rsid w:val="482047C4"/>
    <w:rsid w:val="488722B3"/>
    <w:rsid w:val="49CC718E"/>
    <w:rsid w:val="4A951CE0"/>
    <w:rsid w:val="4D24054A"/>
    <w:rsid w:val="530C1269"/>
    <w:rsid w:val="53BD28A8"/>
    <w:rsid w:val="555556D5"/>
    <w:rsid w:val="55F07C72"/>
    <w:rsid w:val="569506A0"/>
    <w:rsid w:val="580C393E"/>
    <w:rsid w:val="59C208D3"/>
    <w:rsid w:val="5A6A0990"/>
    <w:rsid w:val="5C257839"/>
    <w:rsid w:val="5C260474"/>
    <w:rsid w:val="614F3F14"/>
    <w:rsid w:val="63EB0A27"/>
    <w:rsid w:val="65605444"/>
    <w:rsid w:val="66D02C52"/>
    <w:rsid w:val="67000C8D"/>
    <w:rsid w:val="68925AA2"/>
    <w:rsid w:val="6A014F02"/>
    <w:rsid w:val="6A301889"/>
    <w:rsid w:val="6A976091"/>
    <w:rsid w:val="6BE7786E"/>
    <w:rsid w:val="6CE93F71"/>
    <w:rsid w:val="6D2011DA"/>
    <w:rsid w:val="719646C8"/>
    <w:rsid w:val="720D4023"/>
    <w:rsid w:val="73301CD9"/>
    <w:rsid w:val="73330781"/>
    <w:rsid w:val="745450B6"/>
    <w:rsid w:val="77065503"/>
    <w:rsid w:val="783578AC"/>
    <w:rsid w:val="788D6DB4"/>
    <w:rsid w:val="7908577F"/>
    <w:rsid w:val="795F20FD"/>
    <w:rsid w:val="7BD161C5"/>
    <w:rsid w:val="7C4A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3726</Words>
  <Characters>4305</Characters>
  <Lines>0</Lines>
  <Paragraphs>0</Paragraphs>
  <TotalTime>9</TotalTime>
  <ScaleCrop>false</ScaleCrop>
  <LinksUpToDate>false</LinksUpToDate>
  <CharactersWithSpaces>4329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2023-05-24T10:13:40Z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