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tabs>
          <w:tab w:val="center" w:pos="4475"/>
        </w:tabs>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303融水苗族自治县城市管理行政执法局</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2023年部门</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shd w:val="clear"/>
        <w:kinsoku/>
        <w:wordWrap/>
        <w:overflowPunct/>
        <w:topLinePunct w:val="0"/>
        <w:autoSpaceDE/>
        <w:autoSpaceDN/>
        <w:bidi w:val="0"/>
        <w:spacing w:line="540" w:lineRule="exact"/>
        <w:jc w:val="both"/>
        <w:textAlignment w:val="auto"/>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融水苗族自治县城市管理行政执法局</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spacing w:before="0" w:beforeAutospacing="0" w:after="0" w:afterAutospacing="0" w:line="560" w:lineRule="exact"/>
        <w:ind w:firstLine="320" w:firstLineChars="1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sz w:val="32"/>
          <w:szCs w:val="32"/>
        </w:rPr>
        <w:t>二、机构设置情况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left="1606" w:hanging="1606" w:hangingChars="5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融水苗族自治县城市管理行政执法局</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一、部门</w:t>
      </w:r>
      <w:r>
        <w:rPr>
          <w:rFonts w:hint="default" w:ascii="仿宋_GB2312" w:hAnsi="华文仿宋" w:eastAsia="仿宋_GB2312"/>
          <w:bCs/>
          <w:color w:val="000000"/>
          <w:sz w:val="32"/>
          <w:szCs w:val="32"/>
          <w:lang w:val="en-US" w:eastAsia="zh-CN"/>
        </w:rPr>
        <w:t>收支预算情况说明</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rPr>
        <w:t>二、部门收入</w:t>
      </w:r>
      <w:r>
        <w:rPr>
          <w:rFonts w:hint="default" w:ascii="仿宋_GB2312" w:hAnsi="华文仿宋" w:eastAsia="仿宋_GB2312"/>
          <w:bCs/>
          <w:color w:val="000000"/>
          <w:sz w:val="32"/>
          <w:szCs w:val="32"/>
          <w:lang w:val="en-US" w:eastAsia="zh-CN"/>
        </w:rPr>
        <w:t>预算情况说明</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三、部门支出</w:t>
      </w:r>
      <w:r>
        <w:rPr>
          <w:rFonts w:hint="default" w:ascii="仿宋_GB2312" w:hAnsi="华文仿宋" w:eastAsia="仿宋_GB2312"/>
          <w:bCs/>
          <w:color w:val="000000"/>
          <w:sz w:val="32"/>
          <w:szCs w:val="32"/>
          <w:lang w:val="en-US" w:eastAsia="zh-CN"/>
        </w:rPr>
        <w:t>预算情况说明</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四、财政拨款收支</w:t>
      </w:r>
      <w:r>
        <w:rPr>
          <w:rFonts w:hint="default" w:ascii="仿宋_GB2312" w:hAnsi="华文仿宋" w:eastAsia="仿宋_GB2312"/>
          <w:bCs/>
          <w:color w:val="000000"/>
          <w:sz w:val="32"/>
          <w:szCs w:val="32"/>
          <w:lang w:val="en-US" w:eastAsia="zh-CN"/>
        </w:rPr>
        <w:t>预算情况说明</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五、</w:t>
      </w:r>
      <w:r>
        <w:rPr>
          <w:rFonts w:hint="eastAsia" w:ascii="仿宋_GB2312" w:hAnsi="华文仿宋" w:eastAsia="仿宋_GB2312"/>
          <w:bCs/>
          <w:color w:val="000000"/>
          <w:sz w:val="32"/>
          <w:szCs w:val="32"/>
          <w:lang w:eastAsia="zh-CN"/>
        </w:rPr>
        <w:t>一般公共预算支出</w:t>
      </w:r>
      <w:r>
        <w:rPr>
          <w:rFonts w:hint="default" w:ascii="仿宋_GB2312" w:hAnsi="华文仿宋" w:eastAsia="仿宋_GB2312"/>
          <w:bCs/>
          <w:color w:val="000000"/>
          <w:sz w:val="32"/>
          <w:szCs w:val="32"/>
          <w:lang w:val="en-US" w:eastAsia="zh-CN"/>
        </w:rPr>
        <w:t>情况说明</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六、</w:t>
      </w:r>
      <w:r>
        <w:rPr>
          <w:rFonts w:hint="eastAsia" w:ascii="仿宋_GB2312" w:hAnsi="华文仿宋" w:eastAsia="仿宋_GB2312"/>
          <w:bCs/>
          <w:color w:val="000000"/>
          <w:sz w:val="32"/>
          <w:szCs w:val="32"/>
          <w:lang w:eastAsia="zh-CN"/>
        </w:rPr>
        <w:t>一般公共预算基本支出</w:t>
      </w:r>
      <w:r>
        <w:rPr>
          <w:rFonts w:hint="default" w:ascii="仿宋_GB2312" w:hAnsi="华文仿宋" w:eastAsia="仿宋_GB2312"/>
          <w:bCs/>
          <w:color w:val="000000"/>
          <w:sz w:val="32"/>
          <w:szCs w:val="32"/>
          <w:lang w:val="en-US" w:eastAsia="zh-CN"/>
        </w:rPr>
        <w:t>情况说明</w:t>
      </w:r>
    </w:p>
    <w:p>
      <w:pPr>
        <w:keepNext w:val="0"/>
        <w:keepLines w:val="0"/>
        <w:pageBreakBefore w:val="0"/>
        <w:shd w:val="clear"/>
        <w:tabs>
          <w:tab w:val="center" w:pos="4475"/>
        </w:tabs>
        <w:kinsoku/>
        <w:wordWrap/>
        <w:overflowPunct/>
        <w:topLinePunct w:val="0"/>
        <w:autoSpaceDE/>
        <w:autoSpaceDN/>
        <w:bidi w:val="0"/>
        <w:spacing w:line="540" w:lineRule="exact"/>
        <w:ind w:firstLine="320" w:firstLineChars="100"/>
        <w:jc w:val="both"/>
        <w:textAlignment w:val="auto"/>
        <w:outlineLvl w:val="9"/>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七、</w:t>
      </w:r>
      <w:r>
        <w:rPr>
          <w:rFonts w:hint="default" w:ascii="仿宋_GB2312" w:hAnsi="华文仿宋" w:eastAsia="仿宋_GB2312"/>
          <w:bCs/>
          <w:color w:val="000000"/>
          <w:sz w:val="32"/>
          <w:szCs w:val="32"/>
          <w:lang w:val="en-US" w:eastAsia="zh-CN"/>
        </w:rPr>
        <w:t>一般公共预算“三公”经费情况说明</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仿宋_GB2312" w:hAnsi="华文仿宋" w:eastAsia="仿宋_GB2312" w:cs="Times New Roman"/>
          <w:bCs/>
          <w:color w:val="000000"/>
          <w:kern w:val="2"/>
          <w:sz w:val="32"/>
          <w:szCs w:val="32"/>
          <w:lang w:val="en-US" w:eastAsia="zh-CN" w:bidi="ar-SA"/>
        </w:rPr>
      </w:pPr>
      <w:r>
        <w:rPr>
          <w:rFonts w:hint="eastAsia" w:ascii="仿宋_GB2312" w:hAnsi="华文仿宋" w:eastAsia="仿宋_GB2312" w:cs="Times New Roman"/>
          <w:bCs/>
          <w:color w:val="000000"/>
          <w:kern w:val="2"/>
          <w:sz w:val="32"/>
          <w:szCs w:val="32"/>
          <w:lang w:val="en-US" w:eastAsia="zh-CN" w:bidi="ar-SA"/>
        </w:rPr>
        <w:t>八、</w:t>
      </w:r>
      <w:r>
        <w:rPr>
          <w:rFonts w:hint="default" w:ascii="仿宋_GB2312" w:hAnsi="华文仿宋" w:eastAsia="仿宋_GB2312" w:cs="Times New Roman"/>
          <w:bCs/>
          <w:color w:val="000000"/>
          <w:kern w:val="2"/>
          <w:sz w:val="32"/>
          <w:szCs w:val="32"/>
          <w:lang w:val="en-US" w:eastAsia="zh-CN" w:bidi="ar-SA"/>
        </w:rPr>
        <w:t>政府性基金预算情况说明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320" w:firstLineChars="100"/>
        <w:textAlignment w:val="auto"/>
        <w:rPr>
          <w:rFonts w:hint="default" w:ascii="仿宋_GB2312" w:hAnsi="华文仿宋" w:eastAsia="仿宋_GB2312" w:cs="宋体"/>
          <w:bCs/>
          <w:color w:val="000000"/>
          <w:kern w:val="0"/>
          <w:sz w:val="32"/>
          <w:szCs w:val="32"/>
          <w:lang w:val="en-US" w:eastAsia="zh-CN" w:bidi="ar-SA"/>
        </w:rPr>
      </w:pPr>
      <w:r>
        <w:rPr>
          <w:rFonts w:hint="default" w:ascii="仿宋_GB2312" w:hAnsi="华文仿宋" w:eastAsia="仿宋_GB2312" w:cs="宋体"/>
          <w:bCs/>
          <w:color w:val="000000"/>
          <w:kern w:val="0"/>
          <w:sz w:val="32"/>
          <w:szCs w:val="32"/>
          <w:lang w:val="en-US" w:eastAsia="zh-CN" w:bidi="ar-SA"/>
        </w:rPr>
        <w:t>九、国有资本经营预算情况说明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320" w:firstLineChars="100"/>
        <w:textAlignment w:val="auto"/>
        <w:rPr>
          <w:rFonts w:hint="default" w:ascii="仿宋_GB2312" w:hAnsi="华文仿宋" w:eastAsia="仿宋_GB2312" w:cs="宋体"/>
          <w:bCs/>
          <w:color w:val="000000"/>
          <w:kern w:val="0"/>
          <w:sz w:val="32"/>
          <w:szCs w:val="32"/>
          <w:lang w:val="en-US" w:eastAsia="zh-CN" w:bidi="ar-SA"/>
        </w:rPr>
      </w:pPr>
      <w:r>
        <w:rPr>
          <w:rFonts w:hint="default" w:ascii="仿宋_GB2312" w:hAnsi="华文仿宋" w:eastAsia="仿宋_GB2312" w:cs="宋体"/>
          <w:bCs/>
          <w:color w:val="000000"/>
          <w:kern w:val="0"/>
          <w:sz w:val="32"/>
          <w:szCs w:val="32"/>
          <w:lang w:val="en-US" w:eastAsia="zh-CN" w:bidi="ar-SA"/>
        </w:rPr>
        <w:t>十、政府采购预算情况说明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320" w:firstLineChars="100"/>
        <w:textAlignment w:val="auto"/>
        <w:rPr>
          <w:rFonts w:hint="default" w:ascii="仿宋_GB2312" w:hAnsi="华文仿宋" w:eastAsia="仿宋_GB2312" w:cs="宋体"/>
          <w:bCs/>
          <w:color w:val="000000"/>
          <w:kern w:val="0"/>
          <w:sz w:val="32"/>
          <w:szCs w:val="32"/>
          <w:lang w:val="en-US" w:eastAsia="zh-CN" w:bidi="ar-SA"/>
        </w:rPr>
      </w:pPr>
      <w:r>
        <w:rPr>
          <w:rFonts w:hint="default" w:ascii="仿宋_GB2312" w:hAnsi="华文仿宋" w:eastAsia="仿宋_GB2312" w:cs="宋体"/>
          <w:bCs/>
          <w:color w:val="000000"/>
          <w:kern w:val="0"/>
          <w:sz w:val="32"/>
          <w:szCs w:val="32"/>
          <w:lang w:val="en-US" w:eastAsia="zh-CN" w:bidi="ar-SA"/>
        </w:rPr>
        <w:t>十一、政府购买服务预算情况说明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320" w:firstLineChars="100"/>
        <w:textAlignment w:val="auto"/>
        <w:rPr>
          <w:rFonts w:hint="eastAsia" w:ascii="仿宋_GB2312" w:hAnsi="华文仿宋" w:eastAsia="仿宋_GB2312" w:cs="宋体"/>
          <w:bCs/>
          <w:color w:val="000000"/>
          <w:kern w:val="0"/>
          <w:sz w:val="32"/>
          <w:szCs w:val="32"/>
          <w:lang w:val="en-US" w:eastAsia="zh-CN" w:bidi="ar-SA"/>
        </w:rPr>
      </w:pPr>
      <w:r>
        <w:rPr>
          <w:rFonts w:hint="default" w:ascii="仿宋_GB2312" w:hAnsi="华文仿宋" w:eastAsia="仿宋_GB2312" w:cs="宋体"/>
          <w:bCs/>
          <w:color w:val="000000"/>
          <w:kern w:val="0"/>
          <w:sz w:val="32"/>
          <w:szCs w:val="32"/>
          <w:lang w:val="en-US" w:eastAsia="zh-CN" w:bidi="ar-SA"/>
        </w:rPr>
        <w:t>十二、</w:t>
      </w:r>
      <w:r>
        <w:rPr>
          <w:rFonts w:hint="eastAsia" w:ascii="仿宋_GB2312" w:hAnsi="华文仿宋" w:eastAsia="仿宋_GB2312" w:cs="宋体"/>
          <w:bCs/>
          <w:color w:val="000000"/>
          <w:kern w:val="0"/>
          <w:sz w:val="32"/>
          <w:szCs w:val="32"/>
          <w:lang w:val="en-US" w:eastAsia="zh-CN" w:bidi="ar-SA"/>
        </w:rPr>
        <w:t>重点项目支出绩效目标情况说明</w:t>
      </w:r>
    </w:p>
    <w:p>
      <w:pPr>
        <w:keepNext w:val="0"/>
        <w:keepLines w:val="0"/>
        <w:pageBreakBefore w:val="0"/>
        <w:shd w:val="clear"/>
        <w:tabs>
          <w:tab w:val="center" w:pos="4475"/>
        </w:tabs>
        <w:kinsoku/>
        <w:wordWrap/>
        <w:overflowPunct/>
        <w:topLinePunct w:val="0"/>
        <w:autoSpaceDE/>
        <w:autoSpaceDN/>
        <w:bidi w:val="0"/>
        <w:spacing w:line="540" w:lineRule="exact"/>
        <w:ind w:firstLine="320" w:firstLineChars="100"/>
        <w:textAlignment w:val="auto"/>
        <w:rPr>
          <w:rFonts w:hint="default"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十三、</w:t>
      </w:r>
      <w:r>
        <w:rPr>
          <w:rFonts w:hint="default" w:ascii="仿宋_GB2312" w:hAnsi="华文仿宋" w:eastAsia="仿宋_GB2312" w:cs="宋体"/>
          <w:bCs/>
          <w:color w:val="000000"/>
          <w:kern w:val="0"/>
          <w:sz w:val="32"/>
          <w:szCs w:val="32"/>
          <w:lang w:val="en-US" w:eastAsia="zh-CN" w:bidi="ar-SA"/>
        </w:rPr>
        <w:t>2023年</w:t>
      </w:r>
      <w:r>
        <w:rPr>
          <w:rFonts w:hint="eastAsia" w:ascii="仿宋_GB2312" w:hAnsi="华文仿宋" w:eastAsia="仿宋_GB2312" w:cs="宋体"/>
          <w:bCs/>
          <w:color w:val="000000"/>
          <w:kern w:val="0"/>
          <w:sz w:val="32"/>
          <w:szCs w:val="32"/>
          <w:lang w:val="en-US" w:eastAsia="zh-CN" w:bidi="ar-SA"/>
        </w:rPr>
        <w:t>部门</w:t>
      </w:r>
      <w:r>
        <w:rPr>
          <w:rFonts w:hint="default" w:ascii="仿宋_GB2312" w:hAnsi="华文仿宋" w:eastAsia="仿宋_GB2312" w:cs="宋体"/>
          <w:bCs/>
          <w:color w:val="000000"/>
          <w:kern w:val="0"/>
          <w:sz w:val="32"/>
          <w:szCs w:val="32"/>
          <w:lang w:val="en-US" w:eastAsia="zh-CN" w:bidi="ar-SA"/>
        </w:rPr>
        <w:t>预算其他重要事项情况说明</w:t>
      </w:r>
    </w:p>
    <w:p>
      <w:pPr>
        <w:pStyle w:val="3"/>
        <w:spacing w:before="0" w:beforeAutospacing="0" w:after="0" w:afterAutospacing="0" w:line="560" w:lineRule="exact"/>
        <w:ind w:left="1606" w:hanging="1606" w:hangingChars="5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融水苗族自治县城市管理行政执法局</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w:t>
      </w:r>
      <w:r>
        <w:rPr>
          <w:rFonts w:hint="eastAsia" w:ascii="仿宋_GB2312" w:hAnsi="华文仿宋" w:eastAsia="仿宋_GB2312"/>
          <w:bCs/>
          <w:color w:val="000000"/>
          <w:sz w:val="32"/>
          <w:szCs w:val="32"/>
          <w:lang w:eastAsia="zh-CN"/>
        </w:rPr>
        <w:t>部门收支总体情况</w:t>
      </w:r>
      <w:r>
        <w:rPr>
          <w:rFonts w:hint="eastAsia" w:ascii="仿宋_GB2312" w:hAnsi="华文仿宋" w:eastAsia="仿宋_GB2312"/>
          <w:bCs/>
          <w:color w:val="000000"/>
          <w:sz w:val="32"/>
          <w:szCs w:val="32"/>
        </w:rPr>
        <w:t>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rPr>
        <w:t>二、部门收入总体情况</w:t>
      </w:r>
      <w:r>
        <w:rPr>
          <w:rFonts w:hint="eastAsia" w:ascii="仿宋_GB2312" w:hAnsi="华文仿宋" w:eastAsia="仿宋_GB2312"/>
          <w:bCs/>
          <w:color w:val="000000"/>
          <w:sz w:val="32"/>
          <w:szCs w:val="32"/>
          <w:lang w:eastAsia="zh-CN"/>
        </w:rPr>
        <w:t>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三、部门支出总体情况表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四、财政拨款收支总体情况表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rPr>
        <w:t>五、</w:t>
      </w:r>
      <w:r>
        <w:rPr>
          <w:rFonts w:hint="eastAsia" w:ascii="仿宋_GB2312" w:hAnsi="华文仿宋" w:eastAsia="仿宋_GB2312"/>
          <w:bCs/>
          <w:color w:val="000000"/>
          <w:sz w:val="32"/>
          <w:szCs w:val="32"/>
          <w:lang w:eastAsia="zh-CN"/>
        </w:rPr>
        <w:t>一般公共预算支出情况表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rPr>
        <w:t>六、</w:t>
      </w:r>
      <w:r>
        <w:rPr>
          <w:rFonts w:hint="eastAsia" w:ascii="仿宋_GB2312" w:hAnsi="华文仿宋" w:eastAsia="仿宋_GB2312"/>
          <w:bCs/>
          <w:color w:val="000000"/>
          <w:sz w:val="32"/>
          <w:szCs w:val="32"/>
          <w:lang w:eastAsia="zh-CN"/>
        </w:rPr>
        <w:t>一般公共预算基本支出情况表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rPr>
        <w:t>七、</w:t>
      </w:r>
      <w:r>
        <w:rPr>
          <w:rFonts w:hint="eastAsia" w:ascii="仿宋_GB2312" w:hAnsi="华文仿宋" w:eastAsia="仿宋_GB2312"/>
          <w:bCs/>
          <w:color w:val="000000"/>
          <w:sz w:val="32"/>
          <w:szCs w:val="32"/>
          <w:lang w:eastAsia="zh-CN"/>
        </w:rPr>
        <w:t>一般公共预算“三公”经费支出情况表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w:t>
      </w:r>
      <w:r>
        <w:rPr>
          <w:rFonts w:hint="eastAsia" w:ascii="仿宋_GB2312" w:hAnsi="华文仿宋" w:eastAsia="仿宋_GB2312"/>
          <w:bCs/>
          <w:color w:val="000000"/>
          <w:sz w:val="32"/>
          <w:szCs w:val="32"/>
          <w:lang w:eastAsia="zh-CN"/>
        </w:rPr>
        <w:t xml:space="preserve"> 政府性基金预算支出情况</w:t>
      </w:r>
      <w:r>
        <w:rPr>
          <w:rFonts w:hint="eastAsia" w:ascii="仿宋_GB2312" w:hAnsi="华文仿宋" w:eastAsia="仿宋_GB2312"/>
          <w:bCs/>
          <w:color w:val="000000"/>
          <w:sz w:val="32"/>
          <w:szCs w:val="32"/>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320" w:firstLineChars="100"/>
        <w:textAlignment w:val="auto"/>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eastAsia" w:ascii="仿宋_GB2312" w:hAnsi="华文仿宋" w:eastAsia="仿宋_GB2312"/>
          <w:bCs/>
          <w:color w:val="000000"/>
          <w:sz w:val="32"/>
          <w:szCs w:val="32"/>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十一、项目支出预算总表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303</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融水苗族自治县城市管理行政执法局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spacing w:line="520" w:lineRule="exact"/>
        <w:ind w:firstLine="300" w:firstLineChars="100"/>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、贯彻实施国家、自治区和柳州市</w:t>
      </w:r>
      <w:r>
        <w:rPr>
          <w:rFonts w:hint="eastAsia" w:ascii="仿宋_GB2312" w:eastAsia="仿宋_GB2312"/>
          <w:sz w:val="30"/>
          <w:szCs w:val="30"/>
          <w:lang w:eastAsia="zh-CN"/>
        </w:rPr>
        <w:t>关于</w:t>
      </w:r>
      <w:r>
        <w:rPr>
          <w:rFonts w:hint="eastAsia" w:ascii="仿宋_GB2312" w:eastAsia="仿宋_GB2312"/>
          <w:sz w:val="30"/>
          <w:szCs w:val="30"/>
        </w:rPr>
        <w:t>相对集中行使行政处罚权的有关法律、法规、规章和有关政策</w:t>
      </w:r>
      <w:r>
        <w:rPr>
          <w:rFonts w:hint="eastAsia" w:ascii="仿宋_GB2312" w:eastAsia="仿宋_GB2312"/>
          <w:sz w:val="30"/>
          <w:szCs w:val="30"/>
          <w:lang w:eastAsia="zh-CN"/>
        </w:rPr>
        <w:t>，</w:t>
      </w:r>
      <w:r>
        <w:rPr>
          <w:rFonts w:hint="eastAsia" w:ascii="仿宋_GB2312" w:eastAsia="仿宋_GB2312"/>
          <w:sz w:val="30"/>
          <w:szCs w:val="30"/>
        </w:rPr>
        <w:t>组织起草全县城市管理行政执法的规范性文件，制定全县城市管理和城市管理行政执法的责任制度和工作规划</w:t>
      </w:r>
      <w:r>
        <w:rPr>
          <w:rFonts w:hint="eastAsia" w:ascii="仿宋_GB2312" w:eastAsia="仿宋_GB2312"/>
          <w:sz w:val="30"/>
          <w:szCs w:val="30"/>
          <w:lang w:eastAsia="zh-CN"/>
        </w:rPr>
        <w:t>，</w:t>
      </w:r>
      <w:r>
        <w:rPr>
          <w:rFonts w:hint="eastAsia" w:ascii="仿宋_GB2312" w:eastAsia="仿宋_GB2312"/>
          <w:sz w:val="30"/>
          <w:szCs w:val="30"/>
        </w:rPr>
        <w:t>并按管理权限组织实施和监督检查。</w:t>
      </w:r>
    </w:p>
    <w:p>
      <w:pPr>
        <w:spacing w:line="520" w:lineRule="exact"/>
        <w:ind w:firstLine="300" w:firstLineChars="100"/>
        <w:rPr>
          <w:rFonts w:hint="eastAsia" w:ascii="仿宋_GB2312" w:eastAsia="仿宋_GB2312"/>
          <w:sz w:val="30"/>
          <w:szCs w:val="30"/>
        </w:rPr>
      </w:pPr>
      <w:r>
        <w:rPr>
          <w:rFonts w:hint="eastAsia" w:ascii="仿宋_GB2312" w:eastAsia="仿宋_GB2312"/>
          <w:sz w:val="30"/>
          <w:szCs w:val="30"/>
          <w:lang w:eastAsia="zh-CN"/>
        </w:rPr>
        <w:t>（二）</w:t>
      </w:r>
      <w:r>
        <w:rPr>
          <w:rFonts w:hint="eastAsia" w:ascii="仿宋_GB2312" w:eastAsia="仿宋_GB2312"/>
          <w:sz w:val="30"/>
          <w:szCs w:val="30"/>
        </w:rPr>
        <w:t>、融水苗族自治县城市管理行政执法局具有行政执法主体资格，在县城规划区范围内开展城市管理相对集中行政处罚权工作。</w:t>
      </w:r>
    </w:p>
    <w:p>
      <w:pPr>
        <w:spacing w:line="520" w:lineRule="exact"/>
        <w:ind w:firstLine="300" w:firstLineChars="100"/>
        <w:rPr>
          <w:rFonts w:hint="eastAsia" w:ascii="仿宋_GB2312" w:eastAsia="仿宋_GB2312"/>
          <w:sz w:val="30"/>
          <w:szCs w:val="30"/>
        </w:rPr>
      </w:pPr>
      <w:r>
        <w:rPr>
          <w:rFonts w:hint="eastAsia" w:ascii="仿宋_GB2312" w:eastAsia="仿宋_GB2312"/>
          <w:sz w:val="30"/>
          <w:szCs w:val="30"/>
          <w:lang w:eastAsia="zh-CN"/>
        </w:rPr>
        <w:t>（三）</w:t>
      </w:r>
      <w:r>
        <w:rPr>
          <w:rFonts w:hint="eastAsia" w:ascii="仿宋_GB2312" w:eastAsia="仿宋_GB2312"/>
          <w:sz w:val="30"/>
          <w:szCs w:val="30"/>
        </w:rPr>
        <w:t>、承担融水苗族自治县人民政府部署的</w:t>
      </w:r>
      <w:r>
        <w:rPr>
          <w:rFonts w:hint="eastAsia" w:ascii="仿宋_GB2312" w:eastAsia="仿宋_GB2312"/>
          <w:sz w:val="30"/>
          <w:szCs w:val="30"/>
          <w:lang w:eastAsia="zh-CN"/>
        </w:rPr>
        <w:t>全县</w:t>
      </w:r>
      <w:r>
        <w:rPr>
          <w:rFonts w:hint="eastAsia" w:ascii="仿宋_GB2312" w:eastAsia="仿宋_GB2312"/>
          <w:sz w:val="30"/>
          <w:szCs w:val="30"/>
        </w:rPr>
        <w:t>性城市管理专项整治、跨区域执法和重大执法工作，负责与城市管理密切相关的应急管理</w:t>
      </w:r>
      <w:r>
        <w:rPr>
          <w:rFonts w:hint="eastAsia" w:ascii="仿宋_GB2312" w:eastAsia="仿宋_GB2312"/>
          <w:sz w:val="30"/>
          <w:szCs w:val="30"/>
          <w:lang w:eastAsia="zh-CN"/>
        </w:rPr>
        <w:t>、</w:t>
      </w:r>
      <w:r>
        <w:rPr>
          <w:rFonts w:hint="eastAsia" w:ascii="仿宋_GB2312" w:eastAsia="仿宋_GB2312"/>
          <w:sz w:val="30"/>
          <w:szCs w:val="30"/>
        </w:rPr>
        <w:t>综合管理</w:t>
      </w:r>
      <w:r>
        <w:rPr>
          <w:rFonts w:hint="eastAsia" w:ascii="仿宋_GB2312" w:eastAsia="仿宋_GB2312"/>
          <w:sz w:val="30"/>
          <w:szCs w:val="30"/>
          <w:lang w:eastAsia="zh-CN"/>
        </w:rPr>
        <w:t>、</w:t>
      </w:r>
      <w:r>
        <w:rPr>
          <w:rFonts w:hint="eastAsia" w:ascii="仿宋_GB2312" w:eastAsia="仿宋_GB2312"/>
          <w:sz w:val="30"/>
          <w:szCs w:val="30"/>
        </w:rPr>
        <w:t>指导协调</w:t>
      </w:r>
      <w:r>
        <w:rPr>
          <w:rFonts w:hint="eastAsia" w:ascii="仿宋_GB2312" w:eastAsia="仿宋_GB2312"/>
          <w:sz w:val="30"/>
          <w:szCs w:val="30"/>
          <w:lang w:eastAsia="zh-CN"/>
        </w:rPr>
        <w:t>、</w:t>
      </w:r>
      <w:r>
        <w:rPr>
          <w:rFonts w:hint="eastAsia" w:ascii="仿宋_GB2312" w:eastAsia="仿宋_GB2312"/>
          <w:sz w:val="30"/>
          <w:szCs w:val="30"/>
        </w:rPr>
        <w:t>检查监督和考核评定城市管理和城市</w:t>
      </w:r>
      <w:r>
        <w:rPr>
          <w:rFonts w:hint="eastAsia" w:ascii="仿宋_GB2312" w:eastAsia="仿宋_GB2312"/>
          <w:sz w:val="30"/>
          <w:szCs w:val="30"/>
          <w:lang w:eastAsia="zh-CN"/>
        </w:rPr>
        <w:t>管理</w:t>
      </w:r>
      <w:r>
        <w:rPr>
          <w:rFonts w:hint="eastAsia" w:ascii="仿宋_GB2312" w:eastAsia="仿宋_GB2312"/>
          <w:sz w:val="30"/>
          <w:szCs w:val="30"/>
        </w:rPr>
        <w:t xml:space="preserve">行政执法工作，负责全县智慧化城市管理工作。                                                                                                                                                                                                                                                                                                                                                                                                                                                                                                                                                                                                                                                                                                                                                                                                                                                                                                                                                                                                                                                                                                                                                                                                                                                                                                                                                                                                                                                                                                                                                                               </w:t>
      </w:r>
    </w:p>
    <w:p>
      <w:pPr>
        <w:spacing w:line="520" w:lineRule="exact"/>
        <w:ind w:firstLine="300" w:firstLineChars="100"/>
        <w:rPr>
          <w:rFonts w:hint="eastAsia" w:ascii="仿宋_GB2312" w:eastAsia="仿宋_GB2312"/>
          <w:sz w:val="30"/>
          <w:szCs w:val="30"/>
        </w:rPr>
      </w:pPr>
      <w:r>
        <w:rPr>
          <w:rFonts w:hint="eastAsia" w:ascii="仿宋_GB2312" w:eastAsia="仿宋_GB2312"/>
          <w:sz w:val="30"/>
          <w:szCs w:val="30"/>
          <w:lang w:eastAsia="zh-CN"/>
        </w:rPr>
        <w:t>（四）</w:t>
      </w:r>
      <w:r>
        <w:rPr>
          <w:rFonts w:hint="eastAsia" w:ascii="仿宋_GB2312" w:eastAsia="仿宋_GB2312"/>
          <w:sz w:val="30"/>
          <w:szCs w:val="30"/>
        </w:rPr>
        <w:t>、负责对城市管理行政执法人员和城市管理执法协管人员行使职权情况实施督</w:t>
      </w:r>
      <w:r>
        <w:rPr>
          <w:rFonts w:hint="eastAsia" w:ascii="仿宋_GB2312" w:eastAsia="仿宋_GB2312"/>
          <w:sz w:val="30"/>
          <w:szCs w:val="30"/>
          <w:lang w:eastAsia="zh-CN"/>
        </w:rPr>
        <w:t>查</w:t>
      </w:r>
      <w:r>
        <w:rPr>
          <w:rFonts w:hint="eastAsia" w:ascii="仿宋_GB2312" w:eastAsia="仿宋_GB2312"/>
          <w:sz w:val="30"/>
          <w:szCs w:val="30"/>
        </w:rPr>
        <w:t>，受理城市管理方面的投诉。</w:t>
      </w:r>
    </w:p>
    <w:p>
      <w:pPr>
        <w:spacing w:line="520" w:lineRule="exact"/>
        <w:ind w:firstLine="300" w:firstLineChars="100"/>
        <w:rPr>
          <w:rFonts w:hint="eastAsia" w:ascii="仿宋_GB2312" w:eastAsia="仿宋_GB2312"/>
          <w:sz w:val="30"/>
          <w:szCs w:val="30"/>
        </w:rPr>
      </w:pPr>
      <w:r>
        <w:rPr>
          <w:rFonts w:hint="eastAsia" w:ascii="仿宋_GB2312" w:eastAsia="仿宋_GB2312"/>
          <w:sz w:val="30"/>
          <w:szCs w:val="30"/>
          <w:lang w:eastAsia="zh-CN"/>
        </w:rPr>
        <w:t>（五）</w:t>
      </w:r>
      <w:r>
        <w:rPr>
          <w:rFonts w:hint="eastAsia" w:ascii="仿宋_GB2312" w:eastAsia="仿宋_GB2312"/>
          <w:sz w:val="30"/>
          <w:szCs w:val="30"/>
        </w:rPr>
        <w:t>、负责全县城市管理执法协管员招聘工作，负责全县城管执法、环卫和园林路灯队伍的培训</w:t>
      </w:r>
      <w:r>
        <w:rPr>
          <w:rFonts w:hint="eastAsia" w:ascii="仿宋_GB2312" w:eastAsia="仿宋_GB2312"/>
          <w:sz w:val="30"/>
          <w:szCs w:val="30"/>
          <w:lang w:eastAsia="zh-CN"/>
        </w:rPr>
        <w:t>、</w:t>
      </w:r>
      <w:r>
        <w:rPr>
          <w:rFonts w:hint="eastAsia" w:ascii="仿宋_GB2312" w:eastAsia="仿宋_GB2312"/>
          <w:sz w:val="30"/>
          <w:szCs w:val="30"/>
        </w:rPr>
        <w:t>教育</w:t>
      </w:r>
      <w:r>
        <w:rPr>
          <w:rFonts w:hint="eastAsia" w:ascii="仿宋_GB2312" w:eastAsia="仿宋_GB2312"/>
          <w:sz w:val="30"/>
          <w:szCs w:val="30"/>
          <w:lang w:eastAsia="zh-CN"/>
        </w:rPr>
        <w:t>、</w:t>
      </w:r>
      <w:r>
        <w:rPr>
          <w:rFonts w:hint="eastAsia" w:ascii="仿宋_GB2312" w:eastAsia="仿宋_GB2312"/>
          <w:sz w:val="30"/>
          <w:szCs w:val="30"/>
        </w:rPr>
        <w:t>管理工作</w:t>
      </w:r>
      <w:r>
        <w:rPr>
          <w:rFonts w:hint="eastAsia" w:ascii="仿宋_GB2312" w:eastAsia="仿宋_GB2312"/>
          <w:sz w:val="30"/>
          <w:szCs w:val="30"/>
          <w:lang w:eastAsia="zh-CN"/>
        </w:rPr>
        <w:t>，</w:t>
      </w:r>
      <w:r>
        <w:rPr>
          <w:rFonts w:hint="eastAsia" w:ascii="仿宋_GB2312" w:eastAsia="仿宋_GB2312"/>
          <w:sz w:val="30"/>
          <w:szCs w:val="30"/>
        </w:rPr>
        <w:t>负责全县城市管理行政执法人员执法证管理工作。</w:t>
      </w:r>
    </w:p>
    <w:p>
      <w:pPr>
        <w:spacing w:line="520" w:lineRule="exact"/>
        <w:ind w:firstLine="300" w:firstLineChars="100"/>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、负责编制全县市容环卫、县城园林绿化和路灯照明以及户外广告管理工作规划、计划</w:t>
      </w:r>
      <w:r>
        <w:rPr>
          <w:rFonts w:hint="eastAsia" w:ascii="仿宋_GB2312" w:eastAsia="仿宋_GB2312"/>
          <w:sz w:val="30"/>
          <w:szCs w:val="30"/>
          <w:lang w:eastAsia="zh-CN"/>
        </w:rPr>
        <w:t>、</w:t>
      </w:r>
      <w:r>
        <w:rPr>
          <w:rFonts w:hint="eastAsia" w:ascii="仿宋_GB2312" w:eastAsia="仿宋_GB2312"/>
          <w:sz w:val="30"/>
          <w:szCs w:val="30"/>
        </w:rPr>
        <w:t>设计、建设、管理维护</w:t>
      </w:r>
      <w:r>
        <w:rPr>
          <w:rFonts w:hint="eastAsia" w:ascii="仿宋_GB2312" w:eastAsia="仿宋_GB2312"/>
          <w:sz w:val="30"/>
          <w:szCs w:val="30"/>
          <w:lang w:eastAsia="zh-CN"/>
        </w:rPr>
        <w:t>，</w:t>
      </w:r>
      <w:r>
        <w:rPr>
          <w:rFonts w:hint="eastAsia" w:ascii="仿宋_GB2312" w:eastAsia="仿宋_GB2312"/>
          <w:sz w:val="30"/>
          <w:szCs w:val="30"/>
        </w:rPr>
        <w:t>并组织实施。参与县城总体规划、详细规划、控制性规划的编制会审和城市建设项目的初步设计会审，负责规范市容环卫、县城园林绿化和路灯照明管理并对其行业进行监管，指导环卫、县城园林绿化和路灯照明设施建设</w:t>
      </w:r>
      <w:r>
        <w:rPr>
          <w:rFonts w:hint="eastAsia" w:ascii="仿宋_GB2312" w:eastAsia="仿宋_GB2312"/>
          <w:sz w:val="30"/>
          <w:szCs w:val="30"/>
          <w:lang w:eastAsia="zh-CN"/>
        </w:rPr>
        <w:t>，</w:t>
      </w:r>
      <w:r>
        <w:rPr>
          <w:rFonts w:hint="eastAsia" w:ascii="仿宋_GB2312" w:eastAsia="仿宋_GB2312"/>
          <w:sz w:val="30"/>
          <w:szCs w:val="30"/>
        </w:rPr>
        <w:t>负责县人民政府规定的</w:t>
      </w:r>
      <w:r>
        <w:rPr>
          <w:rFonts w:hint="eastAsia" w:ascii="仿宋_GB2312" w:eastAsia="仿宋_GB2312"/>
          <w:sz w:val="30"/>
          <w:szCs w:val="30"/>
          <w:lang w:eastAsia="zh-CN"/>
        </w:rPr>
        <w:t>融</w:t>
      </w:r>
      <w:r>
        <w:rPr>
          <w:rFonts w:hint="eastAsia" w:ascii="仿宋_GB2312" w:eastAsia="仿宋_GB2312"/>
          <w:sz w:val="30"/>
          <w:szCs w:val="30"/>
        </w:rPr>
        <w:t>江</w:t>
      </w:r>
      <w:r>
        <w:rPr>
          <w:rFonts w:hint="eastAsia" w:ascii="仿宋_GB2312" w:eastAsia="仿宋_GB2312"/>
          <w:sz w:val="30"/>
          <w:szCs w:val="30"/>
          <w:lang w:eastAsia="zh-CN"/>
        </w:rPr>
        <w:t>河</w:t>
      </w:r>
      <w:r>
        <w:rPr>
          <w:rFonts w:hint="eastAsia" w:ascii="仿宋_GB2312" w:eastAsia="仿宋_GB2312"/>
          <w:sz w:val="30"/>
          <w:szCs w:val="30"/>
        </w:rPr>
        <w:t>县城城区内的水上保洁管理工作。</w:t>
      </w:r>
    </w:p>
    <w:p>
      <w:pPr>
        <w:spacing w:line="520" w:lineRule="exact"/>
        <w:ind w:firstLine="300" w:firstLineChars="100"/>
        <w:rPr>
          <w:rFonts w:hint="eastAsia" w:ascii="仿宋_GB2312" w:eastAsia="仿宋_GB2312"/>
          <w:sz w:val="30"/>
          <w:szCs w:val="30"/>
        </w:rPr>
      </w:pPr>
      <w:r>
        <w:rPr>
          <w:rFonts w:hint="eastAsia" w:ascii="仿宋_GB2312" w:eastAsia="仿宋_GB2312"/>
          <w:sz w:val="30"/>
          <w:szCs w:val="30"/>
          <w:lang w:val="en-US" w:eastAsia="zh-CN"/>
        </w:rPr>
        <w:t>（七）、</w:t>
      </w:r>
      <w:r>
        <w:rPr>
          <w:rFonts w:hint="eastAsia" w:ascii="仿宋_GB2312" w:eastAsia="仿宋_GB2312"/>
          <w:sz w:val="30"/>
          <w:szCs w:val="30"/>
        </w:rPr>
        <w:t>会同有关部门拟</w:t>
      </w:r>
      <w:r>
        <w:rPr>
          <w:rFonts w:hint="eastAsia" w:ascii="仿宋_GB2312" w:eastAsia="仿宋_GB2312"/>
          <w:sz w:val="30"/>
          <w:szCs w:val="30"/>
          <w:lang w:eastAsia="zh-CN"/>
        </w:rPr>
        <w:t>订</w:t>
      </w:r>
      <w:r>
        <w:rPr>
          <w:rFonts w:hint="eastAsia" w:ascii="仿宋_GB2312" w:eastAsia="仿宋_GB2312"/>
          <w:sz w:val="30"/>
          <w:szCs w:val="30"/>
        </w:rPr>
        <w:t>城市管理和行政执法经费使用计划。</w:t>
      </w:r>
    </w:p>
    <w:p>
      <w:pPr>
        <w:spacing w:line="520" w:lineRule="exact"/>
        <w:ind w:firstLine="300" w:firstLineChars="100"/>
        <w:rPr>
          <w:rFonts w:hint="eastAsia" w:ascii="仿宋_GB2312" w:eastAsia="仿宋_GB2312"/>
          <w:sz w:val="30"/>
          <w:szCs w:val="30"/>
          <w:lang w:eastAsia="zh-CN"/>
        </w:rPr>
      </w:pPr>
      <w:r>
        <w:rPr>
          <w:rFonts w:hint="eastAsia" w:ascii="仿宋_GB2312" w:eastAsia="仿宋_GB2312"/>
          <w:sz w:val="30"/>
          <w:szCs w:val="30"/>
          <w:lang w:eastAsia="zh-CN"/>
        </w:rPr>
        <w:t>（八）、管理县城市管理执法大队、县环境卫生管理站、县园林路灯管理所、县市场发展中心。</w:t>
      </w:r>
    </w:p>
    <w:p>
      <w:pPr>
        <w:spacing w:line="520" w:lineRule="exact"/>
        <w:ind w:firstLine="300" w:firstLineChars="100"/>
        <w:rPr>
          <w:rFonts w:hint="eastAsia" w:ascii="仿宋_GB2312" w:eastAsia="仿宋_GB2312"/>
          <w:sz w:val="30"/>
          <w:szCs w:val="30"/>
          <w:lang w:eastAsia="zh-CN"/>
        </w:rPr>
      </w:pPr>
      <w:r>
        <w:rPr>
          <w:rFonts w:hint="eastAsia" w:ascii="仿宋_GB2312" w:eastAsia="仿宋_GB2312"/>
          <w:sz w:val="30"/>
          <w:szCs w:val="30"/>
          <w:lang w:eastAsia="zh-CN"/>
        </w:rPr>
        <w:t>（九）、完成县委、县人民政府交办的其他任务。</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spacing w:line="560" w:lineRule="exact"/>
        <w:ind w:firstLine="640" w:firstLineChars="200"/>
        <w:jc w:val="left"/>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我</w:t>
      </w:r>
      <w:r>
        <w:rPr>
          <w:rFonts w:hint="eastAsia" w:ascii="仿宋_GB2312" w:hAnsi="华文仿宋" w:eastAsia="仿宋_GB2312"/>
          <w:color w:val="000000"/>
          <w:sz w:val="32"/>
          <w:szCs w:val="32"/>
        </w:rPr>
        <w:t>部门</w:t>
      </w:r>
      <w:r>
        <w:rPr>
          <w:rFonts w:hint="eastAsia" w:ascii="仿宋_GB2312" w:hAnsi="华文仿宋" w:eastAsia="仿宋_GB2312"/>
          <w:color w:val="000000"/>
          <w:sz w:val="32"/>
          <w:szCs w:val="32"/>
          <w:lang w:eastAsia="zh-CN"/>
        </w:rPr>
        <w:t>下设</w:t>
      </w:r>
      <w:r>
        <w:rPr>
          <w:rFonts w:hint="eastAsia" w:ascii="仿宋_GB2312" w:hAnsi="华文仿宋" w:eastAsia="仿宋_GB2312"/>
          <w:color w:val="000000"/>
          <w:sz w:val="32"/>
          <w:szCs w:val="32"/>
          <w:lang w:val="en-US" w:eastAsia="zh-CN"/>
        </w:rPr>
        <w:t>5个单位，分别是：</w:t>
      </w:r>
      <w:r>
        <w:rPr>
          <w:rFonts w:hint="eastAsia" w:ascii="仿宋_GB2312" w:hAnsi="华文仿宋" w:eastAsia="仿宋_GB2312"/>
          <w:color w:val="000000"/>
          <w:sz w:val="32"/>
          <w:szCs w:val="32"/>
          <w:lang w:eastAsia="zh-CN"/>
        </w:rPr>
        <w:t>融水苗族自治县城市管理执法大队、融水苗族自治县城市管理执法信息中心、融水苗族自治县环境卫生管理站、融水苗族自治县园林路灯管理所、融水苗族自治县市场发展中心</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其中，融水苗族自治县城市管理执法大队、融水苗族自治县城市管理执法信息中心没有预算权限，预算执行并入执法局本级；融水苗族自治县环境卫生管理站、融水苗族自治县园林路灯管理所、融水苗族自治县市场发展中心有关账务分别独立核算、预算权限分别独立执行。</w:t>
      </w:r>
    </w:p>
    <w:p>
      <w:pPr>
        <w:spacing w:line="560" w:lineRule="exact"/>
        <w:ind w:firstLine="64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eastAsia="zh-CN"/>
        </w:rPr>
        <w:t>我部门</w:t>
      </w:r>
      <w:r>
        <w:rPr>
          <w:rFonts w:hint="eastAsia" w:ascii="仿宋_GB2312" w:hAnsi="华文仿宋" w:eastAsia="仿宋_GB2312"/>
          <w:color w:val="000000"/>
          <w:sz w:val="32"/>
          <w:szCs w:val="32"/>
        </w:rPr>
        <w:t>行政单位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个，参照公务员管理事业单位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个，全额拨款事业单位</w:t>
      </w:r>
      <w:r>
        <w:rPr>
          <w:rFonts w:hint="eastAsia" w:ascii="仿宋_GB2312" w:hAnsi="华文仿宋" w:eastAsia="仿宋_GB2312"/>
          <w:color w:val="000000"/>
          <w:sz w:val="32"/>
          <w:szCs w:val="32"/>
          <w:lang w:val="en-US" w:eastAsia="zh-CN"/>
        </w:rPr>
        <w:t>4</w:t>
      </w:r>
      <w:r>
        <w:rPr>
          <w:rFonts w:hint="eastAsia" w:ascii="仿宋_GB2312" w:hAnsi="华文仿宋" w:eastAsia="仿宋_GB2312"/>
          <w:color w:val="000000"/>
          <w:sz w:val="32"/>
          <w:szCs w:val="32"/>
        </w:rPr>
        <w:t>个。行政单位分别是</w:t>
      </w:r>
      <w:r>
        <w:rPr>
          <w:rFonts w:hint="eastAsia" w:ascii="仿宋_GB2312" w:hAnsi="华文仿宋" w:eastAsia="仿宋_GB2312"/>
          <w:color w:val="000000"/>
          <w:sz w:val="32"/>
          <w:szCs w:val="32"/>
          <w:lang w:eastAsia="zh-CN"/>
        </w:rPr>
        <w:t>：融水苗族自治县城市管理行政执法局</w:t>
      </w:r>
      <w:r>
        <w:rPr>
          <w:rFonts w:hint="eastAsia" w:ascii="仿宋_GB2312" w:hAnsi="华文仿宋" w:eastAsia="仿宋_GB2312"/>
          <w:color w:val="000000"/>
          <w:sz w:val="32"/>
          <w:szCs w:val="32"/>
        </w:rPr>
        <w:t>。参照公务员管理事业单位分别是</w:t>
      </w:r>
      <w:r>
        <w:rPr>
          <w:rFonts w:hint="eastAsia" w:ascii="仿宋_GB2312" w:hAnsi="华文仿宋" w:eastAsia="仿宋_GB2312"/>
          <w:color w:val="000000"/>
          <w:sz w:val="32"/>
          <w:szCs w:val="32"/>
          <w:lang w:eastAsia="zh-CN"/>
        </w:rPr>
        <w:t>：融水苗族自治县城市管理执法大队</w:t>
      </w:r>
      <w:r>
        <w:rPr>
          <w:rFonts w:hint="eastAsia" w:ascii="仿宋_GB2312" w:hAnsi="华文仿宋" w:eastAsia="仿宋_GB2312"/>
          <w:color w:val="000000"/>
          <w:sz w:val="32"/>
          <w:szCs w:val="32"/>
        </w:rPr>
        <w:t>。全额拨款事业单位分别是：</w:t>
      </w:r>
      <w:r>
        <w:rPr>
          <w:rFonts w:hint="eastAsia" w:ascii="仿宋_GB2312" w:hAnsi="华文仿宋" w:eastAsia="仿宋_GB2312"/>
          <w:color w:val="000000"/>
          <w:sz w:val="32"/>
          <w:szCs w:val="32"/>
          <w:lang w:eastAsia="zh-CN"/>
        </w:rPr>
        <w:t>融水苗族自治县城市管理执法信息中心、融水苗族自治县环境卫生管理站、融水苗族自治县园林路灯管理所、融水苗族自治县市场发展中心</w:t>
      </w:r>
      <w:r>
        <w:rPr>
          <w:rFonts w:hint="eastAsia" w:ascii="仿宋_GB2312" w:hAnsi="华文仿宋" w:eastAsia="仿宋_GB2312"/>
          <w:color w:val="000000"/>
          <w:sz w:val="32"/>
          <w:szCs w:val="32"/>
        </w:rPr>
        <w:t>。机关本级内设科室</w:t>
      </w:r>
      <w:r>
        <w:rPr>
          <w:rFonts w:hint="eastAsia" w:ascii="仿宋_GB2312" w:hAnsi="华文仿宋" w:eastAsia="仿宋_GB2312"/>
          <w:color w:val="000000"/>
          <w:sz w:val="32"/>
          <w:szCs w:val="32"/>
          <w:lang w:eastAsia="zh-CN"/>
        </w:rPr>
        <w:t>分</w:t>
      </w:r>
      <w:r>
        <w:rPr>
          <w:rFonts w:hint="eastAsia" w:ascii="仿宋_GB2312" w:hAnsi="华文仿宋" w:eastAsia="仿宋_GB2312"/>
          <w:color w:val="000000"/>
          <w:sz w:val="32"/>
          <w:szCs w:val="32"/>
        </w:rPr>
        <w:t>别为：</w:t>
      </w:r>
      <w:r>
        <w:rPr>
          <w:rFonts w:hint="eastAsia" w:ascii="仿宋_GB2312" w:hAnsi="华文仿宋" w:eastAsia="仿宋_GB2312"/>
          <w:color w:val="000000"/>
          <w:sz w:val="32"/>
          <w:szCs w:val="32"/>
          <w:lang w:eastAsia="zh-CN"/>
        </w:rPr>
        <w:t>综合股</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项目股</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政策法规股、垃圾治理办、财务股、督查绩效室</w:t>
      </w:r>
      <w:r>
        <w:rPr>
          <w:rFonts w:hint="eastAsia" w:ascii="仿宋_GB2312" w:hAnsi="华文仿宋" w:eastAsia="仿宋_GB2312"/>
          <w:color w:val="000000"/>
          <w:sz w:val="32"/>
          <w:szCs w:val="32"/>
        </w:rPr>
        <w:t>。</w:t>
      </w:r>
    </w:p>
    <w:p>
      <w:pPr>
        <w:keepNext w:val="0"/>
        <w:keepLines w:val="0"/>
        <w:pageBreakBefore w:val="0"/>
        <w:shd w:val="clear"/>
        <w:kinsoku/>
        <w:wordWrap/>
        <w:overflowPunct/>
        <w:topLinePunct w:val="0"/>
        <w:autoSpaceDE/>
        <w:autoSpaceDN/>
        <w:bidi w:val="0"/>
        <w:spacing w:beforeAutospacing="0" w:afterAutospacing="0" w:line="540" w:lineRule="exact"/>
        <w:ind w:left="638" w:leftChars="304"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0" w:firstLineChars="0"/>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0" w:firstLineChars="0"/>
        <w:jc w:val="center"/>
        <w:textAlignment w:val="auto"/>
        <w:rPr>
          <w:rStyle w:val="6"/>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303融水苗族自治县城市管理行政执法</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局2023年部门预算情况说明</w:t>
      </w:r>
    </w:p>
    <w:p>
      <w:pPr>
        <w:keepNext w:val="0"/>
        <w:keepLines w:val="0"/>
        <w:pageBreakBefore w:val="0"/>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收支预算情况说明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3383.35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2481.08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274.98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%，收入包括：</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一般公共预算拨款</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、上年结转结余</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社会保障和就业支出、卫生健康支出、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城乡社区支出、农林水支出、资源勘探工业信息等支出、</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住房保障支出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jc w:val="left"/>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收入预算情况说明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w:t>
      </w:r>
      <w:r>
        <w:rPr>
          <w:rFonts w:hint="eastAsia" w:eastAsia="仿宋_GB2312"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3383.35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2481.08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274.98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1753.33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851.06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94.32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1630.03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1630.03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2023年收入预算总体增加，增加的主要原因：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上年结转结余增加；二是项目预算增加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支出预算情况说明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w:t>
      </w:r>
      <w:r>
        <w:rPr>
          <w:rFonts w:hint="eastAsia" w:eastAsia="仿宋_GB2312"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3383.35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818.33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24.19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42.06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5.42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2565.03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75.81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2439.03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1935.74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jc w:val="left"/>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（一）按支出功能分类科目划分，共分为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社会保障和就业支出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77.55万元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、卫生健康支出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41.74万元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城乡社区支出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1848.90万元</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、农林水支出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1349.63万元</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、资源勘探工业信息等支出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29.00万元</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住房保障支出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36.52万元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社会保障和就业支出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77.55万元，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2.29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9.15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卫生健康支出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41.74万元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5.86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城乡社区支出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1848.90万元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54.65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1091.97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144.26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农林水支出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1349.63万元，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39.89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1349.63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资源勘探工业信息等支出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29.00万元，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0.86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住房保障支出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36.52万元，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2.22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6.47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320" w:firstLineChars="1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818.33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24.19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42.06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5.42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2565.03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75.81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2439.03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1935.74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2023年支出预算总体增加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增加的主要原因：一是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上年结转结余增加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项目预算增加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3383.35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1753.33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1630.03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社会保障和就业支出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77.55万元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、卫生健康支出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41.74万元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城乡社区支出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1848.90万元</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、农林水支出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1349.63万元</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、资源勘探工业信息等支出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29.00万元</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住房保障支出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36.52万元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kern w:val="0"/>
          <w:sz w:val="32"/>
          <w:szCs w:val="32"/>
          <w:highlight w:val="yellow"/>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1753.33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818.33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935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机关事业单位基本养老保险缴费支出60.87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rPr>
        <w:t>在职在编人员</w:t>
      </w:r>
      <w:r>
        <w:rPr>
          <w:rFonts w:hint="eastAsia" w:ascii="仿宋_GB2312" w:hAnsi="华文仿宋" w:eastAsia="仿宋_GB2312"/>
          <w:color w:val="000000"/>
          <w:sz w:val="32"/>
          <w:szCs w:val="32"/>
          <w:lang w:eastAsia="zh-CN"/>
        </w:rPr>
        <w:t>基本养老保险</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其他行政事业单位养老支出16.68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lang w:eastAsia="zh-CN"/>
        </w:rPr>
        <w:t>离退休人员生活补助、物业补助等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行政单位医疗23.74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rPr>
        <w:t>在职在编人员行政单位医疗</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公务员医疗补助18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lang w:val="en-US" w:eastAsia="zh-CN"/>
        </w:rPr>
        <w:t>在职公务员医疗</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五</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行政运行693.75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662.51</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80.92</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rPr>
        <w:t>非编人员工资</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非编人员五险</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其他商品服务支出，夏季高温补贴，意外伤害险</w:t>
      </w:r>
      <w:r>
        <w:rPr>
          <w:rFonts w:hint="eastAsia" w:ascii="仿宋_GB2312" w:hAnsi="华文仿宋" w:eastAsia="仿宋_GB2312"/>
          <w:color w:val="000000"/>
          <w:sz w:val="32"/>
          <w:szCs w:val="32"/>
          <w:lang w:eastAsia="zh-CN"/>
        </w:rPr>
        <w:t>，办公设备购置等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一般行政管理事务31.83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数字化城市管理工作经费、车辆租赁费、数管处置案件手机电话费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城管执法172.42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lang w:eastAsia="zh-CN"/>
        </w:rPr>
        <w:t>执</w:t>
      </w:r>
      <w:r>
        <w:rPr>
          <w:rFonts w:hint="eastAsia" w:ascii="仿宋_GB2312" w:hAnsi="华文仿宋" w:eastAsia="仿宋_GB2312"/>
          <w:color w:val="000000"/>
          <w:sz w:val="32"/>
          <w:szCs w:val="32"/>
        </w:rPr>
        <w:t>城管</w:t>
      </w:r>
      <w:r>
        <w:rPr>
          <w:rFonts w:hint="eastAsia" w:ascii="仿宋_GB2312" w:hAnsi="华文仿宋" w:eastAsia="仿宋_GB2312"/>
          <w:color w:val="000000"/>
          <w:sz w:val="32"/>
          <w:szCs w:val="32"/>
          <w:lang w:eastAsia="zh-CN"/>
        </w:rPr>
        <w:t>执法办案</w:t>
      </w:r>
      <w:r>
        <w:rPr>
          <w:rFonts w:hint="eastAsia" w:ascii="仿宋_GB2312" w:hAnsi="华文仿宋" w:eastAsia="仿宋_GB2312"/>
          <w:color w:val="000000"/>
          <w:sz w:val="32"/>
          <w:szCs w:val="32"/>
        </w:rPr>
        <w:t>经费</w:t>
      </w:r>
      <w:r>
        <w:rPr>
          <w:rFonts w:hint="eastAsia" w:ascii="仿宋_GB2312" w:hAnsi="华文仿宋" w:eastAsia="仿宋_GB2312"/>
          <w:color w:val="000000"/>
          <w:sz w:val="32"/>
          <w:szCs w:val="32"/>
          <w:lang w:eastAsia="zh-CN"/>
        </w:rPr>
        <w:t>、 法律法规宣传、违章广告拆除经费、执法车辆维护费等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八</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其他城乡社区管理事务支出529.11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融水苗族自治县水东新区环卫作业市场化承包项目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九</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其他城乡社区公共设施支出15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市政维护工程、农村垃圾处置设施设备维护费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十</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城乡社区环境卫生106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lang w:eastAsia="zh-CN"/>
        </w:rPr>
        <w:t>县城环</w:t>
      </w:r>
      <w:bookmarkStart w:id="0" w:name="_GoBack"/>
      <w:bookmarkEnd w:id="0"/>
      <w:r>
        <w:rPr>
          <w:rFonts w:hint="eastAsia" w:ascii="仿宋_GB2312" w:hAnsi="华文仿宋" w:eastAsia="仿宋_GB2312"/>
          <w:color w:val="000000"/>
          <w:sz w:val="32"/>
          <w:szCs w:val="32"/>
          <w:lang w:eastAsia="zh-CN"/>
        </w:rPr>
        <w:t>境保洁劳务费、</w:t>
      </w:r>
      <w:r>
        <w:rPr>
          <w:rFonts w:hint="eastAsia" w:ascii="仿宋_GB2312" w:hAnsi="华文仿宋" w:eastAsia="仿宋_GB2312"/>
          <w:color w:val="000000"/>
          <w:sz w:val="32"/>
          <w:szCs w:val="32"/>
        </w:rPr>
        <w:t>市容市貌</w:t>
      </w:r>
      <w:r>
        <w:rPr>
          <w:rFonts w:hint="eastAsia" w:ascii="仿宋_GB2312" w:hAnsi="华文仿宋" w:eastAsia="仿宋_GB2312"/>
          <w:color w:val="000000"/>
          <w:sz w:val="32"/>
          <w:szCs w:val="32"/>
          <w:lang w:eastAsia="zh-CN"/>
        </w:rPr>
        <w:t>警示牌、</w:t>
      </w:r>
      <w:r>
        <w:rPr>
          <w:rFonts w:hint="eastAsia" w:ascii="仿宋_GB2312" w:hAnsi="华文仿宋" w:eastAsia="仿宋_GB2312"/>
          <w:color w:val="000000"/>
          <w:sz w:val="32"/>
          <w:szCs w:val="32"/>
        </w:rPr>
        <w:t>市容市貌</w:t>
      </w:r>
      <w:r>
        <w:rPr>
          <w:rFonts w:hint="eastAsia" w:ascii="仿宋_GB2312" w:hAnsi="华文仿宋" w:eastAsia="仿宋_GB2312"/>
          <w:color w:val="000000"/>
          <w:sz w:val="32"/>
          <w:szCs w:val="32"/>
          <w:lang w:eastAsia="zh-CN"/>
        </w:rPr>
        <w:t>整治经费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十一</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其他城乡社区支出49.4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lang w:eastAsia="zh-CN"/>
        </w:rPr>
        <w:t>非正规垃圾堆放点整治费用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十二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住房公积金36.52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rPr>
        <w:t>在职在编人员住房公积金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818.33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jc w:val="both"/>
        <w:textAlignment w:val="auto"/>
        <w:rPr>
          <w:rFonts w:hint="default" w:ascii="Times New Roman" w:hAnsi="Times New Roman" w:eastAsia="仿宋_GB2312" w:cs="Times New Roman"/>
          <w:bCs/>
          <w:strike/>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737.41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基本工资、津贴补贴、奖金、绩效工资、机关事业单位基本养老保险缴费、职工基本医疗保险缴费、公务员医疗补助缴费、其他社会保障缴费、住房公积金、其他工资福利支出、退休费、奖励金</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80.92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办公费、水费、电费、邮电费、差旅费、维修（护）费、会议费、培训费、公务接待费、福利费、公务用车运行维护费、其他交通费用、其他商品和服务支出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28.67</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29.24</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0.57</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1.95</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0.94</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0" w:firstLineChars="1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27.73</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0.57</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减少</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27.73</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0.57</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减少</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无政府性基金预算支出安排</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无国有资本经营预算支出安排。</w:t>
      </w:r>
    </w:p>
    <w:p>
      <w:pPr>
        <w:keepNext w:val="0"/>
        <w:keepLines w:val="0"/>
        <w:pageBreakBefore w:val="0"/>
        <w:shd w:val="clear"/>
        <w:tabs>
          <w:tab w:val="center" w:pos="4475"/>
        </w:tabs>
        <w:kinsoku/>
        <w:wordWrap/>
        <w:overflowPunct/>
        <w:topLinePunct w:val="0"/>
        <w:autoSpaceDE/>
        <w:autoSpaceDN/>
        <w:bidi w:val="0"/>
        <w:spacing w:line="540" w:lineRule="exact"/>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2023年政府采购预算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24.14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22.53</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1399.38</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政府集中采购预算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24.14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22.53</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1399.38</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分散采购预算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按政府采购项目类型划分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货物类采购预算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24.14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万元，工程类采购预算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万元，服务类采购预算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按政府采购资金来源划分</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一般公共预算安排采购支出预算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24.14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ascii="Times New Roman" w:hAnsi="Times New Roman" w:eastAsia="黑体" w:cs="Times New Roman"/>
          <w:b w:val="0"/>
          <w:bCs w:val="0"/>
          <w:color w:val="000000" w:themeColor="text1"/>
          <w:kern w:val="0"/>
          <w:sz w:val="32"/>
          <w:szCs w:val="32"/>
          <w:highlight w:val="yellow"/>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2023年纳入政府购买服务预算支出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529.11</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万元，其中：通过一般公共预算安排购买服务支出预算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529.11</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万元，通过政府性基金安排购买服务支出预算0万元。</w:t>
      </w:r>
    </w:p>
    <w:p>
      <w:pPr>
        <w:keepNext w:val="0"/>
        <w:keepLines w:val="0"/>
        <w:pageBreakBefore w:val="0"/>
        <w:shd w:val="clear"/>
        <w:tabs>
          <w:tab w:val="center" w:pos="4475"/>
        </w:tabs>
        <w:kinsoku/>
        <w:wordWrap/>
        <w:overflowPunct/>
        <w:topLinePunct w:val="0"/>
        <w:autoSpaceDE/>
        <w:autoSpaceDN/>
        <w:bidi w:val="0"/>
        <w:spacing w:line="540" w:lineRule="exact"/>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textAlignment w:val="auto"/>
        <w:outlineLvl w:val="9"/>
        <w:rPr>
          <w:rFonts w:hint="default" w:eastAsia="仿宋_GB2312"/>
          <w:color w:val="000000" w:themeColor="text1"/>
          <w:kern w:val="2"/>
          <w:sz w:val="32"/>
          <w:szCs w:val="32"/>
          <w:highlight w:val="yellow"/>
          <w:lang w:val="en-US" w:eastAsia="zh-CN"/>
          <w14:textFill>
            <w14:solidFill>
              <w14:schemeClr w14:val="tx1"/>
            </w14:solidFill>
          </w14:textFill>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2023年预算绩效目标公开的项目是融水苗族自治县水东新区环卫作业市场化承包项目，预算支出</w:t>
      </w:r>
      <w:r>
        <w:rPr>
          <w:rFonts w:hint="eastAsia" w:eastAsia="仿宋_GB2312"/>
          <w:bCs/>
          <w:color w:val="000000" w:themeColor="text1"/>
          <w:kern w:val="0"/>
          <w:sz w:val="32"/>
          <w:szCs w:val="32"/>
          <w:highlight w:val="none"/>
          <w:lang w:val="en-US" w:eastAsia="zh-CN"/>
          <w14:textFill>
            <w14:solidFill>
              <w14:schemeClr w14:val="tx1"/>
            </w14:solidFill>
          </w14:textFill>
        </w:rPr>
        <w:t>529.11</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529.11</w:t>
      </w:r>
      <w:r>
        <w:rPr>
          <w:rFonts w:hint="default" w:eastAsia="仿宋_GB2312"/>
          <w:bCs/>
          <w:color w:val="000000" w:themeColor="text1"/>
          <w:kern w:val="0"/>
          <w:sz w:val="32"/>
          <w:szCs w:val="32"/>
          <w:highlight w:val="none"/>
          <w14:textFill>
            <w14:solidFill>
              <w14:schemeClr w14:val="tx1"/>
            </w14:solidFill>
          </w14:textFill>
        </w:rPr>
        <w:t>万元，项目支出绩效目标具体指标设置情况详见</w:t>
      </w:r>
      <w:r>
        <w:rPr>
          <w:rFonts w:hint="eastAsia" w:eastAsia="仿宋_GB2312"/>
          <w:bCs/>
          <w:color w:val="000000" w:themeColor="text1"/>
          <w:kern w:val="0"/>
          <w:sz w:val="32"/>
          <w:szCs w:val="32"/>
          <w:highlight w:val="none"/>
          <w:lang w:eastAsia="zh-CN"/>
          <w14:textFill>
            <w14:solidFill>
              <w14:schemeClr w14:val="tx1"/>
            </w14:solidFill>
          </w14:textFill>
        </w:rPr>
        <w:t>附件</w:t>
      </w:r>
      <w:r>
        <w:rPr>
          <w:rFonts w:hint="eastAsia" w:eastAsia="仿宋_GB2312"/>
          <w:bCs/>
          <w:color w:val="000000" w:themeColor="text1"/>
          <w:kern w:val="0"/>
          <w:sz w:val="32"/>
          <w:szCs w:val="32"/>
          <w:highlight w:val="none"/>
          <w:lang w:val="en-US" w:eastAsia="zh-CN"/>
          <w14:textFill>
            <w14:solidFill>
              <w14:schemeClr w14:val="tx1"/>
            </w14:solidFill>
          </w14:textFill>
        </w:rPr>
        <w:t>4</w:t>
      </w:r>
      <w:r>
        <w:rPr>
          <w:rFonts w:hint="default" w:eastAsia="仿宋_GB2312"/>
          <w:bCs/>
          <w:color w:val="000000" w:themeColor="text1"/>
          <w:kern w:val="0"/>
          <w:sz w:val="32"/>
          <w:szCs w:val="32"/>
          <w:highlight w:val="none"/>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预算其他重要事项情况说明</w:t>
      </w:r>
    </w:p>
    <w:p>
      <w:pPr>
        <w:keepNext w:val="0"/>
        <w:keepLines w:val="0"/>
        <w:pageBreakBefore w:val="0"/>
        <w:shd w:val="clear"/>
        <w:tabs>
          <w:tab w:val="center" w:pos="4475"/>
        </w:tabs>
        <w:kinsoku/>
        <w:wordWrap/>
        <w:overflowPunct/>
        <w:topLinePunct w:val="0"/>
        <w:autoSpaceDE/>
        <w:autoSpaceDN/>
        <w:bidi w:val="0"/>
        <w:spacing w:line="540" w:lineRule="exact"/>
        <w:ind w:firstLine="321" w:firstLineChars="1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default" w:ascii="Times New Roman" w:hAnsi="Times New Roman" w:eastAsia="仿宋_GB2312" w:cs="Times New Roman"/>
          <w:bCs/>
          <w:strike w:val="0"/>
          <w:color w:val="000000" w:themeColor="text1"/>
          <w:kern w:val="0"/>
          <w:sz w:val="32"/>
          <w:szCs w:val="32"/>
          <w:highlight w:val="none"/>
          <w:lang w:val="en-US" w:eastAsia="zh-CN" w:bidi="ar-SA"/>
          <w14:textFill>
            <w14:solidFill>
              <w14:schemeClr w14:val="tx1"/>
            </w14:solidFill>
          </w14:textFill>
        </w:rPr>
        <w:t>行政</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运行预算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80.92</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减少3.88</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下降4.58</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%，主要用于</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办公费、水费、电费、会议费、培训费等</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。行政运行经费</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减少</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的原因：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差旅费、其他交通费用减少。</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321" w:firstLineChars="1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我</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无国有资产占用</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情况</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303融水苗族自治县城市管理行政执法局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2023年部门预算报表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yellow"/>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B15A7"/>
    <w:rsid w:val="0073164B"/>
    <w:rsid w:val="00D17466"/>
    <w:rsid w:val="00DA22F4"/>
    <w:rsid w:val="010E72CB"/>
    <w:rsid w:val="01706EA0"/>
    <w:rsid w:val="01CE3E86"/>
    <w:rsid w:val="02B70580"/>
    <w:rsid w:val="03215A31"/>
    <w:rsid w:val="03685181"/>
    <w:rsid w:val="03A726EF"/>
    <w:rsid w:val="03CF48D0"/>
    <w:rsid w:val="03DA48E8"/>
    <w:rsid w:val="03DF12E7"/>
    <w:rsid w:val="03F47F88"/>
    <w:rsid w:val="042D4C6A"/>
    <w:rsid w:val="04785FE3"/>
    <w:rsid w:val="05315411"/>
    <w:rsid w:val="056501EA"/>
    <w:rsid w:val="05654685"/>
    <w:rsid w:val="056858EB"/>
    <w:rsid w:val="05A567FA"/>
    <w:rsid w:val="05C63706"/>
    <w:rsid w:val="0603356B"/>
    <w:rsid w:val="06322F39"/>
    <w:rsid w:val="06431DD6"/>
    <w:rsid w:val="064829DB"/>
    <w:rsid w:val="06D41534"/>
    <w:rsid w:val="079061F5"/>
    <w:rsid w:val="084C21AB"/>
    <w:rsid w:val="08F74842"/>
    <w:rsid w:val="090C47E8"/>
    <w:rsid w:val="094B7B50"/>
    <w:rsid w:val="09627775"/>
    <w:rsid w:val="098C4D36"/>
    <w:rsid w:val="09F50EE2"/>
    <w:rsid w:val="0A436A63"/>
    <w:rsid w:val="0A7814BB"/>
    <w:rsid w:val="0AC460B7"/>
    <w:rsid w:val="0AFB4013"/>
    <w:rsid w:val="0B355588"/>
    <w:rsid w:val="0B4E601C"/>
    <w:rsid w:val="0BA42369"/>
    <w:rsid w:val="0BB56CC5"/>
    <w:rsid w:val="0C0679C8"/>
    <w:rsid w:val="0C296C83"/>
    <w:rsid w:val="0C822B95"/>
    <w:rsid w:val="0C963462"/>
    <w:rsid w:val="0CB26C81"/>
    <w:rsid w:val="0CE71B86"/>
    <w:rsid w:val="0D4912D9"/>
    <w:rsid w:val="0D627C85"/>
    <w:rsid w:val="0DA26F5D"/>
    <w:rsid w:val="0DD46CBF"/>
    <w:rsid w:val="0E351473"/>
    <w:rsid w:val="0E891C66"/>
    <w:rsid w:val="0EB44575"/>
    <w:rsid w:val="0EBF433E"/>
    <w:rsid w:val="0F14764B"/>
    <w:rsid w:val="0F5A453C"/>
    <w:rsid w:val="0F7A4A71"/>
    <w:rsid w:val="0F9F722F"/>
    <w:rsid w:val="0FAE784A"/>
    <w:rsid w:val="103A162C"/>
    <w:rsid w:val="103F1337"/>
    <w:rsid w:val="1058445F"/>
    <w:rsid w:val="10E243C3"/>
    <w:rsid w:val="110000F0"/>
    <w:rsid w:val="118A2253"/>
    <w:rsid w:val="12761C7C"/>
    <w:rsid w:val="133E099F"/>
    <w:rsid w:val="13453BAE"/>
    <w:rsid w:val="1346162F"/>
    <w:rsid w:val="13A43BC7"/>
    <w:rsid w:val="13DB629F"/>
    <w:rsid w:val="14135500"/>
    <w:rsid w:val="142640D3"/>
    <w:rsid w:val="1451734C"/>
    <w:rsid w:val="148E4E49"/>
    <w:rsid w:val="14B35F82"/>
    <w:rsid w:val="14BA590D"/>
    <w:rsid w:val="14ED7F17"/>
    <w:rsid w:val="1505030B"/>
    <w:rsid w:val="156947AC"/>
    <w:rsid w:val="158A2763"/>
    <w:rsid w:val="15B21729"/>
    <w:rsid w:val="16394E85"/>
    <w:rsid w:val="16406A0E"/>
    <w:rsid w:val="16947E7D"/>
    <w:rsid w:val="1696521E"/>
    <w:rsid w:val="16B40F4B"/>
    <w:rsid w:val="17627DEA"/>
    <w:rsid w:val="178570A5"/>
    <w:rsid w:val="17B67874"/>
    <w:rsid w:val="17EB22CD"/>
    <w:rsid w:val="187E50BF"/>
    <w:rsid w:val="18AA5B83"/>
    <w:rsid w:val="18B118AF"/>
    <w:rsid w:val="18D05E62"/>
    <w:rsid w:val="19061883"/>
    <w:rsid w:val="1A47212C"/>
    <w:rsid w:val="1AC2546B"/>
    <w:rsid w:val="1BAB77F5"/>
    <w:rsid w:val="1C0E6215"/>
    <w:rsid w:val="1C9A7AC8"/>
    <w:rsid w:val="1C9C5BCF"/>
    <w:rsid w:val="1C9C6D7D"/>
    <w:rsid w:val="1CA51C0B"/>
    <w:rsid w:val="1CEB48FE"/>
    <w:rsid w:val="1CEC2380"/>
    <w:rsid w:val="1CF91695"/>
    <w:rsid w:val="1D1E3E53"/>
    <w:rsid w:val="1D7F2BF3"/>
    <w:rsid w:val="1EE16FB7"/>
    <w:rsid w:val="1F2B06B0"/>
    <w:rsid w:val="1F6C111A"/>
    <w:rsid w:val="1F707B20"/>
    <w:rsid w:val="2061072D"/>
    <w:rsid w:val="20945247"/>
    <w:rsid w:val="20C813D6"/>
    <w:rsid w:val="20E56788"/>
    <w:rsid w:val="20EB5CF5"/>
    <w:rsid w:val="2147185A"/>
    <w:rsid w:val="21B76AE0"/>
    <w:rsid w:val="21CD5401"/>
    <w:rsid w:val="21E914AE"/>
    <w:rsid w:val="22004956"/>
    <w:rsid w:val="223C34B6"/>
    <w:rsid w:val="229254E7"/>
    <w:rsid w:val="22AF37F5"/>
    <w:rsid w:val="22AF59F3"/>
    <w:rsid w:val="22D017AB"/>
    <w:rsid w:val="23081905"/>
    <w:rsid w:val="234939F4"/>
    <w:rsid w:val="23516881"/>
    <w:rsid w:val="2363459D"/>
    <w:rsid w:val="236D292E"/>
    <w:rsid w:val="23BB3C36"/>
    <w:rsid w:val="23FA7F94"/>
    <w:rsid w:val="2406762A"/>
    <w:rsid w:val="2476535F"/>
    <w:rsid w:val="24F414B1"/>
    <w:rsid w:val="25284504"/>
    <w:rsid w:val="25E60A39"/>
    <w:rsid w:val="26056D25"/>
    <w:rsid w:val="26444656"/>
    <w:rsid w:val="267351A5"/>
    <w:rsid w:val="269B7263"/>
    <w:rsid w:val="282412E8"/>
    <w:rsid w:val="28975DA4"/>
    <w:rsid w:val="289A6D28"/>
    <w:rsid w:val="28E3364C"/>
    <w:rsid w:val="290B15A7"/>
    <w:rsid w:val="296C7081"/>
    <w:rsid w:val="298D2E39"/>
    <w:rsid w:val="29B015C6"/>
    <w:rsid w:val="29B35277"/>
    <w:rsid w:val="29F66FE5"/>
    <w:rsid w:val="2A16531B"/>
    <w:rsid w:val="2AAE57AC"/>
    <w:rsid w:val="2AD82E5B"/>
    <w:rsid w:val="2B064EE8"/>
    <w:rsid w:val="2B48310F"/>
    <w:rsid w:val="2B8B5D4D"/>
    <w:rsid w:val="2B9B6245"/>
    <w:rsid w:val="2BEF2623"/>
    <w:rsid w:val="2C9A7238"/>
    <w:rsid w:val="2D320A41"/>
    <w:rsid w:val="2D4B28DF"/>
    <w:rsid w:val="2D660F0B"/>
    <w:rsid w:val="2D8404BB"/>
    <w:rsid w:val="2D952F9D"/>
    <w:rsid w:val="2D990460"/>
    <w:rsid w:val="2DED4667"/>
    <w:rsid w:val="2E086516"/>
    <w:rsid w:val="2E3014D6"/>
    <w:rsid w:val="2E994780"/>
    <w:rsid w:val="2F236FED"/>
    <w:rsid w:val="308A4F2F"/>
    <w:rsid w:val="309410C2"/>
    <w:rsid w:val="30EA07CC"/>
    <w:rsid w:val="31381BD0"/>
    <w:rsid w:val="317119AA"/>
    <w:rsid w:val="317503B0"/>
    <w:rsid w:val="31B43718"/>
    <w:rsid w:val="324C0413"/>
    <w:rsid w:val="325767A5"/>
    <w:rsid w:val="326351F9"/>
    <w:rsid w:val="32AB622F"/>
    <w:rsid w:val="331B77E7"/>
    <w:rsid w:val="33B61BE4"/>
    <w:rsid w:val="34654306"/>
    <w:rsid w:val="34825E35"/>
    <w:rsid w:val="34EA24C5"/>
    <w:rsid w:val="353E3FE9"/>
    <w:rsid w:val="35740C40"/>
    <w:rsid w:val="35BC1034"/>
    <w:rsid w:val="35E83ED1"/>
    <w:rsid w:val="36063A32"/>
    <w:rsid w:val="36545D30"/>
    <w:rsid w:val="366F1F2A"/>
    <w:rsid w:val="36A125AC"/>
    <w:rsid w:val="36F75539"/>
    <w:rsid w:val="371D31FA"/>
    <w:rsid w:val="374259B8"/>
    <w:rsid w:val="375A305F"/>
    <w:rsid w:val="37B449F3"/>
    <w:rsid w:val="37EA10BE"/>
    <w:rsid w:val="387E793E"/>
    <w:rsid w:val="397A17A6"/>
    <w:rsid w:val="398A5BF8"/>
    <w:rsid w:val="39AF7CB0"/>
    <w:rsid w:val="39FB0130"/>
    <w:rsid w:val="3A6464DA"/>
    <w:rsid w:val="3A736AF5"/>
    <w:rsid w:val="3B2C04A1"/>
    <w:rsid w:val="3B4C09D6"/>
    <w:rsid w:val="3B634C80"/>
    <w:rsid w:val="3B7019AF"/>
    <w:rsid w:val="3B8B1B40"/>
    <w:rsid w:val="3B9D1A5A"/>
    <w:rsid w:val="3C240A39"/>
    <w:rsid w:val="3C62051E"/>
    <w:rsid w:val="3C75203E"/>
    <w:rsid w:val="3C976972"/>
    <w:rsid w:val="3CC2763E"/>
    <w:rsid w:val="3D8A7087"/>
    <w:rsid w:val="3DCA206F"/>
    <w:rsid w:val="3DDF0D0F"/>
    <w:rsid w:val="3DFD3021"/>
    <w:rsid w:val="3E1C2D91"/>
    <w:rsid w:val="3E2D6890"/>
    <w:rsid w:val="3E3E5EC1"/>
    <w:rsid w:val="3E613867"/>
    <w:rsid w:val="3E6469EA"/>
    <w:rsid w:val="3E7B414F"/>
    <w:rsid w:val="3EE405BD"/>
    <w:rsid w:val="3F0B58E4"/>
    <w:rsid w:val="3F407C75"/>
    <w:rsid w:val="405C4927"/>
    <w:rsid w:val="40DE09B8"/>
    <w:rsid w:val="40F01597"/>
    <w:rsid w:val="410272B3"/>
    <w:rsid w:val="412E4C7F"/>
    <w:rsid w:val="41876612"/>
    <w:rsid w:val="42602A72"/>
    <w:rsid w:val="42683702"/>
    <w:rsid w:val="432C0EC1"/>
    <w:rsid w:val="43441DEB"/>
    <w:rsid w:val="44293363"/>
    <w:rsid w:val="4477536B"/>
    <w:rsid w:val="44C4575F"/>
    <w:rsid w:val="451232E0"/>
    <w:rsid w:val="45826E17"/>
    <w:rsid w:val="459A7D41"/>
    <w:rsid w:val="459C3244"/>
    <w:rsid w:val="45AA6CD7"/>
    <w:rsid w:val="45AC7C5B"/>
    <w:rsid w:val="45B21B65"/>
    <w:rsid w:val="45E14C32"/>
    <w:rsid w:val="45F84858"/>
    <w:rsid w:val="46151C09"/>
    <w:rsid w:val="473B3BEA"/>
    <w:rsid w:val="478E1476"/>
    <w:rsid w:val="48854E86"/>
    <w:rsid w:val="488E3597"/>
    <w:rsid w:val="48E2521F"/>
    <w:rsid w:val="49A21DDA"/>
    <w:rsid w:val="49C8201A"/>
    <w:rsid w:val="4A1932A7"/>
    <w:rsid w:val="4A5072B1"/>
    <w:rsid w:val="4A624ABC"/>
    <w:rsid w:val="4A757BB4"/>
    <w:rsid w:val="4AC92EC2"/>
    <w:rsid w:val="4B3A18ED"/>
    <w:rsid w:val="4BCF496E"/>
    <w:rsid w:val="4C7044F7"/>
    <w:rsid w:val="4CF34BF9"/>
    <w:rsid w:val="4DB35E08"/>
    <w:rsid w:val="4DC1731C"/>
    <w:rsid w:val="4DC97FAC"/>
    <w:rsid w:val="4DD12E39"/>
    <w:rsid w:val="4E2B156B"/>
    <w:rsid w:val="4E6C3038"/>
    <w:rsid w:val="4FAE4949"/>
    <w:rsid w:val="4FE2609D"/>
    <w:rsid w:val="4FE90FDC"/>
    <w:rsid w:val="50182CF3"/>
    <w:rsid w:val="507D0499"/>
    <w:rsid w:val="50BA3B81"/>
    <w:rsid w:val="50DF2ABC"/>
    <w:rsid w:val="51D442CE"/>
    <w:rsid w:val="52545EA1"/>
    <w:rsid w:val="53194965"/>
    <w:rsid w:val="53BF3E78"/>
    <w:rsid w:val="54373AB8"/>
    <w:rsid w:val="545952F2"/>
    <w:rsid w:val="54766E20"/>
    <w:rsid w:val="548C3CFC"/>
    <w:rsid w:val="54E570D4"/>
    <w:rsid w:val="5511121D"/>
    <w:rsid w:val="556D1A0F"/>
    <w:rsid w:val="55F73A99"/>
    <w:rsid w:val="56432893"/>
    <w:rsid w:val="57106764"/>
    <w:rsid w:val="5728768E"/>
    <w:rsid w:val="57A87BDC"/>
    <w:rsid w:val="57EE3CE3"/>
    <w:rsid w:val="5812180A"/>
    <w:rsid w:val="5923074E"/>
    <w:rsid w:val="59502516"/>
    <w:rsid w:val="59910D81"/>
    <w:rsid w:val="59DC597E"/>
    <w:rsid w:val="5A7238F3"/>
    <w:rsid w:val="5A873008"/>
    <w:rsid w:val="5AA93E62"/>
    <w:rsid w:val="5B1024F7"/>
    <w:rsid w:val="5B3823B7"/>
    <w:rsid w:val="5B967EAF"/>
    <w:rsid w:val="5BD91F40"/>
    <w:rsid w:val="5CAD2BDB"/>
    <w:rsid w:val="5D215CF1"/>
    <w:rsid w:val="5D2C0268"/>
    <w:rsid w:val="5D724260"/>
    <w:rsid w:val="5E2C368E"/>
    <w:rsid w:val="5E5757D7"/>
    <w:rsid w:val="5E6315EA"/>
    <w:rsid w:val="5E6E1B79"/>
    <w:rsid w:val="5EE31B38"/>
    <w:rsid w:val="5EEC0249"/>
    <w:rsid w:val="5F3B384B"/>
    <w:rsid w:val="5F9F7CED"/>
    <w:rsid w:val="60692C39"/>
    <w:rsid w:val="60A73DA2"/>
    <w:rsid w:val="60F8520B"/>
    <w:rsid w:val="61433C21"/>
    <w:rsid w:val="616C280F"/>
    <w:rsid w:val="61D114C6"/>
    <w:rsid w:val="61D2000C"/>
    <w:rsid w:val="634877EE"/>
    <w:rsid w:val="63A42106"/>
    <w:rsid w:val="63FA5093"/>
    <w:rsid w:val="64C53862"/>
    <w:rsid w:val="650E4F5B"/>
    <w:rsid w:val="65660E08"/>
    <w:rsid w:val="657A208C"/>
    <w:rsid w:val="65827499"/>
    <w:rsid w:val="65F1774C"/>
    <w:rsid w:val="65FB38DF"/>
    <w:rsid w:val="66417A9E"/>
    <w:rsid w:val="66613283"/>
    <w:rsid w:val="66BD399D"/>
    <w:rsid w:val="66CD03B4"/>
    <w:rsid w:val="66CF2882"/>
    <w:rsid w:val="66DE1953"/>
    <w:rsid w:val="67837EE3"/>
    <w:rsid w:val="678A3FEA"/>
    <w:rsid w:val="67B05389"/>
    <w:rsid w:val="67EE3D0F"/>
    <w:rsid w:val="680726BA"/>
    <w:rsid w:val="681C130B"/>
    <w:rsid w:val="688F58A1"/>
    <w:rsid w:val="68CB5C7C"/>
    <w:rsid w:val="68F42D05"/>
    <w:rsid w:val="69162878"/>
    <w:rsid w:val="694862F2"/>
    <w:rsid w:val="699243C0"/>
    <w:rsid w:val="6A360751"/>
    <w:rsid w:val="6AF44007"/>
    <w:rsid w:val="6B513865"/>
    <w:rsid w:val="6B5A17AD"/>
    <w:rsid w:val="6B726E54"/>
    <w:rsid w:val="6B896A79"/>
    <w:rsid w:val="6BA94DAF"/>
    <w:rsid w:val="6BB021BC"/>
    <w:rsid w:val="6CF82A29"/>
    <w:rsid w:val="6D0A6F75"/>
    <w:rsid w:val="6D6E1218"/>
    <w:rsid w:val="6D717C1E"/>
    <w:rsid w:val="6DB825F8"/>
    <w:rsid w:val="6DC16D93"/>
    <w:rsid w:val="6E023C8A"/>
    <w:rsid w:val="6E4E0055"/>
    <w:rsid w:val="6E613CA3"/>
    <w:rsid w:val="6F651353"/>
    <w:rsid w:val="6FA355B4"/>
    <w:rsid w:val="6FAB07C2"/>
    <w:rsid w:val="6FAB0BB3"/>
    <w:rsid w:val="70C15D8C"/>
    <w:rsid w:val="71275730"/>
    <w:rsid w:val="717F3BC0"/>
    <w:rsid w:val="71E5266B"/>
    <w:rsid w:val="72693B8A"/>
    <w:rsid w:val="72850EF0"/>
    <w:rsid w:val="72E2521B"/>
    <w:rsid w:val="72F90EAF"/>
    <w:rsid w:val="737D3686"/>
    <w:rsid w:val="739358D2"/>
    <w:rsid w:val="739A6CA9"/>
    <w:rsid w:val="74200443"/>
    <w:rsid w:val="74504CE3"/>
    <w:rsid w:val="748E0554"/>
    <w:rsid w:val="749B3E5E"/>
    <w:rsid w:val="749E41BF"/>
    <w:rsid w:val="75001604"/>
    <w:rsid w:val="75032589"/>
    <w:rsid w:val="753529BB"/>
    <w:rsid w:val="75C96ACE"/>
    <w:rsid w:val="75ED2186"/>
    <w:rsid w:val="761B77D2"/>
    <w:rsid w:val="764741E2"/>
    <w:rsid w:val="764F0F26"/>
    <w:rsid w:val="76542E2F"/>
    <w:rsid w:val="76691AD0"/>
    <w:rsid w:val="766D12EF"/>
    <w:rsid w:val="76820CB3"/>
    <w:rsid w:val="76A07A2B"/>
    <w:rsid w:val="76B344CD"/>
    <w:rsid w:val="770C03DF"/>
    <w:rsid w:val="770D5E61"/>
    <w:rsid w:val="77933B3B"/>
    <w:rsid w:val="7825692D"/>
    <w:rsid w:val="78E1125F"/>
    <w:rsid w:val="790C33A8"/>
    <w:rsid w:val="791446C5"/>
    <w:rsid w:val="791E10C4"/>
    <w:rsid w:val="79CC46E0"/>
    <w:rsid w:val="7A277378"/>
    <w:rsid w:val="7A8E221F"/>
    <w:rsid w:val="7A9F5D3D"/>
    <w:rsid w:val="7AFD3B58"/>
    <w:rsid w:val="7B7A3121"/>
    <w:rsid w:val="7B7E53AB"/>
    <w:rsid w:val="7C2D424A"/>
    <w:rsid w:val="7C6C17B0"/>
    <w:rsid w:val="7C6F2735"/>
    <w:rsid w:val="7C964B73"/>
    <w:rsid w:val="7CAF7C9B"/>
    <w:rsid w:val="7D017AA5"/>
    <w:rsid w:val="7DFD0C42"/>
    <w:rsid w:val="7E734104"/>
    <w:rsid w:val="7E765088"/>
    <w:rsid w:val="7E8B75AC"/>
    <w:rsid w:val="7EA11750"/>
    <w:rsid w:val="7EA67DD6"/>
    <w:rsid w:val="7EBD57FD"/>
    <w:rsid w:val="7EC00980"/>
    <w:rsid w:val="7F79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cp:lastPrinted>2023-05-05T09:16:00Z</cp:lastPrinted>
  <dcterms:modified xsi:type="dcterms:W3CDTF">2023-05-22T09:48:00Z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39AA5EF46299460690C56DD344E02F39</vt:lpwstr>
  </property>
</Properties>
</file>