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sz w:val="32"/>
          <w:szCs w:val="32"/>
        </w:rPr>
      </w:pPr>
      <w:bookmarkStart w:id="0" w:name="_GoBack"/>
      <w:bookmarkEnd w:id="0"/>
    </w:p>
    <w:p>
      <w:pPr>
        <w:rPr>
          <w:rFonts w:ascii="黑体" w:eastAsia="黑体" w:cs="ArialUnicodeMS"/>
          <w:sz w:val="72"/>
          <w:szCs w:val="72"/>
        </w:rPr>
      </w:pPr>
    </w:p>
    <w:p>
      <w:pPr>
        <w:rPr>
          <w:rFonts w:ascii="黑体" w:eastAsia="黑体" w:cs="ArialUnicodeMS"/>
          <w:sz w:val="72"/>
          <w:szCs w:val="72"/>
        </w:rPr>
      </w:pPr>
    </w:p>
    <w:p>
      <w:pPr>
        <w:jc w:val="center"/>
        <w:rPr>
          <w:rFonts w:ascii="黑体" w:hAnsi="黑体" w:eastAsia="黑体"/>
          <w:bCs/>
          <w:color w:val="000000"/>
          <w:sz w:val="52"/>
          <w:szCs w:val="52"/>
          <w:lang w:eastAsia="zh-CN"/>
        </w:rPr>
      </w:pPr>
      <w:r>
        <w:rPr>
          <w:rFonts w:hint="eastAsia" w:ascii="黑体" w:eastAsia="黑体" w:cs="ArialUnicodeMS"/>
          <w:sz w:val="52"/>
          <w:szCs w:val="52"/>
          <w:lang w:eastAsia="zh-CN"/>
        </w:rPr>
        <w:t>融水苗族自治县</w:t>
      </w:r>
      <w:r>
        <w:rPr>
          <w:rFonts w:hint="eastAsia" w:ascii="黑体" w:hAnsi="黑体" w:eastAsia="黑体"/>
          <w:bCs/>
          <w:color w:val="000000"/>
          <w:sz w:val="52"/>
          <w:szCs w:val="52"/>
          <w:lang w:eastAsia="zh-CN"/>
        </w:rPr>
        <w:t>人民医院</w:t>
      </w:r>
    </w:p>
    <w:p>
      <w:pPr>
        <w:jc w:val="center"/>
        <w:rPr>
          <w:rFonts w:ascii="黑体" w:eastAsia="黑体" w:cs="ArialUnicodeMS"/>
          <w:sz w:val="52"/>
          <w:szCs w:val="52"/>
          <w:lang w:eastAsia="zh-CN"/>
        </w:rPr>
      </w:pPr>
      <w:r>
        <w:rPr>
          <w:rFonts w:hint="eastAsia" w:ascii="黑体" w:eastAsia="黑体"/>
          <w:sz w:val="52"/>
          <w:szCs w:val="52"/>
          <w:lang w:eastAsia="zh-CN"/>
        </w:rPr>
        <w:t>2020</w:t>
      </w:r>
      <w:r>
        <w:rPr>
          <w:rFonts w:hint="eastAsia" w:ascii="黑体" w:eastAsia="黑体" w:cs="ArialUnicodeMS"/>
          <w:sz w:val="52"/>
          <w:szCs w:val="52"/>
          <w:lang w:eastAsia="zh-CN"/>
        </w:rPr>
        <w:t>年度部门决算</w:t>
      </w:r>
    </w:p>
    <w:p>
      <w:pPr>
        <w:rPr>
          <w:rFonts w:ascii="ArialUnicodeMS" w:eastAsia="ArialUnicodeMS" w:cs="ArialUnicodeMS"/>
          <w:sz w:val="84"/>
          <w:szCs w:val="84"/>
          <w:lang w:eastAsia="zh-CN"/>
        </w:rPr>
      </w:pPr>
    </w:p>
    <w:p>
      <w:pPr>
        <w:rPr>
          <w:rFonts w:ascii="ArialUnicodeMS" w:eastAsia="ArialUnicodeMS" w:cs="ArialUnicodeMS"/>
          <w:sz w:val="84"/>
          <w:szCs w:val="84"/>
          <w:lang w:eastAsia="zh-CN"/>
        </w:rPr>
      </w:pPr>
    </w:p>
    <w:p>
      <w:pPr>
        <w:rPr>
          <w:rFonts w:ascii="ArialUnicodeMS" w:eastAsia="ArialUnicodeMS" w:cs="ArialUnicodeMS"/>
          <w:sz w:val="84"/>
          <w:szCs w:val="84"/>
          <w:lang w:eastAsia="zh-CN"/>
        </w:rPr>
      </w:pPr>
    </w:p>
    <w:p>
      <w:pPr>
        <w:rPr>
          <w:rFonts w:ascii="ArialUnicodeMS" w:eastAsia="ArialUnicodeMS" w:cs="ArialUnicodeMS"/>
          <w:sz w:val="84"/>
          <w:szCs w:val="84"/>
          <w:lang w:eastAsia="zh-CN"/>
        </w:rPr>
      </w:pPr>
    </w:p>
    <w:p>
      <w:pPr>
        <w:rPr>
          <w:rFonts w:ascii="ArialUnicodeMS" w:eastAsia="ArialUnicodeMS" w:cs="ArialUnicodeMS"/>
          <w:sz w:val="84"/>
          <w:szCs w:val="84"/>
          <w:lang w:eastAsia="zh-CN"/>
        </w:rPr>
      </w:pPr>
    </w:p>
    <w:p>
      <w:pPr>
        <w:jc w:val="center"/>
        <w:rPr>
          <w:rFonts w:ascii="黑体" w:eastAsia="黑体" w:cs="黑体"/>
          <w:sz w:val="44"/>
          <w:szCs w:val="44"/>
          <w:lang w:eastAsia="zh-CN"/>
        </w:rPr>
      </w:pPr>
    </w:p>
    <w:p>
      <w:pPr>
        <w:ind w:firstLine="646"/>
        <w:jc w:val="center"/>
        <w:rPr>
          <w:rFonts w:ascii="方正小标宋简体" w:eastAsia="方正小标宋简体"/>
          <w:b/>
          <w:sz w:val="44"/>
          <w:szCs w:val="44"/>
          <w:lang w:eastAsia="zh-CN"/>
        </w:rPr>
      </w:pPr>
      <w:r>
        <w:rPr>
          <w:rFonts w:hint="eastAsia" w:ascii="方正小标宋简体" w:eastAsia="方正小标宋简体"/>
          <w:b/>
          <w:sz w:val="44"/>
          <w:szCs w:val="44"/>
          <w:lang w:eastAsia="zh-CN"/>
        </w:rPr>
        <w:t>目    录</w:t>
      </w:r>
    </w:p>
    <w:p>
      <w:pPr>
        <w:ind w:firstLine="645"/>
        <w:rPr>
          <w:rFonts w:ascii="仿宋_GB2312" w:eastAsia="仿宋_GB2312"/>
          <w:b/>
          <w:sz w:val="32"/>
          <w:szCs w:val="32"/>
          <w:lang w:eastAsia="zh-CN"/>
        </w:rPr>
      </w:pPr>
    </w:p>
    <w:p>
      <w:pPr>
        <w:ind w:firstLine="645"/>
        <w:rPr>
          <w:rFonts w:ascii="仿宋_GB2312" w:eastAsia="仿宋_GB2312"/>
          <w:b/>
          <w:sz w:val="32"/>
          <w:szCs w:val="32"/>
          <w:lang w:eastAsia="zh-CN"/>
        </w:rPr>
      </w:pPr>
      <w:r>
        <w:rPr>
          <w:rFonts w:hint="eastAsia" w:ascii="仿宋_GB2312" w:eastAsia="仿宋_GB2312"/>
          <w:b/>
          <w:sz w:val="32"/>
          <w:szCs w:val="32"/>
          <w:lang w:eastAsia="zh-CN"/>
        </w:rPr>
        <w:t>第一部分：</w:t>
      </w:r>
      <w:r>
        <w:rPr>
          <w:rFonts w:hint="eastAsia" w:ascii="仿宋_GB2312" w:hAnsi="黑体" w:eastAsia="仿宋_GB2312"/>
          <w:b/>
          <w:bCs/>
          <w:color w:val="000000"/>
          <w:sz w:val="32"/>
          <w:szCs w:val="32"/>
          <w:u w:val="single"/>
          <w:lang w:eastAsia="zh-CN"/>
        </w:rPr>
        <w:t xml:space="preserve">  融水苗族自治县人民医院  </w:t>
      </w:r>
      <w:r>
        <w:rPr>
          <w:rFonts w:hint="eastAsia" w:ascii="仿宋_GB2312" w:eastAsia="仿宋_GB2312"/>
          <w:b/>
          <w:sz w:val="32"/>
          <w:szCs w:val="32"/>
          <w:lang w:eastAsia="zh-CN"/>
        </w:rPr>
        <w:t>概况</w:t>
      </w:r>
    </w:p>
    <w:p>
      <w:pPr>
        <w:ind w:firstLine="645"/>
        <w:rPr>
          <w:rFonts w:ascii="仿宋_GB2312" w:eastAsia="仿宋_GB2312"/>
          <w:sz w:val="32"/>
          <w:szCs w:val="32"/>
          <w:lang w:eastAsia="zh-CN"/>
        </w:rPr>
      </w:pPr>
      <w:r>
        <w:rPr>
          <w:rFonts w:hint="eastAsia" w:ascii="仿宋_GB2312" w:eastAsia="仿宋_GB2312"/>
          <w:sz w:val="32"/>
          <w:szCs w:val="32"/>
          <w:lang w:eastAsia="zh-CN"/>
        </w:rPr>
        <w:t>一、部门职责</w:t>
      </w:r>
    </w:p>
    <w:p>
      <w:pPr>
        <w:ind w:firstLine="645"/>
        <w:rPr>
          <w:rFonts w:ascii="仿宋_GB2312" w:eastAsia="仿宋_GB2312"/>
          <w:sz w:val="32"/>
          <w:szCs w:val="32"/>
          <w:lang w:eastAsia="zh-CN"/>
        </w:rPr>
      </w:pPr>
      <w:r>
        <w:rPr>
          <w:rFonts w:hint="eastAsia" w:ascii="仿宋_GB2312" w:eastAsia="仿宋_GB2312"/>
          <w:sz w:val="32"/>
          <w:szCs w:val="32"/>
          <w:lang w:eastAsia="zh-CN"/>
        </w:rPr>
        <w:t>二、机构设置</w:t>
      </w:r>
    </w:p>
    <w:p>
      <w:pPr>
        <w:ind w:firstLine="645"/>
        <w:rPr>
          <w:rFonts w:ascii="仿宋_GB2312" w:eastAsia="仿宋_GB2312"/>
          <w:b/>
          <w:sz w:val="32"/>
          <w:szCs w:val="32"/>
          <w:lang w:eastAsia="zh-CN"/>
        </w:rPr>
      </w:pPr>
      <w:r>
        <w:rPr>
          <w:rFonts w:hint="eastAsia" w:ascii="仿宋_GB2312" w:eastAsia="仿宋_GB2312"/>
          <w:b/>
          <w:sz w:val="32"/>
          <w:szCs w:val="32"/>
          <w:lang w:eastAsia="zh-CN"/>
        </w:rPr>
        <w:t>第二部分：</w:t>
      </w:r>
      <w:r>
        <w:rPr>
          <w:rFonts w:hint="eastAsia" w:ascii="仿宋_GB2312" w:hAnsi="黑体" w:eastAsia="仿宋_GB2312"/>
          <w:b/>
          <w:bCs/>
          <w:color w:val="000000"/>
          <w:sz w:val="32"/>
          <w:szCs w:val="32"/>
          <w:u w:val="single"/>
          <w:lang w:eastAsia="zh-CN"/>
        </w:rPr>
        <w:t>融水苗族自治县人民医院</w:t>
      </w:r>
      <w:r>
        <w:rPr>
          <w:rFonts w:hint="eastAsia" w:ascii="仿宋_GB2312" w:eastAsia="仿宋_GB2312"/>
          <w:b/>
          <w:sz w:val="32"/>
          <w:szCs w:val="32"/>
          <w:lang w:eastAsia="zh-CN"/>
        </w:rPr>
        <w:t>2020年度部门决算报表</w:t>
      </w:r>
    </w:p>
    <w:p>
      <w:pPr>
        <w:ind w:left="645"/>
        <w:rPr>
          <w:rFonts w:ascii="仿宋_GB2312" w:eastAsia="仿宋_GB2312"/>
          <w:sz w:val="32"/>
          <w:szCs w:val="32"/>
          <w:lang w:eastAsia="zh-CN"/>
        </w:rPr>
      </w:pPr>
      <w:r>
        <w:rPr>
          <w:rFonts w:hint="eastAsia" w:ascii="仿宋_GB2312" w:eastAsia="仿宋_GB2312"/>
          <w:sz w:val="32"/>
          <w:szCs w:val="32"/>
          <w:lang w:eastAsia="zh-CN"/>
        </w:rPr>
        <w:t>表一：收入支出决算总表</w:t>
      </w:r>
    </w:p>
    <w:p>
      <w:pPr>
        <w:ind w:left="645"/>
        <w:rPr>
          <w:rFonts w:ascii="仿宋_GB2312" w:eastAsia="仿宋_GB2312"/>
          <w:sz w:val="32"/>
          <w:szCs w:val="32"/>
          <w:lang w:eastAsia="zh-CN"/>
        </w:rPr>
      </w:pPr>
      <w:r>
        <w:rPr>
          <w:rFonts w:hint="eastAsia" w:ascii="仿宋_GB2312" w:eastAsia="仿宋_GB2312"/>
          <w:sz w:val="32"/>
          <w:szCs w:val="32"/>
          <w:lang w:eastAsia="zh-CN"/>
        </w:rPr>
        <w:t>表二：收入决算表</w:t>
      </w:r>
    </w:p>
    <w:p>
      <w:pPr>
        <w:ind w:left="645"/>
        <w:rPr>
          <w:rFonts w:ascii="仿宋_GB2312" w:eastAsia="仿宋_GB2312"/>
          <w:sz w:val="32"/>
          <w:szCs w:val="32"/>
          <w:lang w:eastAsia="zh-CN"/>
        </w:rPr>
      </w:pPr>
      <w:r>
        <w:rPr>
          <w:rFonts w:hint="eastAsia" w:ascii="仿宋_GB2312" w:eastAsia="仿宋_GB2312"/>
          <w:sz w:val="32"/>
          <w:szCs w:val="32"/>
          <w:lang w:eastAsia="zh-CN"/>
        </w:rPr>
        <w:t>表三：支出决算表</w:t>
      </w:r>
    </w:p>
    <w:p>
      <w:pPr>
        <w:ind w:left="645"/>
        <w:rPr>
          <w:rFonts w:ascii="仿宋_GB2312" w:eastAsia="仿宋_GB2312"/>
          <w:sz w:val="32"/>
          <w:szCs w:val="32"/>
          <w:lang w:eastAsia="zh-CN"/>
        </w:rPr>
      </w:pPr>
      <w:r>
        <w:rPr>
          <w:rFonts w:hint="eastAsia" w:ascii="仿宋_GB2312" w:eastAsia="仿宋_GB2312"/>
          <w:sz w:val="32"/>
          <w:szCs w:val="32"/>
          <w:lang w:eastAsia="zh-CN"/>
        </w:rPr>
        <w:t>表四：财政拨款收入支出决算总表</w:t>
      </w:r>
    </w:p>
    <w:p>
      <w:pPr>
        <w:ind w:left="645"/>
        <w:rPr>
          <w:rFonts w:ascii="仿宋_GB2312" w:eastAsia="仿宋_GB2312"/>
          <w:sz w:val="32"/>
          <w:szCs w:val="32"/>
          <w:lang w:eastAsia="zh-CN"/>
        </w:rPr>
      </w:pPr>
      <w:r>
        <w:rPr>
          <w:rFonts w:hint="eastAsia" w:ascii="仿宋_GB2312" w:eastAsia="仿宋_GB2312"/>
          <w:sz w:val="32"/>
          <w:szCs w:val="32"/>
          <w:lang w:eastAsia="zh-CN"/>
        </w:rPr>
        <w:t>表五：一般公共预算财政拨款支出决算表</w:t>
      </w:r>
    </w:p>
    <w:p>
      <w:pPr>
        <w:ind w:left="645"/>
        <w:rPr>
          <w:rFonts w:ascii="仿宋_GB2312" w:eastAsia="仿宋_GB2312"/>
          <w:sz w:val="32"/>
          <w:szCs w:val="32"/>
          <w:lang w:eastAsia="zh-CN"/>
        </w:rPr>
      </w:pPr>
      <w:r>
        <w:rPr>
          <w:rFonts w:hint="eastAsia" w:ascii="仿宋_GB2312" w:eastAsia="仿宋_GB2312"/>
          <w:sz w:val="32"/>
          <w:szCs w:val="32"/>
          <w:lang w:eastAsia="zh-CN"/>
        </w:rPr>
        <w:t>表六：一般公共预算财政拨款基本支出决算表</w:t>
      </w:r>
    </w:p>
    <w:p>
      <w:pPr>
        <w:ind w:left="645"/>
        <w:rPr>
          <w:rFonts w:ascii="仿宋_GB2312" w:eastAsia="仿宋_GB2312"/>
          <w:sz w:val="32"/>
          <w:szCs w:val="32"/>
          <w:lang w:eastAsia="zh-CN"/>
        </w:rPr>
      </w:pPr>
      <w:r>
        <w:rPr>
          <w:rFonts w:hint="eastAsia" w:ascii="仿宋_GB2312" w:eastAsia="仿宋_GB2312"/>
          <w:sz w:val="32"/>
          <w:szCs w:val="32"/>
          <w:lang w:eastAsia="zh-CN"/>
        </w:rPr>
        <w:t>表七：一般公共预算财政拨款 “</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w:t>
      </w:r>
      <w:r>
        <w:rPr>
          <w:rFonts w:hint="eastAsia" w:ascii="仿宋_GB2312" w:eastAsia="仿宋_GB2312"/>
          <w:sz w:val="32"/>
          <w:szCs w:val="32"/>
          <w:lang w:eastAsia="zh-CN"/>
        </w:rPr>
        <w:t>支出决算表</w:t>
      </w:r>
    </w:p>
    <w:p>
      <w:pPr>
        <w:ind w:left="645"/>
        <w:rPr>
          <w:rFonts w:ascii="仿宋_GB2312" w:eastAsia="仿宋_GB2312"/>
          <w:sz w:val="32"/>
          <w:szCs w:val="32"/>
          <w:lang w:eastAsia="zh-CN"/>
        </w:rPr>
      </w:pPr>
      <w:r>
        <w:rPr>
          <w:rFonts w:hint="eastAsia" w:ascii="仿宋_GB2312" w:eastAsia="仿宋_GB2312"/>
          <w:sz w:val="32"/>
          <w:szCs w:val="32"/>
          <w:lang w:eastAsia="zh-CN"/>
        </w:rPr>
        <w:t>表八：政府性基金</w:t>
      </w:r>
      <w:r>
        <w:rPr>
          <w:rFonts w:hint="eastAsia" w:ascii="仿宋_GB2312" w:hAnsi="黑体" w:eastAsia="仿宋_GB2312"/>
          <w:sz w:val="32"/>
          <w:szCs w:val="32"/>
          <w:lang w:eastAsia="zh-CN"/>
        </w:rPr>
        <w:t>预算财政拨款</w:t>
      </w:r>
      <w:r>
        <w:rPr>
          <w:rFonts w:hint="eastAsia" w:ascii="仿宋_GB2312" w:eastAsia="仿宋_GB2312"/>
          <w:sz w:val="32"/>
          <w:szCs w:val="32"/>
          <w:lang w:eastAsia="zh-CN"/>
        </w:rPr>
        <w:t>收入支出决算表</w:t>
      </w:r>
    </w:p>
    <w:p>
      <w:pPr>
        <w:ind w:firstLine="645"/>
        <w:rPr>
          <w:rFonts w:ascii="仿宋_GB2312" w:eastAsia="仿宋_GB2312"/>
          <w:b/>
          <w:sz w:val="32"/>
          <w:szCs w:val="32"/>
          <w:lang w:eastAsia="zh-CN"/>
        </w:rPr>
      </w:pPr>
      <w:r>
        <w:rPr>
          <w:rFonts w:hint="eastAsia" w:ascii="仿宋_GB2312" w:eastAsia="仿宋_GB2312"/>
          <w:b/>
          <w:sz w:val="32"/>
          <w:szCs w:val="32"/>
          <w:lang w:eastAsia="zh-CN"/>
        </w:rPr>
        <w:t>第三部分：</w:t>
      </w:r>
      <w:r>
        <w:rPr>
          <w:rFonts w:hint="eastAsia" w:ascii="仿宋_GB2312" w:hAnsi="黑体" w:eastAsia="仿宋_GB2312"/>
          <w:b/>
          <w:bCs/>
          <w:color w:val="000000"/>
          <w:sz w:val="32"/>
          <w:szCs w:val="32"/>
          <w:u w:val="single"/>
          <w:lang w:eastAsia="zh-CN"/>
        </w:rPr>
        <w:t>融水苗族自治县人民医院</w:t>
      </w:r>
      <w:r>
        <w:rPr>
          <w:rFonts w:hint="eastAsia" w:ascii="仿宋_GB2312" w:eastAsia="仿宋_GB2312"/>
          <w:b/>
          <w:sz w:val="32"/>
          <w:szCs w:val="32"/>
          <w:lang w:eastAsia="zh-CN"/>
        </w:rPr>
        <w:t>2020年度部门决算情况说明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一、收入支出决算总体情况说明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二、收入决算情况说明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三、支出决算情况说明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四、财政拨款收入支出决算总体情况说明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五、一般公共预算财政拨款支出决算情况说明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六、一般公共预算财政拨款基本支出决算情况说明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七、一般公共预算财政拨款“三公”经费支出决算情况</w:t>
      </w:r>
    </w:p>
    <w:p>
      <w:pPr>
        <w:autoSpaceDE w:val="0"/>
        <w:autoSpaceDN w:val="0"/>
        <w:adjustRightInd w:val="0"/>
        <w:ind w:firstLine="640" w:firstLineChars="200"/>
        <w:rPr>
          <w:rFonts w:ascii="仿宋_GB2312" w:eastAsia="仿宋_GB2312" w:cs="仿宋_GB2312"/>
          <w:bCs/>
          <w:sz w:val="32"/>
          <w:szCs w:val="32"/>
          <w:lang w:eastAsia="zh-CN"/>
        </w:rPr>
      </w:pPr>
      <w:r>
        <w:rPr>
          <w:rFonts w:hint="eastAsia" w:ascii="仿宋_GB2312" w:eastAsia="仿宋_GB2312" w:cs="仿宋_GB2312"/>
          <w:sz w:val="32"/>
          <w:szCs w:val="32"/>
          <w:lang w:eastAsia="zh-CN"/>
        </w:rPr>
        <w:t>八、</w:t>
      </w:r>
      <w:r>
        <w:rPr>
          <w:rFonts w:hint="eastAsia" w:ascii="仿宋_GB2312" w:eastAsia="仿宋_GB2312" w:cs="仿宋_GB2312"/>
          <w:bCs/>
          <w:sz w:val="32"/>
          <w:szCs w:val="32"/>
          <w:lang w:eastAsia="zh-CN"/>
        </w:rPr>
        <w:t>政府性基金预算财政拨款收入支出决算情况</w:t>
      </w:r>
      <w:r>
        <w:rPr>
          <w:rFonts w:hint="eastAsia" w:ascii="仿宋_GB2312" w:eastAsia="仿宋_GB2312" w:cs="仿宋_GB2312"/>
          <w:sz w:val="32"/>
          <w:szCs w:val="32"/>
          <w:lang w:eastAsia="zh-CN"/>
        </w:rPr>
        <w:t>说明</w:t>
      </w:r>
    </w:p>
    <w:p>
      <w:pPr>
        <w:autoSpaceDE w:val="0"/>
        <w:autoSpaceDN w:val="0"/>
        <w:adjustRightInd w:val="0"/>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九、预算绩效情况说明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bCs/>
          <w:sz w:val="32"/>
          <w:szCs w:val="32"/>
          <w:lang w:eastAsia="zh-CN"/>
        </w:rPr>
        <w:t>十、其他重要事项的情况说明</w:t>
      </w:r>
    </w:p>
    <w:p>
      <w:pPr>
        <w:ind w:firstLine="645"/>
        <w:rPr>
          <w:rFonts w:ascii="仿宋_GB2312" w:eastAsia="仿宋_GB2312"/>
          <w:b/>
          <w:sz w:val="32"/>
          <w:szCs w:val="32"/>
          <w:lang w:eastAsia="zh-CN"/>
        </w:rPr>
      </w:pPr>
      <w:r>
        <w:rPr>
          <w:rFonts w:hint="eastAsia" w:ascii="仿宋_GB2312" w:eastAsia="仿宋_GB2312"/>
          <w:b/>
          <w:sz w:val="32"/>
          <w:szCs w:val="32"/>
          <w:lang w:eastAsia="zh-CN"/>
        </w:rPr>
        <w:t>第四部分：名词解释</w:t>
      </w:r>
    </w:p>
    <w:p>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hint="eastAsia" w:ascii="仿宋_GB2312" w:eastAsia="仿宋_GB2312"/>
          <w:b/>
          <w:sz w:val="32"/>
          <w:szCs w:val="32"/>
          <w:lang w:eastAsia="zh-CN"/>
        </w:rPr>
        <w:t>第一部分：</w:t>
      </w:r>
      <w:r>
        <w:rPr>
          <w:rFonts w:hint="eastAsia" w:ascii="仿宋_GB2312" w:hAnsi="黑体" w:eastAsia="仿宋_GB2312"/>
          <w:b/>
          <w:bCs/>
          <w:color w:val="000000"/>
          <w:sz w:val="32"/>
          <w:szCs w:val="32"/>
          <w:u w:val="single"/>
          <w:lang w:eastAsia="zh-CN"/>
        </w:rPr>
        <w:t>融水苗族自治县人民医院</w:t>
      </w:r>
      <w:r>
        <w:rPr>
          <w:rFonts w:hint="eastAsia" w:ascii="仿宋_GB2312" w:eastAsia="仿宋_GB2312"/>
          <w:b/>
          <w:sz w:val="32"/>
          <w:szCs w:val="32"/>
          <w:lang w:eastAsia="zh-CN"/>
        </w:rPr>
        <w:t>概况</w:t>
      </w:r>
    </w:p>
    <w:p>
      <w:pPr>
        <w:ind w:firstLine="646"/>
        <w:rPr>
          <w:rFonts w:ascii="仿宋_GB2312" w:eastAsia="仿宋_GB2312"/>
          <w:sz w:val="32"/>
          <w:szCs w:val="32"/>
          <w:lang w:eastAsia="zh-CN"/>
        </w:rPr>
      </w:pPr>
      <w:r>
        <w:rPr>
          <w:rFonts w:hint="eastAsia" w:ascii="仿宋_GB2312" w:eastAsia="仿宋_GB2312"/>
          <w:sz w:val="32"/>
          <w:szCs w:val="32"/>
          <w:lang w:eastAsia="zh-CN"/>
        </w:rPr>
        <w:t>一、部门职责</w:t>
      </w:r>
    </w:p>
    <w:p>
      <w:pPr>
        <w:snapToGrid w:val="0"/>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(1)作为全县医疗业务技术服务中心,承担县内常见病 ,多发病的诊治任务,开展二级专科服务,承担急危重症抢救和复杂疑难病症诊治任务。</w:t>
      </w:r>
    </w:p>
    <w:p>
      <w:pPr>
        <w:numPr>
          <w:ilvl w:val="0"/>
          <w:numId w:val="1"/>
        </w:numPr>
        <w:snapToGrid w:val="0"/>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作为全县医疗救治中心和孕产妇危急症抢救中心，承担120急救和各类突发事故的现场抢救及院内急救。</w:t>
      </w:r>
    </w:p>
    <w:p>
      <w:pPr>
        <w:numPr>
          <w:ilvl w:val="0"/>
          <w:numId w:val="1"/>
        </w:numPr>
        <w:snapToGrid w:val="0"/>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接受下级医疗卫生机构的转诊，指导乡镇卫生院做好医疗、康复、预防保健等业务技术工作。</w:t>
      </w:r>
    </w:p>
    <w:p>
      <w:pPr>
        <w:numPr>
          <w:ilvl w:val="0"/>
          <w:numId w:val="1"/>
        </w:numPr>
        <w:snapToGrid w:val="0"/>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贯彻执行传染病预防诊治和管理工作，开展健康教育，进行防病指导。</w:t>
      </w:r>
    </w:p>
    <w:p>
      <w:pPr>
        <w:numPr>
          <w:ilvl w:val="0"/>
          <w:numId w:val="1"/>
        </w:numPr>
        <w:snapToGrid w:val="0"/>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承担基层医疗卫生机构卫生技术人员的进修和培训，承担医学院校临床教学、实习任务。</w:t>
      </w:r>
    </w:p>
    <w:p>
      <w:pPr>
        <w:ind w:firstLine="480" w:firstLineChars="150"/>
        <w:rPr>
          <w:rFonts w:ascii="仿宋_GB2312" w:hAnsi="仿宋" w:eastAsia="仿宋_GB2312"/>
          <w:sz w:val="32"/>
          <w:szCs w:val="32"/>
          <w:lang w:eastAsia="zh-CN"/>
        </w:rPr>
      </w:pPr>
      <w:r>
        <w:rPr>
          <w:rFonts w:hint="eastAsia" w:ascii="仿宋_GB2312" w:hAnsi="仿宋" w:eastAsia="仿宋_GB2312"/>
          <w:sz w:val="32"/>
          <w:szCs w:val="32"/>
          <w:lang w:eastAsia="zh-CN"/>
        </w:rPr>
        <w:t>承担融水县卫生和计划生育局下达的其他任务。</w:t>
      </w:r>
    </w:p>
    <w:p>
      <w:pPr>
        <w:ind w:firstLine="480" w:firstLineChars="150"/>
        <w:rPr>
          <w:rFonts w:ascii="仿宋_GB2312" w:eastAsia="仿宋_GB2312"/>
          <w:sz w:val="32"/>
          <w:szCs w:val="32"/>
          <w:lang w:eastAsia="zh-CN"/>
        </w:rPr>
      </w:pPr>
      <w:r>
        <w:rPr>
          <w:rFonts w:hint="eastAsia" w:ascii="仿宋_GB2312" w:eastAsia="仿宋_GB2312"/>
          <w:sz w:val="32"/>
          <w:szCs w:val="32"/>
          <w:lang w:eastAsia="zh-CN"/>
        </w:rPr>
        <w:t>二、机构设置</w:t>
      </w:r>
    </w:p>
    <w:p>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医院占地面积34,605平方米，建筑面积28,561平方米 ，医疗用房面积15,776平方米，编制床位308张，实际开放床位466张。医院设置心血管内科、呼吸内科、消化内科、肿瘤科、康复科、普通外科、骨科、泌尿外科、妇产科、儿科、耳鼻咽喉科、眼科、中医科等22个临床科室及检验科、药剂科、放射科、病理科、B超室、心电图室、介入导管室等12个医技科室。</w:t>
      </w:r>
    </w:p>
    <w:p>
      <w:pPr>
        <w:snapToGrid w:val="0"/>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人员情况:</w:t>
      </w:r>
    </w:p>
    <w:p>
      <w:pPr>
        <w:snapToGrid w:val="0"/>
        <w:spacing w:line="520" w:lineRule="exact"/>
        <w:ind w:firstLine="640" w:firstLineChars="200"/>
        <w:rPr>
          <w:rFonts w:ascii="仿宋_GB2312" w:hAnsi="仿宋" w:eastAsia="仿宋_GB2312"/>
          <w:sz w:val="32"/>
          <w:szCs w:val="32"/>
          <w:lang w:eastAsia="zh-CN"/>
        </w:rPr>
      </w:pPr>
      <w:r>
        <w:rPr>
          <w:rFonts w:hint="eastAsia" w:ascii="仿宋_GB2312" w:hAnsi="仿宋_GB2312" w:eastAsia="仿宋_GB2312" w:cs="仿宋_GB2312"/>
          <w:sz w:val="32"/>
          <w:szCs w:val="32"/>
          <w:lang w:eastAsia="zh-CN"/>
        </w:rPr>
        <w:t>事业编制340人，在职在编人员453人，退休人员200人，聘用人员377人，遗属人员5人。其中主任医师1人，副主任医师47人,主治医师79人,住院医师59人,注册护士370 人。</w:t>
      </w:r>
    </w:p>
    <w:p>
      <w:pPr>
        <w:jc w:val="center"/>
        <w:rPr>
          <w:lang w:eastAsia="zh-CN"/>
        </w:rPr>
      </w:pPr>
    </w:p>
    <w:p>
      <w:pPr>
        <w:jc w:val="center"/>
        <w:rPr>
          <w:lang w:eastAsia="zh-CN"/>
        </w:rPr>
      </w:pPr>
    </w:p>
    <w:p>
      <w:pPr>
        <w:jc w:val="both"/>
        <w:rPr>
          <w:rFonts w:ascii="仿宋_GB2312" w:eastAsia="仿宋_GB2312"/>
          <w:b/>
          <w:sz w:val="32"/>
          <w:szCs w:val="32"/>
          <w:lang w:eastAsia="zh-CN"/>
        </w:rPr>
      </w:pPr>
      <w:r>
        <w:rPr>
          <w:rFonts w:hint="eastAsia" w:ascii="仿宋_GB2312" w:eastAsia="仿宋_GB2312"/>
          <w:b/>
          <w:sz w:val="32"/>
          <w:szCs w:val="32"/>
          <w:lang w:eastAsia="zh-CN"/>
        </w:rPr>
        <w:t>第二部分：</w:t>
      </w:r>
      <w:r>
        <w:rPr>
          <w:rFonts w:hint="eastAsia" w:ascii="仿宋_GB2312" w:hAnsi="黑体" w:eastAsia="仿宋_GB2312"/>
          <w:b/>
          <w:bCs/>
          <w:color w:val="000000"/>
          <w:sz w:val="32"/>
          <w:szCs w:val="32"/>
          <w:u w:val="single"/>
          <w:lang w:eastAsia="zh-CN"/>
        </w:rPr>
        <w:t xml:space="preserve"> 融水苗族自治县人民医院</w:t>
      </w:r>
      <w:r>
        <w:rPr>
          <w:rFonts w:hint="eastAsia" w:ascii="仿宋_GB2312" w:eastAsia="仿宋_GB2312"/>
          <w:b/>
          <w:sz w:val="32"/>
          <w:szCs w:val="32"/>
          <w:lang w:eastAsia="zh-CN"/>
        </w:rPr>
        <w:t xml:space="preserve"> 2020年度部门决算报表</w:t>
      </w:r>
    </w:p>
    <w:p>
      <w:pPr>
        <w:ind w:firstLine="643" w:firstLineChars="200"/>
        <w:rPr>
          <w:rFonts w:ascii="仿宋_GB2312" w:eastAsia="仿宋_GB2312"/>
          <w:b/>
          <w:sz w:val="32"/>
          <w:szCs w:val="32"/>
          <w:lang w:eastAsia="zh-CN"/>
        </w:rPr>
        <w:sectPr>
          <w:headerReference r:id="rId5" w:type="default"/>
          <w:footerReference r:id="rId6" w:type="default"/>
          <w:footerReference r:id="rId7" w:type="even"/>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eastAsia="仿宋_GB2312"/>
          <w:b/>
          <w:sz w:val="32"/>
          <w:szCs w:val="32"/>
          <w:lang w:eastAsia="zh-CN"/>
        </w:rPr>
        <w:t>（祥见附表）</w:t>
      </w:r>
    </w:p>
    <w:p>
      <w:pPr>
        <w:spacing w:line="560" w:lineRule="exact"/>
        <w:rPr>
          <w:rFonts w:ascii="仿宋_GB2312" w:eastAsia="仿宋_GB2312"/>
          <w:b/>
          <w:sz w:val="32"/>
          <w:szCs w:val="32"/>
          <w:lang w:eastAsia="zh-CN"/>
        </w:rPr>
      </w:pPr>
      <w:r>
        <w:rPr>
          <w:rFonts w:hint="eastAsia" w:ascii="仿宋_GB2312" w:eastAsia="仿宋_GB2312"/>
          <w:b/>
          <w:sz w:val="32"/>
          <w:szCs w:val="32"/>
          <w:lang w:eastAsia="zh-CN"/>
        </w:rPr>
        <w:t>第三部分：</w:t>
      </w:r>
      <w:r>
        <w:rPr>
          <w:rFonts w:hint="eastAsia" w:ascii="仿宋_GB2312" w:hAnsi="黑体" w:eastAsia="仿宋_GB2312"/>
          <w:b/>
          <w:bCs/>
          <w:color w:val="000000"/>
          <w:sz w:val="32"/>
          <w:szCs w:val="32"/>
          <w:u w:val="single"/>
          <w:lang w:eastAsia="zh-CN"/>
        </w:rPr>
        <w:t>融水苗族自治县人民医院</w:t>
      </w:r>
      <w:r>
        <w:rPr>
          <w:rFonts w:hint="eastAsia" w:ascii="仿宋_GB2312" w:eastAsia="仿宋_GB2312"/>
          <w:b/>
          <w:sz w:val="32"/>
          <w:szCs w:val="32"/>
          <w:lang w:eastAsia="zh-CN"/>
        </w:rPr>
        <w:t>2020年度部门决算情况说明</w:t>
      </w:r>
    </w:p>
    <w:p>
      <w:pPr>
        <w:autoSpaceDE w:val="0"/>
        <w:autoSpaceDN w:val="0"/>
        <w:adjustRightInd w:val="0"/>
        <w:spacing w:line="560" w:lineRule="exact"/>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一、收入支出决算总体情况说明</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2020年度收入、支出总计40,411.29万元。与2019年相比，收、支各增加10,310.71万元；增长25.51%。增加原因：医疗业务收入增加。</w:t>
      </w:r>
    </w:p>
    <w:p>
      <w:pPr>
        <w:autoSpaceDE w:val="0"/>
        <w:autoSpaceDN w:val="0"/>
        <w:adjustRightInd w:val="0"/>
        <w:spacing w:line="560" w:lineRule="exact"/>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二、收入决算情况说明</w:t>
      </w:r>
    </w:p>
    <w:p>
      <w:pPr>
        <w:autoSpaceDE w:val="0"/>
        <w:autoSpaceDN w:val="0"/>
        <w:adjustRightInd w:val="0"/>
        <w:spacing w:line="560" w:lineRule="exact"/>
        <w:ind w:firstLine="640" w:firstLineChars="200"/>
        <w:rPr>
          <w:rFonts w:ascii="仿宋_GB2312" w:eastAsia="仿宋_GB2312" w:cs="仿宋_GB2312"/>
          <w:b/>
          <w:sz w:val="32"/>
          <w:szCs w:val="32"/>
          <w:lang w:eastAsia="zh-CN"/>
        </w:rPr>
      </w:pPr>
      <w:r>
        <w:rPr>
          <w:rFonts w:hint="eastAsia" w:ascii="仿宋_GB2312" w:eastAsia="仿宋_GB2312" w:cs="仿宋_GB2312"/>
          <w:bCs/>
          <w:sz w:val="32"/>
          <w:szCs w:val="32"/>
          <w:lang w:eastAsia="zh-CN"/>
        </w:rPr>
        <w:t>本年收入总计35,590.29万元 ，其中：财政拨款收入8,528.15万元；占23.96% ；上级补助收入0万元，占0%；事业收入27,062.14万元，占76.04%。</w:t>
      </w:r>
    </w:p>
    <w:p>
      <w:pPr>
        <w:autoSpaceDE w:val="0"/>
        <w:autoSpaceDN w:val="0"/>
        <w:adjustRightInd w:val="0"/>
        <w:spacing w:line="560" w:lineRule="exact"/>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三、支出决算情况说明</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本年支出合计36,733.34万元，其中：基本支出26,165.07万元，占71.23%；项目支出10,568.27万元，占28.77%；经营支出0万元，占0</w:t>
      </w:r>
      <w:r>
        <w:rPr>
          <w:rFonts w:ascii="仿宋_GB2312" w:eastAsia="仿宋_GB2312" w:cs="仿宋_GB2312"/>
          <w:bCs/>
          <w:sz w:val="32"/>
          <w:szCs w:val="32"/>
          <w:lang w:eastAsia="zh-CN"/>
        </w:rPr>
        <w:t>%</w:t>
      </w:r>
      <w:r>
        <w:rPr>
          <w:rFonts w:hint="eastAsia" w:ascii="仿宋_GB2312" w:eastAsia="仿宋_GB2312" w:cs="仿宋_GB2312"/>
          <w:bCs/>
          <w:sz w:val="32"/>
          <w:szCs w:val="32"/>
          <w:lang w:eastAsia="zh-CN"/>
        </w:rPr>
        <w:t>.</w:t>
      </w:r>
    </w:p>
    <w:p>
      <w:pPr>
        <w:autoSpaceDE w:val="0"/>
        <w:autoSpaceDN w:val="0"/>
        <w:adjustRightInd w:val="0"/>
        <w:spacing w:line="560" w:lineRule="exact"/>
        <w:ind w:firstLine="640" w:firstLineChars="200"/>
        <w:rPr>
          <w:rFonts w:ascii="仿宋_GB2312" w:eastAsia="仿宋_GB2312" w:cs="仿宋_GB2312"/>
          <w:b/>
          <w:sz w:val="32"/>
          <w:szCs w:val="32"/>
          <w:lang w:eastAsia="zh-CN"/>
        </w:rPr>
      </w:pPr>
      <w:r>
        <w:rPr>
          <w:rFonts w:hint="eastAsia" w:ascii="仿宋_GB2312" w:eastAsia="仿宋_GB2312" w:cs="仿宋_GB2312"/>
          <w:bCs/>
          <w:sz w:val="32"/>
          <w:szCs w:val="32"/>
          <w:lang w:eastAsia="zh-CN"/>
        </w:rPr>
        <w:t>四、</w:t>
      </w:r>
      <w:r>
        <w:rPr>
          <w:rFonts w:hint="eastAsia" w:ascii="仿宋_GB2312" w:eastAsia="仿宋_GB2312" w:cs="仿宋_GB2312"/>
          <w:b/>
          <w:sz w:val="32"/>
          <w:szCs w:val="32"/>
          <w:lang w:eastAsia="zh-CN"/>
        </w:rPr>
        <w:t>财政拨款收入支出决算总体情况说明</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2020年度财政拨款收、支总计13,349.15万元。与</w:t>
      </w:r>
      <w:r>
        <w:rPr>
          <w:rFonts w:ascii="仿宋_GB2312" w:eastAsia="仿宋_GB2312" w:cs="仿宋_GB2312"/>
          <w:bCs/>
          <w:sz w:val="32"/>
          <w:szCs w:val="32"/>
          <w:lang w:eastAsia="zh-CN"/>
        </w:rPr>
        <w:t xml:space="preserve"> 201</w:t>
      </w:r>
      <w:r>
        <w:rPr>
          <w:rFonts w:hint="eastAsia" w:ascii="仿宋_GB2312" w:eastAsia="仿宋_GB2312" w:cs="仿宋_GB2312"/>
          <w:bCs/>
          <w:sz w:val="32"/>
          <w:szCs w:val="32"/>
          <w:lang w:eastAsia="zh-CN"/>
        </w:rPr>
        <w:t>9年相比，财政拨款收、支总计各增加5774.16万元，增长43.25%。增原因：扩大医疗服务项目。</w:t>
      </w:r>
    </w:p>
    <w:p>
      <w:pPr>
        <w:autoSpaceDE w:val="0"/>
        <w:autoSpaceDN w:val="0"/>
        <w:adjustRightInd w:val="0"/>
        <w:spacing w:line="560" w:lineRule="exact"/>
        <w:ind w:firstLine="640" w:firstLineChars="200"/>
        <w:rPr>
          <w:rFonts w:eastAsia="仿宋_GB2312"/>
          <w:b/>
          <w:sz w:val="32"/>
          <w:szCs w:val="32"/>
          <w:lang w:eastAsia="zh-CN"/>
        </w:rPr>
      </w:pPr>
      <w:r>
        <w:rPr>
          <w:rFonts w:hint="eastAsia" w:ascii="仿宋_GB2312" w:eastAsia="仿宋_GB2312" w:cs="仿宋_GB2312"/>
          <w:bCs/>
          <w:sz w:val="32"/>
          <w:szCs w:val="32"/>
          <w:lang w:eastAsia="zh-CN"/>
        </w:rPr>
        <w:t>五、</w:t>
      </w:r>
      <w:r>
        <w:rPr>
          <w:rFonts w:hint="eastAsia" w:eastAsia="仿宋_GB2312"/>
          <w:b/>
          <w:sz w:val="32"/>
          <w:szCs w:val="32"/>
          <w:lang w:eastAsia="zh-CN"/>
        </w:rPr>
        <w:t>一般公共预算财政拨款支出决算情况</w:t>
      </w:r>
      <w:r>
        <w:rPr>
          <w:rFonts w:hint="eastAsia" w:ascii="仿宋_GB2312" w:eastAsia="仿宋_GB2312" w:cs="仿宋_GB2312"/>
          <w:b/>
          <w:sz w:val="32"/>
          <w:szCs w:val="32"/>
          <w:lang w:eastAsia="zh-CN"/>
        </w:rPr>
        <w:t>说明</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（一）财政拨款支出决算总体情况。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hint="eastAsia" w:ascii="仿宋_GB2312" w:eastAsia="仿宋_GB2312" w:cs="仿宋_GB2312"/>
          <w:bCs/>
          <w:sz w:val="32"/>
          <w:szCs w:val="32"/>
          <w:lang w:eastAsia="zh-CN"/>
        </w:rPr>
        <w:t>20年度财政拨款支出7,346.58万元，占本年支出合计的60.23%。与</w:t>
      </w:r>
      <w:r>
        <w:rPr>
          <w:rFonts w:ascii="仿宋_GB2312" w:eastAsia="仿宋_GB2312" w:cs="仿宋_GB2312"/>
          <w:bCs/>
          <w:sz w:val="32"/>
          <w:szCs w:val="32"/>
          <w:lang w:eastAsia="zh-CN"/>
        </w:rPr>
        <w:t xml:space="preserve"> 201</w:t>
      </w:r>
      <w:r>
        <w:rPr>
          <w:rFonts w:hint="eastAsia" w:ascii="仿宋_GB2312" w:eastAsia="仿宋_GB2312" w:cs="仿宋_GB2312"/>
          <w:bCs/>
          <w:sz w:val="32"/>
          <w:szCs w:val="32"/>
          <w:lang w:eastAsia="zh-CN"/>
        </w:rPr>
        <w:t>9年相比，财政拨款支出增加4,868.17 万元，同比增长66.26%。增原因说明：人员增加，工资拨款数增加。</w:t>
      </w:r>
    </w:p>
    <w:p>
      <w:pPr>
        <w:autoSpaceDE w:val="0"/>
        <w:autoSpaceDN w:val="0"/>
        <w:adjustRightInd w:val="0"/>
        <w:spacing w:line="560" w:lineRule="exact"/>
        <w:rPr>
          <w:rFonts w:hint="eastAsia" w:ascii="仿宋_GB2312" w:eastAsia="仿宋_GB2312" w:cs="仿宋_GB2312"/>
          <w:bCs/>
          <w:sz w:val="32"/>
          <w:szCs w:val="32"/>
          <w:lang w:eastAsia="zh-CN"/>
        </w:rPr>
      </w:pPr>
      <w:r>
        <w:rPr>
          <w:rFonts w:hint="eastAsia" w:ascii="仿宋_GB2312" w:eastAsia="仿宋_GB2312" w:cs="仿宋_GB2312"/>
          <w:bCs/>
          <w:sz w:val="32"/>
          <w:szCs w:val="32"/>
          <w:lang w:eastAsia="zh-CN"/>
        </w:rPr>
        <w:t>（二）财政拨款支出决算结构情况</w:t>
      </w:r>
    </w:p>
    <w:p>
      <w:pPr>
        <w:autoSpaceDE w:val="0"/>
        <w:autoSpaceDN w:val="0"/>
        <w:adjustRightInd w:val="0"/>
        <w:spacing w:line="560" w:lineRule="exact"/>
        <w:rPr>
          <w:rFonts w:hint="eastAsia"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2020 年度财政拨款支出 7,346.58万元，主要用于以下方面：</w:t>
      </w:r>
    </w:p>
    <w:p>
      <w:pPr>
        <w:autoSpaceDE w:val="0"/>
        <w:autoSpaceDN w:val="0"/>
        <w:adjustRightInd w:val="0"/>
        <w:spacing w:line="560" w:lineRule="exac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1、社会保障和就业支出（类）101.01万元，占1.37%；卫生健康支出（类）7,225.16万元，占98.35%；城乡社区支出（类）0.41万元 ，占0.001%；其他支出（类）20万元，占0.27%。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（三）财政拨款支出决算具体情况</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2020年度财政拨款支出年初预算为 1,664.07万元，支出决算为7,346.58 万元，完成年初预算的 441.48%。其中：</w:t>
      </w:r>
    </w:p>
    <w:p>
      <w:pPr>
        <w:autoSpaceDE w:val="0"/>
        <w:autoSpaceDN w:val="0"/>
        <w:adjustRightInd w:val="0"/>
        <w:spacing w:line="560" w:lineRule="exact"/>
        <w:rPr>
          <w:rFonts w:hint="eastAsia" w:ascii="仿宋_GB2312" w:eastAsia="仿宋_GB2312" w:cs="仿宋_GB2312"/>
          <w:bCs/>
          <w:sz w:val="32"/>
          <w:szCs w:val="32"/>
          <w:lang w:eastAsia="zh-CN"/>
        </w:rPr>
      </w:pPr>
      <w:r>
        <w:rPr>
          <w:rFonts w:hint="eastAsia" w:ascii="仿宋_GB2312" w:eastAsia="仿宋_GB2312" w:cs="仿宋_GB2312"/>
          <w:bCs/>
          <w:sz w:val="32"/>
          <w:szCs w:val="32"/>
          <w:lang w:eastAsia="zh-CN"/>
        </w:rPr>
        <w:t>　　1、社会保障和就业支出（类）行政事业单位养老支出（款）行政单位离退休（项）</w:t>
      </w:r>
      <w:r>
        <w:rPr>
          <w:rFonts w:hint="eastAsia" w:ascii="华文仿宋" w:hAnsi="华文仿宋" w:eastAsia="华文仿宋" w:cs="华文仿宋"/>
          <w:sz w:val="32"/>
          <w:szCs w:val="32"/>
          <w:lang w:eastAsia="zh-CN"/>
        </w:rPr>
        <w:t>年初预算是56.40 万元，决算数是 63.88万元，完成预算数的113.26 % ，决算数大于预算数的原因是:退休人员增加</w:t>
      </w:r>
      <w:r>
        <w:rPr>
          <w:rFonts w:hint="eastAsia" w:ascii="仿宋_GB2312" w:eastAsia="仿宋_GB2312" w:cs="仿宋_GB2312"/>
          <w:bCs/>
          <w:sz w:val="32"/>
          <w:szCs w:val="32"/>
          <w:lang w:eastAsia="zh-CN"/>
        </w:rPr>
        <w:t>。</w:t>
      </w:r>
    </w:p>
    <w:p>
      <w:pPr>
        <w:autoSpaceDE w:val="0"/>
        <w:autoSpaceDN w:val="0"/>
        <w:adjustRightInd w:val="0"/>
        <w:spacing w:line="560" w:lineRule="exact"/>
        <w:rPr>
          <w:rFonts w:hint="eastAsia"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2、社会保障和就业支出（类）行政事业单位养老支出（款）事业单位离退休（项）</w:t>
      </w:r>
      <w:r>
        <w:rPr>
          <w:rFonts w:hint="eastAsia" w:ascii="华文仿宋" w:hAnsi="华文仿宋" w:eastAsia="华文仿宋" w:cs="华文仿宋"/>
          <w:sz w:val="32"/>
          <w:szCs w:val="32"/>
          <w:lang w:eastAsia="zh-CN"/>
        </w:rPr>
        <w:t>年初预算是0万元，决算数是 0.18万元，决算数大于预算数的原因是:退休人员增加</w:t>
      </w:r>
      <w:r>
        <w:rPr>
          <w:rFonts w:hint="eastAsia" w:ascii="仿宋_GB2312" w:eastAsia="仿宋_GB2312" w:cs="仿宋_GB2312"/>
          <w:bCs/>
          <w:sz w:val="32"/>
          <w:szCs w:val="32"/>
          <w:lang w:eastAsia="zh-CN"/>
        </w:rPr>
        <w:t>。</w:t>
      </w:r>
    </w:p>
    <w:p>
      <w:pPr>
        <w:autoSpaceDE w:val="0"/>
        <w:autoSpaceDN w:val="0"/>
        <w:adjustRightInd w:val="0"/>
        <w:spacing w:line="560" w:lineRule="exact"/>
        <w:rPr>
          <w:rFonts w:hint="eastAsia"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3、社会保障和就业支出（类）行政事业单位养老支出（款）机关事业单位基本养老保险缴费支出（项）</w:t>
      </w:r>
      <w:r>
        <w:rPr>
          <w:rFonts w:hint="eastAsia" w:ascii="华文仿宋" w:hAnsi="华文仿宋" w:eastAsia="华文仿宋" w:cs="华文仿宋"/>
          <w:sz w:val="32"/>
          <w:szCs w:val="32"/>
          <w:lang w:eastAsia="zh-CN"/>
        </w:rPr>
        <w:t>年初预算是0 万元，决算数是5.82万元，决算数大于预算数的原因是:退休人员增加</w:t>
      </w:r>
      <w:r>
        <w:rPr>
          <w:rFonts w:hint="eastAsia" w:ascii="仿宋_GB2312" w:eastAsia="仿宋_GB2312" w:cs="仿宋_GB2312"/>
          <w:bCs/>
          <w:sz w:val="32"/>
          <w:szCs w:val="32"/>
          <w:lang w:eastAsia="zh-CN"/>
        </w:rPr>
        <w:t>。</w:t>
      </w:r>
    </w:p>
    <w:p>
      <w:pPr>
        <w:autoSpaceDE w:val="0"/>
        <w:autoSpaceDN w:val="0"/>
        <w:adjustRightInd w:val="0"/>
        <w:spacing w:line="560" w:lineRule="exact"/>
        <w:rPr>
          <w:rFonts w:hint="eastAsia" w:ascii="华文仿宋" w:hAnsi="华文仿宋" w:eastAsia="华文仿宋" w:cs="华文仿宋"/>
          <w:sz w:val="32"/>
          <w:szCs w:val="32"/>
          <w:lang w:eastAsia="zh-CN"/>
        </w:rPr>
      </w:pPr>
      <w:r>
        <w:rPr>
          <w:rFonts w:hint="eastAsia" w:ascii="仿宋_GB2312" w:eastAsia="仿宋_GB2312" w:cs="仿宋_GB2312"/>
          <w:bCs/>
          <w:sz w:val="32"/>
          <w:szCs w:val="32"/>
          <w:lang w:eastAsia="zh-CN"/>
        </w:rPr>
        <w:t xml:space="preserve">   4、社会保障和就业支出（类）行政事业单位养老支出（款）其他行政事业单位养老支出（项）</w:t>
      </w:r>
      <w:r>
        <w:rPr>
          <w:rFonts w:hint="eastAsia" w:ascii="华文仿宋" w:hAnsi="华文仿宋" w:eastAsia="华文仿宋" w:cs="华文仿宋"/>
          <w:sz w:val="32"/>
          <w:szCs w:val="32"/>
          <w:lang w:eastAsia="zh-CN"/>
        </w:rPr>
        <w:t>年初预算是7.52 万元，决算数是 9.42万元，完成预算数的125.26 % ，决算数大于预算数的原因是:退休人员增加。</w:t>
      </w:r>
    </w:p>
    <w:p>
      <w:pPr>
        <w:autoSpaceDE w:val="0"/>
        <w:autoSpaceDN w:val="0"/>
        <w:adjustRightInd w:val="0"/>
        <w:spacing w:line="560" w:lineRule="exact"/>
        <w:rPr>
          <w:rFonts w:ascii="仿宋_GB2312" w:eastAsia="仿宋_GB2312" w:cs="仿宋_GB2312"/>
          <w:bCs/>
          <w:sz w:val="32"/>
          <w:szCs w:val="32"/>
          <w:lang w:eastAsia="zh-CN"/>
        </w:rPr>
      </w:pPr>
      <w:r>
        <w:rPr>
          <w:rFonts w:hint="eastAsia" w:ascii="华文仿宋" w:hAnsi="华文仿宋" w:eastAsia="华文仿宋" w:cs="华文仿宋"/>
          <w:sz w:val="32"/>
          <w:szCs w:val="32"/>
          <w:lang w:eastAsia="zh-CN"/>
        </w:rPr>
        <w:t xml:space="preserve">   5、</w:t>
      </w:r>
      <w:r>
        <w:rPr>
          <w:rFonts w:hint="eastAsia" w:ascii="仿宋_GB2312" w:eastAsia="仿宋_GB2312" w:cs="仿宋_GB2312"/>
          <w:bCs/>
          <w:sz w:val="32"/>
          <w:szCs w:val="32"/>
          <w:lang w:eastAsia="zh-CN"/>
        </w:rPr>
        <w:t>社会保障和就业支出（类）抚恤（款）死亡抚恤（项）</w:t>
      </w:r>
      <w:r>
        <w:rPr>
          <w:rFonts w:hint="eastAsia" w:ascii="华文仿宋" w:hAnsi="华文仿宋" w:eastAsia="华文仿宋" w:cs="华文仿宋"/>
          <w:sz w:val="32"/>
          <w:szCs w:val="32"/>
          <w:lang w:eastAsia="zh-CN"/>
        </w:rPr>
        <w:t>年初预算是0 万元，决算数是 21.71万元，决算数大于预算数的原因是:有退休人员死亡。</w:t>
      </w:r>
    </w:p>
    <w:p>
      <w:pPr>
        <w:autoSpaceDE w:val="0"/>
        <w:autoSpaceDN w:val="0"/>
        <w:adjustRightInd w:val="0"/>
        <w:spacing w:line="560" w:lineRule="exact"/>
        <w:rPr>
          <w:rFonts w:hint="eastAsia" w:ascii="仿宋_GB2312" w:eastAsia="仿宋_GB2312" w:cs="仿宋_GB2312"/>
          <w:bCs/>
          <w:sz w:val="32"/>
          <w:szCs w:val="32"/>
          <w:lang w:eastAsia="zh-CN"/>
        </w:rPr>
      </w:pPr>
      <w:r>
        <w:rPr>
          <w:rFonts w:hint="eastAsia" w:ascii="仿宋_GB2312" w:eastAsia="仿宋_GB2312" w:cs="仿宋_GB2312"/>
          <w:bCs/>
          <w:sz w:val="32"/>
          <w:szCs w:val="32"/>
          <w:lang w:eastAsia="zh-CN"/>
        </w:rPr>
        <w:t>　　6、卫生健康支出（类）公立医院（款）综合医院（项）</w:t>
      </w:r>
      <w:r>
        <w:rPr>
          <w:rFonts w:hint="eastAsia" w:ascii="华文仿宋" w:hAnsi="华文仿宋" w:eastAsia="华文仿宋" w:cs="华文仿宋"/>
          <w:sz w:val="32"/>
          <w:szCs w:val="32"/>
          <w:lang w:eastAsia="zh-CN"/>
        </w:rPr>
        <w:t>年初预算是1550.15 万元，决算数是7047.13万元，完成预算数的454.61 % ，决算数大于预算数的原因是:医院业务增长</w:t>
      </w:r>
      <w:r>
        <w:rPr>
          <w:rFonts w:hint="eastAsia" w:ascii="仿宋_GB2312" w:eastAsia="仿宋_GB2312" w:cs="仿宋_GB2312"/>
          <w:bCs/>
          <w:sz w:val="32"/>
          <w:szCs w:val="32"/>
          <w:lang w:eastAsia="zh-CN"/>
        </w:rPr>
        <w:t>.</w:t>
      </w:r>
    </w:p>
    <w:p>
      <w:pPr>
        <w:autoSpaceDE w:val="0"/>
        <w:autoSpaceDN w:val="0"/>
        <w:adjustRightInd w:val="0"/>
        <w:spacing w:line="560" w:lineRule="exact"/>
        <w:rPr>
          <w:rFonts w:hint="eastAsia" w:ascii="华文仿宋" w:hAnsi="华文仿宋" w:eastAsia="华文仿宋" w:cs="华文仿宋"/>
          <w:sz w:val="32"/>
          <w:szCs w:val="32"/>
          <w:lang w:eastAsia="zh-CN"/>
        </w:rPr>
      </w:pPr>
      <w:r>
        <w:rPr>
          <w:rFonts w:hint="eastAsia" w:ascii="仿宋_GB2312" w:eastAsia="仿宋_GB2312" w:cs="仿宋_GB2312"/>
          <w:bCs/>
          <w:sz w:val="32"/>
          <w:szCs w:val="32"/>
          <w:lang w:eastAsia="zh-CN"/>
        </w:rPr>
        <w:t xml:space="preserve">     7、卫生健康支出（类）公立医院（款）其他公立医院支出（项）</w:t>
      </w:r>
      <w:r>
        <w:rPr>
          <w:rFonts w:hint="eastAsia" w:ascii="华文仿宋" w:hAnsi="华文仿宋" w:eastAsia="华文仿宋" w:cs="华文仿宋"/>
          <w:sz w:val="32"/>
          <w:szCs w:val="32"/>
          <w:lang w:eastAsia="zh-CN"/>
        </w:rPr>
        <w:t>年初预算是0万元，决算数是122.02万元，决算数大于预算数的原因是:医院业务增长。</w:t>
      </w:r>
    </w:p>
    <w:p>
      <w:pPr>
        <w:autoSpaceDE w:val="0"/>
        <w:autoSpaceDN w:val="0"/>
        <w:adjustRightInd w:val="0"/>
        <w:spacing w:line="560" w:lineRule="exact"/>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    8、</w:t>
      </w:r>
      <w:r>
        <w:rPr>
          <w:rFonts w:hint="eastAsia" w:ascii="仿宋_GB2312" w:eastAsia="仿宋_GB2312" w:cs="仿宋_GB2312"/>
          <w:bCs/>
          <w:sz w:val="32"/>
          <w:szCs w:val="32"/>
          <w:lang w:eastAsia="zh-CN"/>
        </w:rPr>
        <w:t>卫生健康支出（类）公共卫生（款）重大公共卫生服务（项）</w:t>
      </w:r>
      <w:r>
        <w:rPr>
          <w:rFonts w:hint="eastAsia" w:ascii="华文仿宋" w:hAnsi="华文仿宋" w:eastAsia="华文仿宋" w:cs="华文仿宋"/>
          <w:sz w:val="32"/>
          <w:szCs w:val="32"/>
          <w:lang w:eastAsia="zh-CN"/>
        </w:rPr>
        <w:t>年初预算是50 万元，决算数是15万元，决算数小于预算数的原因是:预算包括预防性体检费，决算只是艾滋病专项，不含预防性体检项。</w:t>
      </w:r>
    </w:p>
    <w:p>
      <w:pPr>
        <w:autoSpaceDE w:val="0"/>
        <w:autoSpaceDN w:val="0"/>
        <w:adjustRightInd w:val="0"/>
        <w:spacing w:line="560" w:lineRule="exact"/>
        <w:rPr>
          <w:rFonts w:ascii="仿宋_GB2312" w:eastAsia="仿宋_GB2312" w:cs="仿宋_GB2312"/>
          <w:bCs/>
          <w:sz w:val="32"/>
          <w:szCs w:val="32"/>
          <w:lang w:eastAsia="zh-CN"/>
        </w:rPr>
      </w:pPr>
      <w:r>
        <w:rPr>
          <w:rFonts w:hint="eastAsia" w:ascii="华文仿宋" w:hAnsi="华文仿宋" w:eastAsia="华文仿宋" w:cs="华文仿宋"/>
          <w:sz w:val="32"/>
          <w:szCs w:val="32"/>
          <w:lang w:eastAsia="zh-CN"/>
        </w:rPr>
        <w:t xml:space="preserve">   9、</w:t>
      </w:r>
      <w:r>
        <w:rPr>
          <w:rFonts w:hint="eastAsia" w:ascii="仿宋_GB2312" w:eastAsia="仿宋_GB2312" w:cs="仿宋_GB2312"/>
          <w:bCs/>
          <w:sz w:val="32"/>
          <w:szCs w:val="32"/>
          <w:lang w:eastAsia="zh-CN"/>
        </w:rPr>
        <w:t>卫生健康支出（类）其他卫生健康支出（款）其他卫生健康支出（项）</w:t>
      </w:r>
      <w:r>
        <w:rPr>
          <w:rFonts w:hint="eastAsia" w:ascii="华文仿宋" w:hAnsi="华文仿宋" w:eastAsia="华文仿宋" w:cs="华文仿宋"/>
          <w:sz w:val="32"/>
          <w:szCs w:val="32"/>
          <w:lang w:eastAsia="zh-CN"/>
        </w:rPr>
        <w:t>年初预算是0 万元，决算数是41万元，决算数大于预算数的原因是:助理全科医生培训费的拨款。</w:t>
      </w:r>
    </w:p>
    <w:p>
      <w:pPr>
        <w:autoSpaceDE w:val="0"/>
        <w:autoSpaceDN w:val="0"/>
        <w:adjustRightInd w:val="0"/>
        <w:spacing w:line="560" w:lineRule="exact"/>
        <w:rPr>
          <w:rFonts w:ascii="仿宋_GB2312" w:eastAsia="华文仿宋" w:cs="仿宋_GB2312"/>
          <w:bCs/>
          <w:sz w:val="32"/>
          <w:szCs w:val="32"/>
          <w:lang w:eastAsia="zh-CN"/>
        </w:rPr>
      </w:pPr>
      <w:r>
        <w:rPr>
          <w:rFonts w:hint="eastAsia" w:ascii="仿宋_GB2312" w:eastAsia="仿宋_GB2312" w:cs="仿宋_GB2312"/>
          <w:bCs/>
          <w:sz w:val="32"/>
          <w:szCs w:val="32"/>
          <w:lang w:eastAsia="zh-CN"/>
        </w:rPr>
        <w:t>　　10、城乡社区支出（类）城乡社区公共设施（款）小城镇基础设施建设（项）</w:t>
      </w:r>
      <w:r>
        <w:rPr>
          <w:rFonts w:hint="eastAsia" w:ascii="华文仿宋" w:hAnsi="华文仿宋" w:eastAsia="华文仿宋" w:cs="华文仿宋"/>
          <w:sz w:val="32"/>
          <w:szCs w:val="32"/>
          <w:lang w:eastAsia="zh-CN"/>
        </w:rPr>
        <w:t>年初预算是0万元，决算数是0.41万元，决算数大于预算数的原因是:追加肖罗依遗嘱补助。</w:t>
      </w:r>
    </w:p>
    <w:p>
      <w:pPr>
        <w:autoSpaceDE w:val="0"/>
        <w:autoSpaceDN w:val="0"/>
        <w:adjustRightInd w:val="0"/>
        <w:spacing w:line="560" w:lineRule="exac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11、其他支出（类）其他支出（款）其他支出（项）</w:t>
      </w:r>
      <w:r>
        <w:rPr>
          <w:rFonts w:hint="eastAsia" w:ascii="华文仿宋" w:hAnsi="华文仿宋" w:eastAsia="华文仿宋" w:cs="华文仿宋"/>
          <w:sz w:val="32"/>
          <w:szCs w:val="32"/>
          <w:lang w:eastAsia="zh-CN"/>
        </w:rPr>
        <w:t>年初预算是0万元，决算数是20万元，决算数大于预算数的原因是:追加其他公用经费。</w:t>
      </w:r>
    </w:p>
    <w:p>
      <w:pPr>
        <w:autoSpaceDE w:val="0"/>
        <w:autoSpaceDN w:val="0"/>
        <w:adjustRightInd w:val="0"/>
        <w:spacing w:line="560" w:lineRule="exact"/>
        <w:ind w:firstLine="640" w:firstLineChars="200"/>
        <w:rPr>
          <w:rFonts w:hint="eastAsia" w:ascii="仿宋_GB2312" w:eastAsia="仿宋_GB2312" w:cs="仿宋_GB2312"/>
          <w:bCs/>
          <w:sz w:val="32"/>
          <w:szCs w:val="32"/>
          <w:lang w:eastAsia="zh-CN"/>
        </w:rPr>
      </w:pPr>
      <w:r>
        <w:rPr>
          <w:rFonts w:hint="eastAsia" w:ascii="仿宋_GB2312" w:eastAsia="仿宋_GB2312" w:cs="仿宋_GB2312"/>
          <w:bCs/>
          <w:sz w:val="32"/>
          <w:szCs w:val="32"/>
          <w:lang w:eastAsia="zh-CN"/>
        </w:rPr>
        <w:t>六、</w:t>
      </w:r>
      <w:r>
        <w:rPr>
          <w:rFonts w:hint="eastAsia" w:ascii="仿宋_GB2312" w:eastAsia="仿宋_GB2312" w:cs="仿宋_GB2312"/>
          <w:b/>
          <w:sz w:val="32"/>
          <w:szCs w:val="32"/>
          <w:lang w:eastAsia="zh-CN"/>
        </w:rPr>
        <w:t>一般公共预算财政拨款基本支出决算情况</w:t>
      </w:r>
      <w:r>
        <w:rPr>
          <w:rFonts w:hint="eastAsia" w:ascii="仿宋_GB2312" w:eastAsia="仿宋_GB2312" w:cs="仿宋_GB2312"/>
          <w:bCs/>
          <w:sz w:val="32"/>
          <w:szCs w:val="32"/>
          <w:lang w:eastAsia="zh-CN"/>
        </w:rPr>
        <w:t xml:space="preserve">2020年度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财政拨款基本支出1628.31万元，其中：</w:t>
      </w:r>
    </w:p>
    <w:p>
      <w:pPr>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人员经费1572.01万元，主要包括：基本工资1251.30万元、奖金4.88万元、绩效工资175.99万元、其他社会保障缴费5.10万元、其他工资福利支出18.79万元、 退休费6万元、抚恤金34.22万元、生活补助68.02万元、</w:t>
      </w:r>
      <w:r>
        <w:rPr>
          <w:rFonts w:hint="eastAsia" w:ascii="仿宋_GB2312" w:hAnsi="宋体" w:eastAsia="仿宋_GB2312" w:cs="仿宋_GB2312"/>
          <w:color w:val="000000"/>
          <w:sz w:val="31"/>
          <w:szCs w:val="31"/>
          <w:lang w:eastAsia="zh-CN"/>
        </w:rPr>
        <w:t>其他对个人 和家庭的补助7.73万元</w:t>
      </w:r>
      <w:r>
        <w:rPr>
          <w:rFonts w:hint="eastAsia" w:ascii="仿宋_GB2312" w:eastAsia="仿宋_GB2312" w:cs="仿宋_GB2312"/>
          <w:bCs/>
          <w:sz w:val="32"/>
          <w:szCs w:val="32"/>
          <w:lang w:eastAsia="zh-CN"/>
        </w:rPr>
        <w:t>。</w:t>
      </w:r>
    </w:p>
    <w:p>
      <w:pPr>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公用经费56.30万元，主要包括：物业管理费56.30万元。</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七、</w:t>
      </w:r>
      <w:r>
        <w:rPr>
          <w:rFonts w:hint="eastAsia" w:ascii="仿宋_GB2312" w:eastAsia="仿宋_GB2312" w:cs="仿宋_GB2312"/>
          <w:b/>
          <w:sz w:val="32"/>
          <w:szCs w:val="32"/>
          <w:lang w:eastAsia="zh-CN"/>
        </w:rPr>
        <w:t>一般公共预算财政拨款“三公”经费支出决算情况说明</w:t>
      </w:r>
      <w:r>
        <w:rPr>
          <w:rFonts w:hint="eastAsia" w:ascii="仿宋_GB2312" w:eastAsia="仿宋_GB2312" w:cs="仿宋_GB2312"/>
          <w:bCs/>
          <w:sz w:val="32"/>
          <w:szCs w:val="32"/>
          <w:lang w:eastAsia="zh-CN"/>
        </w:rPr>
        <w:t xml:space="preserve">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（一）“三公”经费财政拨款支出决算总体情况</w:t>
      </w:r>
      <w:r>
        <w:rPr>
          <w:rFonts w:hint="eastAsia" w:ascii="仿宋_GB2312" w:eastAsia="仿宋_GB2312" w:cs="仿宋_GB2312"/>
          <w:b/>
          <w:sz w:val="32"/>
          <w:szCs w:val="32"/>
          <w:lang w:eastAsia="zh-CN"/>
        </w:rPr>
        <w:t>说明</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hint="eastAsia" w:ascii="仿宋_GB2312" w:eastAsia="仿宋_GB2312" w:cs="仿宋_GB2312"/>
          <w:bCs/>
          <w:sz w:val="32"/>
          <w:szCs w:val="32"/>
          <w:lang w:eastAsia="zh-CN"/>
        </w:rPr>
        <w:t>20年度“三公”经费财政拨款支出预算为0万元，支出决算为0万元，完成预算的0%，决算数（大于）小于预算数的主要原因是认真贯彻落实中央“八项规定”精神和厉行节约要求，从严控制“三公”经费开支，全年实际支出比预算有所节约</w:t>
      </w:r>
    </w:p>
    <w:p>
      <w:pPr>
        <w:autoSpaceDE w:val="0"/>
        <w:autoSpaceDN w:val="0"/>
        <w:adjustRightInd w:val="0"/>
        <w:spacing w:line="560" w:lineRule="exac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（二）“三公”经费财政拨款支出决算具体情况</w:t>
      </w:r>
      <w:r>
        <w:rPr>
          <w:rFonts w:hint="eastAsia" w:ascii="仿宋_GB2312" w:eastAsia="仿宋_GB2312" w:cs="仿宋_GB2312"/>
          <w:b/>
          <w:sz w:val="32"/>
          <w:szCs w:val="32"/>
          <w:lang w:eastAsia="zh-CN"/>
        </w:rPr>
        <w:t>说明</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2020年度“三公”经费财政拨款支出决算中，因公出国（境）费支出决算0万元，占0%；公务用车购置及运行费 支出决算0万元，占0 %；公务接待费支出决算0 万元，占0 %。具体情况如下： </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1.因公出国（境）费年初预算为0万元，支出决算</w:t>
      </w:r>
    </w:p>
    <w:p>
      <w:pPr>
        <w:autoSpaceDE w:val="0"/>
        <w:autoSpaceDN w:val="0"/>
        <w:adjustRightInd w:val="0"/>
        <w:spacing w:line="560" w:lineRule="exact"/>
        <w:rPr>
          <w:rFonts w:hint="eastAsia"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为0万元，完成年初预算的0%，增加（减少）原因说明。全年安排机关和所属单位因公出国（境）团组0个，累计0人次  </w:t>
      </w:r>
    </w:p>
    <w:p>
      <w:pPr>
        <w:autoSpaceDE w:val="0"/>
        <w:autoSpaceDN w:val="0"/>
        <w:adjustRightInd w:val="0"/>
        <w:spacing w:line="560" w:lineRule="exac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2.公务用车购置及运行费年初预算为0万元，支出决算为0万元，完成年初预算的0%，增加（减少）原因说明。其中：</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公务用车购置支出0万元。购置车辆说明</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公务用车运行支出0万元。主要是按规定保留的公务</w:t>
      </w:r>
    </w:p>
    <w:p>
      <w:pPr>
        <w:autoSpaceDE w:val="0"/>
        <w:autoSpaceDN w:val="0"/>
        <w:adjustRightInd w:val="0"/>
        <w:spacing w:line="560" w:lineRule="exac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用车的燃料费、维修费、过桥过路费、保险费、安全奖励费用等支出。截至2020年12月31日，公务用车运行支出0万元。主要是按规定保留的公务用车的燃料费、维修费、过桥过路费、保险费、安全奖励费用等支出。截至2020年12月31日，单位开支财政拨款的公务用车保有量为0辆。</w:t>
      </w:r>
    </w:p>
    <w:p>
      <w:pPr>
        <w:autoSpaceDE w:val="0"/>
        <w:autoSpaceDN w:val="0"/>
        <w:adjustRightInd w:val="0"/>
        <w:spacing w:line="560" w:lineRule="exac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3.公务接待费年初预算为0万元，支出决算为0万元，完成年初预算的0%，增加（减少）原因说明。其中：</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外宾接待支出0万元。主要用于0开展0工作发生的外宾接待支出。2020 年共接待国（境）外来访团组0个、来访外宾0人次。</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国内公务接待支出0万元。主要用于0。2020年共接待国内来访团组0个、来宾0人次.</w:t>
      </w:r>
    </w:p>
    <w:p>
      <w:pPr>
        <w:autoSpaceDE w:val="0"/>
        <w:autoSpaceDN w:val="0"/>
        <w:adjustRightInd w:val="0"/>
        <w:spacing w:line="560" w:lineRule="exac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八、</w:t>
      </w:r>
      <w:r>
        <w:rPr>
          <w:rFonts w:ascii="仿宋_GB2312" w:eastAsia="仿宋_GB2312" w:cs="仿宋_GB2312"/>
          <w:b/>
          <w:sz w:val="32"/>
          <w:szCs w:val="32"/>
          <w:lang w:eastAsia="zh-CN"/>
        </w:rPr>
        <w:t>20</w:t>
      </w:r>
      <w:r>
        <w:rPr>
          <w:rFonts w:hint="eastAsia" w:ascii="仿宋_GB2312" w:eastAsia="仿宋_GB2312" w:cs="仿宋_GB2312"/>
          <w:b/>
          <w:sz w:val="32"/>
          <w:szCs w:val="32"/>
          <w:lang w:eastAsia="zh-CN"/>
        </w:rPr>
        <w:t>20年度政府性基金预算财政拨款收入支出决算情况说明</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2020年度政府性基金预算财政拨款收、支总计4850万元。与</w:t>
      </w:r>
      <w:r>
        <w:rPr>
          <w:rFonts w:ascii="仿宋_GB2312" w:eastAsia="仿宋_GB2312" w:cs="仿宋_GB2312"/>
          <w:bCs/>
          <w:sz w:val="32"/>
          <w:szCs w:val="32"/>
          <w:lang w:eastAsia="zh-CN"/>
        </w:rPr>
        <w:t xml:space="preserve"> 201</w:t>
      </w:r>
      <w:r>
        <w:rPr>
          <w:rFonts w:hint="eastAsia" w:ascii="仿宋_GB2312" w:eastAsia="仿宋_GB2312" w:cs="仿宋_GB2312"/>
          <w:bCs/>
          <w:sz w:val="32"/>
          <w:szCs w:val="32"/>
          <w:lang w:eastAsia="zh-CN"/>
        </w:rPr>
        <w:t>9年相比，收、支总计各增加4574.42万元。其中，支出情况为：</w:t>
      </w:r>
    </w:p>
    <w:p>
      <w:pPr>
        <w:autoSpaceDE w:val="0"/>
        <w:autoSpaceDN w:val="0"/>
        <w:adjustRightInd w:val="0"/>
        <w:spacing w:line="560" w:lineRule="exact"/>
        <w:ind w:firstLine="640"/>
        <w:rPr>
          <w:rFonts w:hint="eastAsia" w:ascii="仿宋_GB2312" w:eastAsia="仿宋_GB2312" w:cs="仿宋_GB2312"/>
          <w:bCs/>
          <w:sz w:val="32"/>
          <w:szCs w:val="32"/>
          <w:lang w:eastAsia="zh-CN"/>
        </w:rPr>
      </w:pPr>
      <w:r>
        <w:rPr>
          <w:rFonts w:hint="eastAsia" w:ascii="仿宋_GB2312" w:eastAsia="仿宋_GB2312" w:cs="仿宋_GB2312"/>
          <w:bCs/>
          <w:sz w:val="32"/>
          <w:szCs w:val="32"/>
          <w:lang w:eastAsia="zh-CN"/>
        </w:rPr>
        <w:t>2020年政府性基金预算财政拨款年初预算为0万元，支出决算4850万元，其中：</w:t>
      </w:r>
    </w:p>
    <w:p>
      <w:pPr>
        <w:tabs>
          <w:tab w:val="left" w:pos="221"/>
        </w:tabs>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1、城乡社区支出（类）国有土地使用权出让收入安排的支出（款）其他国有土地使用权出让收入安排的支出（项）。年初预算为0万元，支出决算为50万元。决算数大于预算数的主要原因是财政拨入预防性体检专项经费。</w:t>
      </w:r>
    </w:p>
    <w:p>
      <w:pPr>
        <w:tabs>
          <w:tab w:val="left" w:pos="221"/>
        </w:tabs>
        <w:autoSpaceDE w:val="0"/>
        <w:autoSpaceDN w:val="0"/>
        <w:adjustRightInd w:val="0"/>
        <w:spacing w:line="560" w:lineRule="exact"/>
        <w:ind w:left="709"/>
        <w:rPr>
          <w:rFonts w:ascii="仿宋_GB2312" w:eastAsia="仿宋_GB2312" w:cs="仿宋_GB2312"/>
          <w:bCs/>
          <w:sz w:val="32"/>
          <w:szCs w:val="32"/>
          <w:lang w:eastAsia="zh-CN"/>
        </w:rPr>
      </w:pPr>
      <w:r>
        <w:rPr>
          <w:rFonts w:hint="eastAsia" w:ascii="仿宋_GB2312" w:eastAsia="仿宋_GB2312" w:cs="仿宋_GB2312"/>
          <w:bCs/>
          <w:sz w:val="32"/>
          <w:szCs w:val="32"/>
          <w:lang w:eastAsia="zh-CN"/>
        </w:rPr>
        <w:t>2、其他支出（类）其他政府性基金及对应专项债务收入安排的支出（款）其他地方自行试点项目收益专项债券收入安排的支出（项）。年初预算为0万元，支出决算为3500万元。决算数大于预算数的主要原因是新增政府债。</w:t>
      </w:r>
    </w:p>
    <w:p>
      <w:pPr>
        <w:tabs>
          <w:tab w:val="left" w:pos="221"/>
        </w:tabs>
        <w:autoSpaceDE w:val="0"/>
        <w:autoSpaceDN w:val="0"/>
        <w:adjustRightInd w:val="0"/>
        <w:spacing w:line="560" w:lineRule="exact"/>
        <w:ind w:left="709"/>
        <w:rPr>
          <w:rFonts w:ascii="仿宋_GB2312" w:eastAsia="仿宋_GB2312" w:cs="仿宋_GB2312"/>
          <w:bCs/>
          <w:sz w:val="32"/>
          <w:szCs w:val="32"/>
          <w:lang w:eastAsia="zh-CN"/>
        </w:rPr>
      </w:pPr>
      <w:r>
        <w:rPr>
          <w:rFonts w:hint="eastAsia" w:ascii="仿宋_GB2312" w:eastAsia="仿宋_GB2312" w:cs="仿宋_GB2312"/>
          <w:bCs/>
          <w:sz w:val="32"/>
          <w:szCs w:val="32"/>
          <w:lang w:eastAsia="zh-CN"/>
        </w:rPr>
        <w:t>3、抗疫特别国债安排的支出（类）基础设施建设（款）重大疫情防控救治体系建设（项）。年初预算为0万元，支出决算为1300万元。决算数大于预算数的主要原因是核酸实验室建设及发热门诊建设及设备购置。</w:t>
      </w:r>
    </w:p>
    <w:p>
      <w:pPr>
        <w:autoSpaceDE w:val="0"/>
        <w:autoSpaceDN w:val="0"/>
        <w:adjustRightInd w:val="0"/>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九、预算绩效情况说明</w:t>
      </w:r>
    </w:p>
    <w:p>
      <w:pPr>
        <w:numPr>
          <w:ilvl w:val="0"/>
          <w:numId w:val="2"/>
        </w:numPr>
        <w:autoSpaceDE w:val="0"/>
        <w:autoSpaceDN w:val="0"/>
        <w:adjustRightInd w:val="0"/>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预算绩效管理工作开展情况</w:t>
      </w:r>
    </w:p>
    <w:p>
      <w:pPr>
        <w:autoSpaceDE w:val="0"/>
        <w:autoSpaceDN w:val="0"/>
        <w:adjustRightInd w:val="0"/>
        <w:rPr>
          <w:rFonts w:ascii="仿宋_GB2312" w:eastAsia="仿宋_GB2312" w:cs="仿宋_GB2312"/>
          <w:sz w:val="32"/>
          <w:szCs w:val="32"/>
          <w:lang w:eastAsia="zh-CN"/>
        </w:rPr>
      </w:pPr>
      <w:r>
        <w:rPr>
          <w:rFonts w:hint="eastAsia" w:ascii="仿宋_GB2312" w:eastAsia="仿宋_GB2312" w:cs="仿宋_GB2312"/>
          <w:bCs/>
          <w:sz w:val="32"/>
          <w:szCs w:val="32"/>
          <w:lang w:eastAsia="zh-CN"/>
        </w:rPr>
        <w:t xml:space="preserve">    无</w:t>
      </w:r>
    </w:p>
    <w:p>
      <w:pPr>
        <w:autoSpaceDE w:val="0"/>
        <w:autoSpaceDN w:val="0"/>
        <w:adjustRightInd w:val="0"/>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十、其他重要事项的情况说明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（一）机关运行经费支出情况。</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2020年度，机关运行经费支出0万。</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（二）政府采购支出情况。</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2020年度，政府采购支出总额0万元，其中：政府采购货物支出0万元、政府采购工程支出0万元、政府采购服务支出0万元。授予中小企业合同金0万元，占政府采购支出总额的 0%，其中：授予小微企业合同金额0万元，占政府采购支出总额的0%。</w:t>
      </w:r>
    </w:p>
    <w:p>
      <w:pPr>
        <w:autoSpaceDE w:val="0"/>
        <w:autoSpaceDN w:val="0"/>
        <w:adjustRightInd w:val="0"/>
        <w:spacing w:line="560" w:lineRule="exact"/>
        <w:ind w:firstLine="627" w:firstLineChars="196"/>
        <w:rPr>
          <w:rFonts w:ascii="仿宋_GB2312" w:eastAsia="仿宋_GB2312" w:cs="仿宋_GB2312"/>
          <w:sz w:val="32"/>
          <w:szCs w:val="32"/>
          <w:lang w:eastAsia="zh-CN"/>
        </w:rPr>
      </w:pPr>
      <w:r>
        <w:rPr>
          <w:rFonts w:hint="eastAsia" w:ascii="仿宋_GB2312" w:eastAsia="仿宋_GB2312" w:cs="仿宋_GB2312"/>
          <w:sz w:val="32"/>
          <w:szCs w:val="32"/>
          <w:lang w:eastAsia="zh-CN"/>
        </w:rPr>
        <w:t>（三）国有资产占用情况。</w:t>
      </w:r>
    </w:p>
    <w:p>
      <w:pPr>
        <w:autoSpaceDE w:val="0"/>
        <w:autoSpaceDN w:val="0"/>
        <w:adjustRightInd w:val="0"/>
        <w:spacing w:line="560" w:lineRule="exact"/>
        <w:ind w:firstLine="627" w:firstLineChars="196"/>
        <w:rPr>
          <w:rFonts w:ascii="仿宋_GB2312" w:eastAsia="仿宋_GB2312" w:cs="仿宋_GB2312"/>
          <w:sz w:val="32"/>
          <w:szCs w:val="32"/>
          <w:lang w:eastAsia="zh-CN"/>
        </w:rPr>
      </w:pPr>
      <w:r>
        <w:rPr>
          <w:rFonts w:hint="eastAsia" w:ascii="仿宋_GB2312" w:eastAsia="仿宋_GB2312" w:cs="仿宋_GB2312"/>
          <w:sz w:val="32"/>
          <w:szCs w:val="32"/>
          <w:lang w:eastAsia="zh-CN"/>
        </w:rPr>
        <w:t xml:space="preserve">截至2020年12月31日，部门共有车辆10辆，其中：公务用车0辆；执法执勤用车0辆；专业技术用车10辆；其他用车0辆；单价50万元以上通用设备5台（套），单价100 万元以上专用设备14台（套）。 </w:t>
      </w:r>
    </w:p>
    <w:p>
      <w:pPr>
        <w:ind w:firstLine="645"/>
        <w:rPr>
          <w:rFonts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numPr>
          <w:ilvl w:val="0"/>
          <w:numId w:val="3"/>
        </w:numPr>
        <w:ind w:firstLine="645"/>
        <w:rPr>
          <w:rFonts w:ascii="仿宋_GB2312" w:eastAsia="仿宋_GB2312"/>
          <w:bCs/>
          <w:sz w:val="32"/>
          <w:szCs w:val="32"/>
          <w:lang w:eastAsia="zh-CN"/>
        </w:rPr>
      </w:pPr>
      <w:r>
        <w:rPr>
          <w:rFonts w:hint="eastAsia" w:ascii="仿宋_GB2312" w:eastAsia="仿宋_GB2312"/>
          <w:bCs/>
          <w:sz w:val="32"/>
          <w:szCs w:val="32"/>
          <w:lang w:eastAsia="zh-CN"/>
        </w:rPr>
        <w:t>财政拨款收入：指县本级财政当年拨付的资金。</w:t>
      </w:r>
    </w:p>
    <w:p>
      <w:pPr>
        <w:numPr>
          <w:ilvl w:val="0"/>
          <w:numId w:val="3"/>
        </w:numPr>
        <w:ind w:firstLine="645"/>
        <w:rPr>
          <w:rFonts w:ascii="仿宋_GB2312" w:eastAsia="仿宋_GB2312"/>
          <w:bCs/>
          <w:sz w:val="32"/>
          <w:szCs w:val="32"/>
          <w:lang w:eastAsia="zh-CN"/>
        </w:rPr>
      </w:pPr>
      <w:r>
        <w:rPr>
          <w:rFonts w:hint="eastAsia" w:ascii="仿宋_GB2312" w:eastAsia="仿宋_GB2312"/>
          <w:bCs/>
          <w:sz w:val="32"/>
          <w:szCs w:val="32"/>
          <w:lang w:eastAsia="zh-CN"/>
        </w:rPr>
        <w:t>事业收入：指事业单位开展专业活动用辅助活动所取得的收入。</w:t>
      </w:r>
    </w:p>
    <w:p>
      <w:pPr>
        <w:numPr>
          <w:ilvl w:val="0"/>
          <w:numId w:val="3"/>
        </w:numPr>
        <w:ind w:firstLine="645"/>
        <w:rPr>
          <w:rFonts w:ascii="仿宋_GB2312" w:eastAsia="仿宋_GB2312"/>
          <w:bCs/>
          <w:sz w:val="32"/>
          <w:szCs w:val="32"/>
          <w:lang w:eastAsia="zh-CN"/>
        </w:rPr>
      </w:pPr>
      <w:r>
        <w:rPr>
          <w:rFonts w:hint="eastAsia" w:ascii="仿宋_GB2312" w:eastAsia="仿宋_GB2312"/>
          <w:bCs/>
          <w:sz w:val="32"/>
          <w:szCs w:val="32"/>
          <w:lang w:eastAsia="zh-CN"/>
        </w:rPr>
        <w:t>经营收入：指事业单位在专业业务活动及辅助活动之外开展非独立核算经营活动取得的收入。</w:t>
      </w:r>
    </w:p>
    <w:p>
      <w:pPr>
        <w:numPr>
          <w:ilvl w:val="0"/>
          <w:numId w:val="3"/>
        </w:numPr>
        <w:ind w:firstLine="645"/>
        <w:rPr>
          <w:rFonts w:ascii="仿宋_GB2312" w:eastAsia="仿宋_GB2312"/>
          <w:bCs/>
          <w:sz w:val="32"/>
          <w:szCs w:val="32"/>
          <w:lang w:eastAsia="zh-CN"/>
        </w:rPr>
      </w:pPr>
      <w:r>
        <w:rPr>
          <w:rFonts w:hint="eastAsia" w:ascii="仿宋_GB2312" w:eastAsia="仿宋_GB2312"/>
          <w:bCs/>
          <w:sz w:val="32"/>
          <w:szCs w:val="32"/>
          <w:lang w:eastAsia="zh-CN"/>
        </w:rPr>
        <w:t>指单位取得的除上述收入以外的各项收入。主要是：......</w:t>
      </w:r>
    </w:p>
    <w:p>
      <w:pPr>
        <w:numPr>
          <w:ilvl w:val="0"/>
          <w:numId w:val="3"/>
        </w:numPr>
        <w:ind w:firstLine="645"/>
        <w:rPr>
          <w:rFonts w:ascii="仿宋_GB2312" w:eastAsia="仿宋_GB2312"/>
          <w:bCs/>
          <w:sz w:val="32"/>
          <w:szCs w:val="32"/>
          <w:lang w:eastAsia="zh-CN"/>
        </w:rPr>
      </w:pPr>
      <w:r>
        <w:rPr>
          <w:rFonts w:hint="eastAsia" w:ascii="仿宋_GB2312" w:eastAsia="仿宋_GB2312"/>
          <w:bCs/>
          <w:sz w:val="32"/>
          <w:szCs w:val="32"/>
          <w:lang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ind w:firstLine="645"/>
        <w:rPr>
          <w:rFonts w:ascii="仿宋_GB2312" w:eastAsia="仿宋_GB2312"/>
          <w:bCs/>
          <w:sz w:val="32"/>
          <w:szCs w:val="32"/>
          <w:lang w:eastAsia="zh-CN"/>
        </w:rPr>
      </w:pPr>
      <w:r>
        <w:rPr>
          <w:rFonts w:hint="eastAsia" w:ascii="仿宋_GB2312" w:eastAsia="仿宋_GB2312"/>
          <w:bCs/>
          <w:sz w:val="32"/>
          <w:szCs w:val="32"/>
          <w:lang w:eastAsia="zh-CN"/>
        </w:rPr>
        <w:t>年初结转和结余：指以前年度尚未完成、结转到本年按规定继续使用的资金。</w:t>
      </w:r>
    </w:p>
    <w:p>
      <w:pPr>
        <w:numPr>
          <w:ilvl w:val="0"/>
          <w:numId w:val="3"/>
        </w:numPr>
        <w:ind w:firstLine="645"/>
        <w:rPr>
          <w:rFonts w:ascii="仿宋_GB2312" w:eastAsia="仿宋_GB2312"/>
          <w:bCs/>
          <w:sz w:val="32"/>
          <w:szCs w:val="32"/>
          <w:lang w:eastAsia="zh-CN"/>
        </w:rPr>
      </w:pPr>
      <w:r>
        <w:rPr>
          <w:rFonts w:hint="eastAsia" w:ascii="仿宋_GB2312" w:eastAsia="仿宋_GB2312"/>
          <w:bCs/>
          <w:sz w:val="32"/>
          <w:szCs w:val="32"/>
          <w:lang w:eastAsia="zh-CN"/>
        </w:rPr>
        <w:t>结余分配：指事业单位按照会计制度规定缴纳的所得税以及从非财政补助结余中提取的职工福利基金、事业基金等。</w:t>
      </w:r>
    </w:p>
    <w:p>
      <w:pPr>
        <w:numPr>
          <w:ilvl w:val="0"/>
          <w:numId w:val="3"/>
        </w:numPr>
        <w:ind w:firstLine="645"/>
        <w:rPr>
          <w:rFonts w:ascii="仿宋_GB2312" w:eastAsia="仿宋_GB2312"/>
          <w:bCs/>
          <w:sz w:val="32"/>
          <w:szCs w:val="32"/>
          <w:lang w:eastAsia="zh-CN"/>
        </w:rPr>
      </w:pPr>
      <w:r>
        <w:rPr>
          <w:rFonts w:hint="eastAsia" w:ascii="仿宋_GB2312" w:eastAsia="仿宋_GB2312"/>
          <w:bCs/>
          <w:sz w:val="32"/>
          <w:szCs w:val="32"/>
          <w:lang w:eastAsia="zh-CN"/>
        </w:rPr>
        <w:t>年末结转和结余：指单位按有关规定结转到下年或以后年度继续使用的资金。</w:t>
      </w:r>
    </w:p>
    <w:p>
      <w:pPr>
        <w:numPr>
          <w:ilvl w:val="0"/>
          <w:numId w:val="3"/>
        </w:numPr>
        <w:ind w:firstLine="645"/>
        <w:rPr>
          <w:rFonts w:ascii="仿宋_GB2312" w:eastAsia="仿宋_GB2312"/>
          <w:bCs/>
          <w:sz w:val="32"/>
          <w:szCs w:val="32"/>
          <w:lang w:eastAsia="zh-CN"/>
        </w:rPr>
      </w:pPr>
      <w:r>
        <w:rPr>
          <w:rFonts w:hint="eastAsia" w:ascii="仿宋_GB2312" w:eastAsia="仿宋_GB2312"/>
          <w:bCs/>
          <w:sz w:val="32"/>
          <w:szCs w:val="32"/>
          <w:lang w:eastAsia="zh-CN"/>
        </w:rPr>
        <w:t>基本支出：指为保障机构正常运转、完成日常工作任务而发生的人员支出和公用支出。</w:t>
      </w:r>
    </w:p>
    <w:p>
      <w:pPr>
        <w:numPr>
          <w:ilvl w:val="0"/>
          <w:numId w:val="3"/>
        </w:numPr>
        <w:ind w:firstLine="645"/>
        <w:rPr>
          <w:rFonts w:ascii="仿宋_GB2312" w:eastAsia="仿宋_GB2312"/>
          <w:bCs/>
          <w:sz w:val="32"/>
          <w:szCs w:val="32"/>
          <w:lang w:eastAsia="zh-CN"/>
        </w:rPr>
      </w:pPr>
      <w:r>
        <w:rPr>
          <w:rFonts w:hint="eastAsia" w:ascii="仿宋_GB2312" w:eastAsia="仿宋_GB2312"/>
          <w:bCs/>
          <w:sz w:val="32"/>
          <w:szCs w:val="32"/>
          <w:lang w:eastAsia="zh-CN"/>
        </w:rPr>
        <w:t>项目支出：指在基本支出之外为完成特定行政任务和事业发展目标所发生的支出。</w:t>
      </w:r>
    </w:p>
    <w:p>
      <w:pPr>
        <w:numPr>
          <w:ilvl w:val="0"/>
          <w:numId w:val="3"/>
        </w:numPr>
        <w:ind w:firstLine="645"/>
        <w:rPr>
          <w:rFonts w:ascii="仿宋_GB2312" w:eastAsia="仿宋_GB2312"/>
          <w:bCs/>
          <w:sz w:val="32"/>
          <w:szCs w:val="32"/>
          <w:lang w:eastAsia="zh-CN"/>
        </w:rPr>
      </w:pPr>
      <w:r>
        <w:rPr>
          <w:rFonts w:hint="eastAsia" w:ascii="仿宋_GB2312" w:eastAsia="仿宋_GB2312"/>
          <w:bCs/>
          <w:sz w:val="32"/>
          <w:szCs w:val="32"/>
          <w:lang w:eastAsia="zh-CN"/>
        </w:rPr>
        <w:t>经营支出：指事业单位在专业业务活动及其辅助活动之外开展非独立核算经营活动发生的支出。</w:t>
      </w:r>
    </w:p>
    <w:p>
      <w:pPr>
        <w:numPr>
          <w:ilvl w:val="0"/>
          <w:numId w:val="3"/>
        </w:numPr>
        <w:ind w:firstLine="645"/>
        <w:rPr>
          <w:rFonts w:ascii="仿宋_GB2312" w:eastAsia="仿宋_GB2312"/>
          <w:bCs/>
          <w:sz w:val="32"/>
          <w:szCs w:val="32"/>
          <w:lang w:eastAsia="zh-CN"/>
        </w:rPr>
      </w:pPr>
      <w:r>
        <w:rPr>
          <w:rFonts w:hint="eastAsia" w:ascii="仿宋_GB2312" w:eastAsia="仿宋_GB2312"/>
          <w:bCs/>
          <w:sz w:val="32"/>
          <w:szCs w:val="32"/>
          <w:lang w:eastAsia="zh-CN"/>
        </w:rPr>
        <w:t>“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ind w:firstLine="645"/>
        <w:rPr>
          <w:rFonts w:ascii="仿宋_GB2312" w:eastAsia="仿宋_GB2312"/>
          <w:bCs/>
          <w:sz w:val="32"/>
          <w:szCs w:val="32"/>
          <w:lang w:eastAsia="zh-CN"/>
        </w:rPr>
      </w:pPr>
      <w:r>
        <w:rPr>
          <w:rFonts w:hint="eastAsia" w:ascii="仿宋_GB2312" w:eastAsia="仿宋_GB2312"/>
          <w:bCs/>
          <w:sz w:val="32"/>
          <w:szCs w:val="32"/>
          <w:lang w:eastAsia="zh-CN"/>
        </w:rPr>
        <w:t>机关运行经费：指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rPr>
          <w:rFonts w:ascii="仿宋_GB2312" w:eastAsia="仿宋_GB2312" w:cs="仿宋_GB2312"/>
          <w:sz w:val="32"/>
          <w:szCs w:val="32"/>
          <w:lang w:eastAsia="zh-CN"/>
        </w:rPr>
      </w:pPr>
    </w:p>
    <w:sectPr>
      <w:pgSz w:w="11906" w:h="16838"/>
      <w:pgMar w:top="1440" w:right="1797" w:bottom="1440" w:left="179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6E6869-0F60-414D-B677-899A97D0DA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embedRegular r:id="rId2" w:fontKey="{CCC2F36A-0792-43D5-B780-83EE3373D346}"/>
  </w:font>
  <w:font w:name="仿宋">
    <w:panose1 w:val="02010609060101010101"/>
    <w:charset w:val="86"/>
    <w:family w:val="auto"/>
    <w:pitch w:val="default"/>
    <w:sig w:usb0="800002BF" w:usb1="38CF7CFA" w:usb2="00000016" w:usb3="00000000" w:csb0="00040001" w:csb1="00000000"/>
    <w:embedRegular r:id="rId3" w:fontKey="{71DD70FA-1647-4C6E-BA9E-555EF3D52079}"/>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3F4E0006-5B26-4376-9D60-DB6EC8D68E89}"/>
  </w:font>
  <w:font w:name="华文仿宋">
    <w:altName w:val="仿宋"/>
    <w:panose1 w:val="02010600040101010101"/>
    <w:charset w:val="86"/>
    <w:family w:val="auto"/>
    <w:pitch w:val="default"/>
    <w:sig w:usb0="00000000" w:usb1="00000000" w:usb2="00000010" w:usb3="00000000" w:csb0="0004009F" w:csb1="00000000"/>
    <w:embedRegular r:id="rId5" w:fontKey="{0A1022DC-08CE-489C-B658-DB89AF5A68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1"/>
        <w:sz w:val="30"/>
        <w:szCs w:val="30"/>
      </w:rPr>
    </w:pPr>
    <w:r>
      <w:rPr>
        <w:sz w:val="30"/>
        <w:szCs w:val="30"/>
      </w:rPr>
      <w:fldChar w:fldCharType="begin"/>
    </w:r>
    <w:r>
      <w:rPr>
        <w:rStyle w:val="21"/>
        <w:sz w:val="30"/>
        <w:szCs w:val="30"/>
      </w:rPr>
      <w:instrText xml:space="preserve">PAGE  </w:instrText>
    </w:r>
    <w:r>
      <w:rPr>
        <w:sz w:val="30"/>
        <w:szCs w:val="30"/>
      </w:rPr>
      <w:fldChar w:fldCharType="separate"/>
    </w:r>
    <w:r>
      <w:rPr>
        <w:rStyle w:val="21"/>
        <w:sz w:val="30"/>
        <w:szCs w:val="30"/>
      </w:rPr>
      <w:t>- 10 -</w:t>
    </w:r>
    <w:r>
      <w:rPr>
        <w:sz w:val="30"/>
        <w:szCs w:val="30"/>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1"/>
      </w:rPr>
    </w:pPr>
    <w:r>
      <w:fldChar w:fldCharType="begin"/>
    </w:r>
    <w:r>
      <w:rPr>
        <w:rStyle w:val="21"/>
      </w:rPr>
      <w:instrText xml:space="preserve">PAGE  </w:instrText>
    </w:r>
    <w:r>
      <w:fldChar w:fldCharType="end"/>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168F9"/>
    <w:multiLevelType w:val="singleLevel"/>
    <w:tmpl w:val="588168F9"/>
    <w:lvl w:ilvl="0" w:tentative="0">
      <w:start w:val="2"/>
      <w:numFmt w:val="decimal"/>
      <w:suff w:val="nothing"/>
      <w:lvlText w:val="（%1）"/>
      <w:lvlJc w:val="left"/>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TQ3MjlhOTIzYzA2NWY1OTQ3ODRjNDEzZWExZGMifQ=="/>
  </w:docVars>
  <w:rsids>
    <w:rsidRoot w:val="00172A27"/>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67D62"/>
    <w:rsid w:val="000726FB"/>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97E70"/>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313"/>
    <w:rsid w:val="00170279"/>
    <w:rsid w:val="00170403"/>
    <w:rsid w:val="001718C7"/>
    <w:rsid w:val="00172A27"/>
    <w:rsid w:val="0017498B"/>
    <w:rsid w:val="001847E1"/>
    <w:rsid w:val="00184C71"/>
    <w:rsid w:val="00184D07"/>
    <w:rsid w:val="00185888"/>
    <w:rsid w:val="00185CCD"/>
    <w:rsid w:val="00186585"/>
    <w:rsid w:val="0018764F"/>
    <w:rsid w:val="00191280"/>
    <w:rsid w:val="00194E59"/>
    <w:rsid w:val="00196A9B"/>
    <w:rsid w:val="00197610"/>
    <w:rsid w:val="001A0C25"/>
    <w:rsid w:val="001A1448"/>
    <w:rsid w:val="001A6FD4"/>
    <w:rsid w:val="001B0307"/>
    <w:rsid w:val="001B166A"/>
    <w:rsid w:val="001B4B53"/>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92C15"/>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524"/>
    <w:rsid w:val="00326B01"/>
    <w:rsid w:val="00332392"/>
    <w:rsid w:val="0033707D"/>
    <w:rsid w:val="00337891"/>
    <w:rsid w:val="00340BE4"/>
    <w:rsid w:val="00341BFA"/>
    <w:rsid w:val="0034272A"/>
    <w:rsid w:val="003447DA"/>
    <w:rsid w:val="0034512A"/>
    <w:rsid w:val="00346FB4"/>
    <w:rsid w:val="00351E52"/>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3F6E18"/>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7B"/>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47B1E"/>
    <w:rsid w:val="00651EB1"/>
    <w:rsid w:val="006525EA"/>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1AE9"/>
    <w:rsid w:val="0067481E"/>
    <w:rsid w:val="00674CF3"/>
    <w:rsid w:val="00681F9C"/>
    <w:rsid w:val="00682A95"/>
    <w:rsid w:val="00682B38"/>
    <w:rsid w:val="006851F9"/>
    <w:rsid w:val="0069307B"/>
    <w:rsid w:val="006972ED"/>
    <w:rsid w:val="006A2761"/>
    <w:rsid w:val="006A2D4B"/>
    <w:rsid w:val="006A3A31"/>
    <w:rsid w:val="006A7174"/>
    <w:rsid w:val="006A7688"/>
    <w:rsid w:val="006B1881"/>
    <w:rsid w:val="006B1E13"/>
    <w:rsid w:val="006B2177"/>
    <w:rsid w:val="006B22C2"/>
    <w:rsid w:val="006B5F57"/>
    <w:rsid w:val="006B65CA"/>
    <w:rsid w:val="006C3C3A"/>
    <w:rsid w:val="006C4FA3"/>
    <w:rsid w:val="006C4FE5"/>
    <w:rsid w:val="006C6837"/>
    <w:rsid w:val="006C7E2F"/>
    <w:rsid w:val="006D5E23"/>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037"/>
    <w:rsid w:val="007315DD"/>
    <w:rsid w:val="007332FF"/>
    <w:rsid w:val="00737545"/>
    <w:rsid w:val="00737D11"/>
    <w:rsid w:val="007422D1"/>
    <w:rsid w:val="00743155"/>
    <w:rsid w:val="00745247"/>
    <w:rsid w:val="00745B18"/>
    <w:rsid w:val="007506E0"/>
    <w:rsid w:val="007509D4"/>
    <w:rsid w:val="007539A3"/>
    <w:rsid w:val="00755474"/>
    <w:rsid w:val="00756D28"/>
    <w:rsid w:val="00757242"/>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271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6636C"/>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5D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297"/>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503E"/>
    <w:rsid w:val="00A850E0"/>
    <w:rsid w:val="00A86014"/>
    <w:rsid w:val="00A910EE"/>
    <w:rsid w:val="00A94D03"/>
    <w:rsid w:val="00A96D19"/>
    <w:rsid w:val="00AA0F15"/>
    <w:rsid w:val="00AA579D"/>
    <w:rsid w:val="00AA764D"/>
    <w:rsid w:val="00AA7BD6"/>
    <w:rsid w:val="00AB0FD7"/>
    <w:rsid w:val="00AB1DC5"/>
    <w:rsid w:val="00AB4560"/>
    <w:rsid w:val="00AC0DDC"/>
    <w:rsid w:val="00AC3648"/>
    <w:rsid w:val="00AC6B2C"/>
    <w:rsid w:val="00AC747D"/>
    <w:rsid w:val="00AD0867"/>
    <w:rsid w:val="00AD1AEC"/>
    <w:rsid w:val="00AD2AF1"/>
    <w:rsid w:val="00AD67F5"/>
    <w:rsid w:val="00AE00E6"/>
    <w:rsid w:val="00AE18C7"/>
    <w:rsid w:val="00AE495F"/>
    <w:rsid w:val="00AE5A90"/>
    <w:rsid w:val="00AF20BF"/>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55B90"/>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6AF2"/>
    <w:rsid w:val="00BE7805"/>
    <w:rsid w:val="00BF3B1A"/>
    <w:rsid w:val="00BF6C43"/>
    <w:rsid w:val="00BF761E"/>
    <w:rsid w:val="00C01E04"/>
    <w:rsid w:val="00C02113"/>
    <w:rsid w:val="00C0399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281C"/>
    <w:rsid w:val="00C435D1"/>
    <w:rsid w:val="00C44FCE"/>
    <w:rsid w:val="00C45363"/>
    <w:rsid w:val="00C46B5A"/>
    <w:rsid w:val="00C50DFF"/>
    <w:rsid w:val="00C53E52"/>
    <w:rsid w:val="00C53FC9"/>
    <w:rsid w:val="00C55B5E"/>
    <w:rsid w:val="00C56A4E"/>
    <w:rsid w:val="00C5724C"/>
    <w:rsid w:val="00C61F6E"/>
    <w:rsid w:val="00C635D6"/>
    <w:rsid w:val="00C65972"/>
    <w:rsid w:val="00C663E4"/>
    <w:rsid w:val="00C66FF6"/>
    <w:rsid w:val="00C6723F"/>
    <w:rsid w:val="00C67A5E"/>
    <w:rsid w:val="00C70137"/>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661F"/>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43B"/>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312D"/>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4E07"/>
    <w:rsid w:val="00E75E18"/>
    <w:rsid w:val="00E80717"/>
    <w:rsid w:val="00E84179"/>
    <w:rsid w:val="00E85410"/>
    <w:rsid w:val="00E86F20"/>
    <w:rsid w:val="00E913F3"/>
    <w:rsid w:val="00E95BDA"/>
    <w:rsid w:val="00EA05E3"/>
    <w:rsid w:val="00EA4368"/>
    <w:rsid w:val="00EA5AD9"/>
    <w:rsid w:val="00EA5D9F"/>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123"/>
    <w:rsid w:val="00FA0CC0"/>
    <w:rsid w:val="00FA35CA"/>
    <w:rsid w:val="00FB2E39"/>
    <w:rsid w:val="00FB4013"/>
    <w:rsid w:val="00FB5B66"/>
    <w:rsid w:val="00FC2319"/>
    <w:rsid w:val="00FC4DCD"/>
    <w:rsid w:val="00FC530C"/>
    <w:rsid w:val="00FD1908"/>
    <w:rsid w:val="00FD3110"/>
    <w:rsid w:val="00FD4814"/>
    <w:rsid w:val="00FD5774"/>
    <w:rsid w:val="00FE02B0"/>
    <w:rsid w:val="00FE1350"/>
    <w:rsid w:val="00FE20C9"/>
    <w:rsid w:val="00FE46A9"/>
    <w:rsid w:val="00FE53B2"/>
    <w:rsid w:val="00FE59C3"/>
    <w:rsid w:val="00FE697B"/>
    <w:rsid w:val="00FE73A4"/>
    <w:rsid w:val="00FF073E"/>
    <w:rsid w:val="03585E8D"/>
    <w:rsid w:val="04391BD8"/>
    <w:rsid w:val="05FD0FA4"/>
    <w:rsid w:val="08007BBF"/>
    <w:rsid w:val="099D0853"/>
    <w:rsid w:val="0BC07E1A"/>
    <w:rsid w:val="162067A6"/>
    <w:rsid w:val="1AD149F7"/>
    <w:rsid w:val="1F661D8D"/>
    <w:rsid w:val="1FA953CC"/>
    <w:rsid w:val="24596914"/>
    <w:rsid w:val="2A7A50E0"/>
    <w:rsid w:val="2C003799"/>
    <w:rsid w:val="2EA04391"/>
    <w:rsid w:val="307D149D"/>
    <w:rsid w:val="33CD760B"/>
    <w:rsid w:val="44741DA1"/>
    <w:rsid w:val="467576A4"/>
    <w:rsid w:val="471C06CC"/>
    <w:rsid w:val="4B0D7ACE"/>
    <w:rsid w:val="4EAC3FF8"/>
    <w:rsid w:val="55DF53BA"/>
    <w:rsid w:val="57075B50"/>
    <w:rsid w:val="59E029D0"/>
    <w:rsid w:val="6EDB0934"/>
    <w:rsid w:val="78AC565B"/>
    <w:rsid w:val="79294ED6"/>
    <w:rsid w:val="7E2F57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Cambria" w:hAnsi="Cambria" w:eastAsia="宋体" w:cs="Times New Roman"/>
      <w:sz w:val="22"/>
      <w:szCs w:val="22"/>
      <w:lang w:val="en-US" w:eastAsia="en-US" w:bidi="en-US"/>
    </w:rPr>
  </w:style>
  <w:style w:type="paragraph" w:styleId="3">
    <w:name w:val="heading 1"/>
    <w:basedOn w:val="1"/>
    <w:next w:val="1"/>
    <w:link w:val="25"/>
    <w:qFormat/>
    <w:uiPriority w:val="9"/>
    <w:pPr>
      <w:pBdr>
        <w:bottom w:val="thinThickSmallGap" w:color="943634" w:sz="12" w:space="1"/>
      </w:pBdr>
      <w:spacing w:before="400"/>
      <w:jc w:val="center"/>
      <w:outlineLvl w:val="0"/>
    </w:pPr>
    <w:rPr>
      <w:caps/>
      <w:color w:val="632423"/>
      <w:spacing w:val="20"/>
      <w:sz w:val="28"/>
      <w:szCs w:val="28"/>
    </w:rPr>
  </w:style>
  <w:style w:type="paragraph" w:styleId="2">
    <w:name w:val="heading 2"/>
    <w:basedOn w:val="1"/>
    <w:next w:val="1"/>
    <w:link w:val="26"/>
    <w:semiHidden/>
    <w:unhideWhenUsed/>
    <w:qFormat/>
    <w:uiPriority w:val="9"/>
    <w:pPr>
      <w:pBdr>
        <w:bottom w:val="single" w:color="622423" w:sz="4" w:space="1"/>
      </w:pBdr>
      <w:spacing w:before="400"/>
      <w:jc w:val="center"/>
      <w:outlineLvl w:val="1"/>
    </w:pPr>
    <w:rPr>
      <w:caps/>
      <w:color w:val="632423"/>
      <w:spacing w:val="15"/>
      <w:sz w:val="24"/>
      <w:szCs w:val="24"/>
    </w:rPr>
  </w:style>
  <w:style w:type="paragraph" w:styleId="4">
    <w:name w:val="heading 3"/>
    <w:basedOn w:val="1"/>
    <w:next w:val="1"/>
    <w:link w:val="27"/>
    <w:semiHidden/>
    <w:unhideWhenUsed/>
    <w:qFormat/>
    <w:uiPriority w:val="9"/>
    <w:pPr>
      <w:pBdr>
        <w:top w:val="dotted" w:color="622423" w:sz="4" w:space="1"/>
        <w:bottom w:val="dotted" w:color="622423" w:sz="4" w:space="1"/>
      </w:pBdr>
      <w:spacing w:before="300"/>
      <w:jc w:val="center"/>
      <w:outlineLvl w:val="2"/>
    </w:pPr>
    <w:rPr>
      <w:caps/>
      <w:color w:val="622423"/>
      <w:sz w:val="24"/>
      <w:szCs w:val="24"/>
    </w:rPr>
  </w:style>
  <w:style w:type="paragraph" w:styleId="5">
    <w:name w:val="heading 4"/>
    <w:basedOn w:val="1"/>
    <w:next w:val="1"/>
    <w:link w:val="28"/>
    <w:semiHidden/>
    <w:unhideWhenUsed/>
    <w:qFormat/>
    <w:uiPriority w:val="9"/>
    <w:pPr>
      <w:pBdr>
        <w:bottom w:val="dotted" w:color="943634" w:sz="4" w:space="1"/>
      </w:pBdr>
      <w:spacing w:after="120"/>
      <w:jc w:val="center"/>
      <w:outlineLvl w:val="3"/>
    </w:pPr>
    <w:rPr>
      <w:caps/>
      <w:color w:val="622423"/>
      <w:spacing w:val="10"/>
    </w:rPr>
  </w:style>
  <w:style w:type="paragraph" w:styleId="6">
    <w:name w:val="heading 5"/>
    <w:basedOn w:val="1"/>
    <w:next w:val="1"/>
    <w:link w:val="29"/>
    <w:semiHidden/>
    <w:unhideWhenUsed/>
    <w:qFormat/>
    <w:uiPriority w:val="9"/>
    <w:pPr>
      <w:spacing w:before="320" w:after="120"/>
      <w:jc w:val="center"/>
      <w:outlineLvl w:val="4"/>
    </w:pPr>
    <w:rPr>
      <w:caps/>
      <w:color w:val="622423"/>
      <w:spacing w:val="10"/>
    </w:rPr>
  </w:style>
  <w:style w:type="paragraph" w:styleId="7">
    <w:name w:val="heading 6"/>
    <w:basedOn w:val="1"/>
    <w:next w:val="1"/>
    <w:link w:val="30"/>
    <w:semiHidden/>
    <w:unhideWhenUsed/>
    <w:qFormat/>
    <w:uiPriority w:val="9"/>
    <w:pPr>
      <w:spacing w:after="120"/>
      <w:jc w:val="center"/>
      <w:outlineLvl w:val="5"/>
    </w:pPr>
    <w:rPr>
      <w:caps/>
      <w:color w:val="943634"/>
      <w:spacing w:val="10"/>
    </w:rPr>
  </w:style>
  <w:style w:type="paragraph" w:styleId="8">
    <w:name w:val="heading 7"/>
    <w:basedOn w:val="1"/>
    <w:next w:val="1"/>
    <w:link w:val="31"/>
    <w:semiHidden/>
    <w:unhideWhenUsed/>
    <w:qFormat/>
    <w:uiPriority w:val="9"/>
    <w:pPr>
      <w:spacing w:after="120"/>
      <w:jc w:val="center"/>
      <w:outlineLvl w:val="6"/>
    </w:pPr>
    <w:rPr>
      <w:i/>
      <w:iCs/>
      <w:caps/>
      <w:color w:val="943634"/>
      <w:spacing w:val="10"/>
    </w:rPr>
  </w:style>
  <w:style w:type="paragraph" w:styleId="9">
    <w:name w:val="heading 8"/>
    <w:basedOn w:val="1"/>
    <w:next w:val="1"/>
    <w:link w:val="32"/>
    <w:semiHidden/>
    <w:unhideWhenUsed/>
    <w:qFormat/>
    <w:uiPriority w:val="9"/>
    <w:pPr>
      <w:spacing w:after="120"/>
      <w:jc w:val="center"/>
      <w:outlineLvl w:val="7"/>
    </w:pPr>
    <w:rPr>
      <w:caps/>
      <w:spacing w:val="10"/>
      <w:sz w:val="20"/>
      <w:szCs w:val="20"/>
    </w:rPr>
  </w:style>
  <w:style w:type="paragraph" w:styleId="10">
    <w:name w:val="heading 9"/>
    <w:basedOn w:val="1"/>
    <w:next w:val="1"/>
    <w:link w:val="33"/>
    <w:semiHidden/>
    <w:unhideWhenUsed/>
    <w:qFormat/>
    <w:uiPriority w:val="9"/>
    <w:pPr>
      <w:spacing w:after="120"/>
      <w:jc w:val="center"/>
      <w:outlineLvl w:val="8"/>
    </w:pPr>
    <w:rPr>
      <w:i/>
      <w:iCs/>
      <w:caps/>
      <w:spacing w:val="10"/>
      <w:sz w:val="20"/>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caps/>
      <w:spacing w:val="10"/>
      <w:sz w:val="18"/>
      <w:szCs w:val="18"/>
    </w:rPr>
  </w:style>
  <w:style w:type="paragraph" w:styleId="12">
    <w:name w:val="Body Text"/>
    <w:basedOn w:val="1"/>
    <w:next w:val="13"/>
    <w:qFormat/>
    <w:uiPriority w:val="0"/>
    <w:pPr>
      <w:spacing w:line="640" w:lineRule="exact"/>
      <w:jc w:val="center"/>
    </w:pPr>
    <w:rPr>
      <w:rFonts w:ascii="华文中宋" w:eastAsia="华文中宋"/>
      <w:b/>
      <w:bCs/>
      <w:sz w:val="44"/>
      <w:szCs w:val="24"/>
    </w:rPr>
  </w:style>
  <w:style w:type="paragraph" w:styleId="13">
    <w:name w:val="Title"/>
    <w:basedOn w:val="1"/>
    <w:next w:val="1"/>
    <w:link w:val="34"/>
    <w:qFormat/>
    <w:uiPriority w:val="10"/>
    <w:pPr>
      <w:pBdr>
        <w:top w:val="dotted" w:color="632423" w:sz="2" w:space="1"/>
        <w:bottom w:val="dotted" w:color="632423" w:sz="2" w:space="6"/>
      </w:pBdr>
      <w:spacing w:before="500" w:after="300" w:line="240" w:lineRule="auto"/>
      <w:jc w:val="center"/>
    </w:pPr>
    <w:rPr>
      <w:caps/>
      <w:color w:val="632423"/>
      <w:spacing w:val="50"/>
      <w:sz w:val="44"/>
      <w:szCs w:val="44"/>
    </w:rPr>
  </w:style>
  <w:style w:type="paragraph" w:styleId="14">
    <w:name w:val="Balloon Text"/>
    <w:basedOn w:val="1"/>
    <w:semiHidden/>
    <w:qFormat/>
    <w:uiPriority w:val="0"/>
    <w:rPr>
      <w:sz w:val="18"/>
      <w:szCs w:val="18"/>
    </w:rPr>
  </w:style>
  <w:style w:type="paragraph" w:styleId="15">
    <w:name w:val="footer"/>
    <w:basedOn w:val="1"/>
    <w:link w:val="23"/>
    <w:qFormat/>
    <w:uiPriority w:val="0"/>
    <w:pPr>
      <w:tabs>
        <w:tab w:val="center" w:pos="4153"/>
        <w:tab w:val="right" w:pos="8306"/>
      </w:tabs>
      <w:snapToGrid w:val="0"/>
    </w:pPr>
    <w:rPr>
      <w:kern w:val="2"/>
      <w:sz w:val="18"/>
      <w:szCs w:val="18"/>
      <w:lang w:eastAsia="zh-CN" w:bidi="ar-SA"/>
    </w:rPr>
  </w:style>
  <w:style w:type="paragraph" w:styleId="16">
    <w:name w:val="header"/>
    <w:basedOn w:val="1"/>
    <w:link w:val="24"/>
    <w:qFormat/>
    <w:uiPriority w:val="0"/>
    <w:pPr>
      <w:pBdr>
        <w:bottom w:val="single" w:color="auto" w:sz="6" w:space="1"/>
      </w:pBdr>
      <w:tabs>
        <w:tab w:val="center" w:pos="4153"/>
        <w:tab w:val="right" w:pos="8306"/>
      </w:tabs>
      <w:snapToGrid w:val="0"/>
      <w:jc w:val="center"/>
    </w:pPr>
    <w:rPr>
      <w:kern w:val="2"/>
      <w:sz w:val="18"/>
      <w:szCs w:val="18"/>
      <w:lang w:eastAsia="zh-CN" w:bidi="ar-SA"/>
    </w:rPr>
  </w:style>
  <w:style w:type="paragraph" w:styleId="17">
    <w:name w:val="Subtitle"/>
    <w:basedOn w:val="1"/>
    <w:next w:val="1"/>
    <w:link w:val="35"/>
    <w:qFormat/>
    <w:uiPriority w:val="11"/>
    <w:pPr>
      <w:spacing w:after="560" w:line="240" w:lineRule="auto"/>
      <w:jc w:val="center"/>
    </w:pPr>
    <w:rPr>
      <w:caps/>
      <w:spacing w:val="20"/>
      <w:sz w:val="18"/>
      <w:szCs w:val="18"/>
    </w:rPr>
  </w:style>
  <w:style w:type="character" w:styleId="20">
    <w:name w:val="Strong"/>
    <w:qFormat/>
    <w:uiPriority w:val="22"/>
    <w:rPr>
      <w:b/>
      <w:bCs/>
      <w:color w:val="943634"/>
      <w:spacing w:val="5"/>
    </w:rPr>
  </w:style>
  <w:style w:type="character" w:styleId="21">
    <w:name w:val="page number"/>
    <w:basedOn w:val="19"/>
    <w:qFormat/>
    <w:uiPriority w:val="0"/>
  </w:style>
  <w:style w:type="character" w:styleId="22">
    <w:name w:val="Emphasis"/>
    <w:qFormat/>
    <w:uiPriority w:val="20"/>
    <w:rPr>
      <w:caps/>
      <w:spacing w:val="5"/>
      <w:sz w:val="20"/>
      <w:szCs w:val="20"/>
    </w:rPr>
  </w:style>
  <w:style w:type="character" w:customStyle="1" w:styleId="23">
    <w:name w:val="页脚 Char"/>
    <w:link w:val="15"/>
    <w:qFormat/>
    <w:uiPriority w:val="0"/>
    <w:rPr>
      <w:rFonts w:eastAsia="宋体"/>
      <w:kern w:val="2"/>
      <w:sz w:val="18"/>
      <w:szCs w:val="18"/>
      <w:lang w:val="en-US" w:eastAsia="zh-CN" w:bidi="ar-SA"/>
    </w:rPr>
  </w:style>
  <w:style w:type="character" w:customStyle="1" w:styleId="24">
    <w:name w:val="页眉 Char"/>
    <w:link w:val="16"/>
    <w:qFormat/>
    <w:uiPriority w:val="0"/>
    <w:rPr>
      <w:rFonts w:eastAsia="宋体"/>
      <w:kern w:val="2"/>
      <w:sz w:val="18"/>
      <w:szCs w:val="18"/>
      <w:lang w:val="en-US" w:eastAsia="zh-CN" w:bidi="ar-SA"/>
    </w:rPr>
  </w:style>
  <w:style w:type="character" w:customStyle="1" w:styleId="25">
    <w:name w:val="标题 1 Char"/>
    <w:basedOn w:val="19"/>
    <w:link w:val="3"/>
    <w:qFormat/>
    <w:uiPriority w:val="9"/>
    <w:rPr>
      <w:rFonts w:eastAsia="宋体" w:cs="Times New Roman"/>
      <w:caps/>
      <w:color w:val="632423"/>
      <w:spacing w:val="20"/>
      <w:sz w:val="28"/>
      <w:szCs w:val="28"/>
    </w:rPr>
  </w:style>
  <w:style w:type="character" w:customStyle="1" w:styleId="26">
    <w:name w:val="标题 2 Char"/>
    <w:basedOn w:val="19"/>
    <w:link w:val="2"/>
    <w:semiHidden/>
    <w:qFormat/>
    <w:uiPriority w:val="9"/>
    <w:rPr>
      <w:caps/>
      <w:color w:val="632423"/>
      <w:spacing w:val="15"/>
      <w:sz w:val="24"/>
      <w:szCs w:val="24"/>
    </w:rPr>
  </w:style>
  <w:style w:type="character" w:customStyle="1" w:styleId="27">
    <w:name w:val="标题 3 Char"/>
    <w:basedOn w:val="19"/>
    <w:link w:val="4"/>
    <w:semiHidden/>
    <w:qFormat/>
    <w:uiPriority w:val="9"/>
    <w:rPr>
      <w:rFonts w:eastAsia="宋体" w:cs="Times New Roman"/>
      <w:caps/>
      <w:color w:val="622423"/>
      <w:sz w:val="24"/>
      <w:szCs w:val="24"/>
    </w:rPr>
  </w:style>
  <w:style w:type="character" w:customStyle="1" w:styleId="28">
    <w:name w:val="标题 4 Char"/>
    <w:basedOn w:val="19"/>
    <w:link w:val="5"/>
    <w:semiHidden/>
    <w:qFormat/>
    <w:uiPriority w:val="9"/>
    <w:rPr>
      <w:rFonts w:eastAsia="宋体" w:cs="Times New Roman"/>
      <w:caps/>
      <w:color w:val="622423"/>
      <w:spacing w:val="10"/>
    </w:rPr>
  </w:style>
  <w:style w:type="character" w:customStyle="1" w:styleId="29">
    <w:name w:val="标题 5 Char"/>
    <w:basedOn w:val="19"/>
    <w:link w:val="6"/>
    <w:semiHidden/>
    <w:qFormat/>
    <w:uiPriority w:val="9"/>
    <w:rPr>
      <w:rFonts w:eastAsia="宋体" w:cs="Times New Roman"/>
      <w:caps/>
      <w:color w:val="622423"/>
      <w:spacing w:val="10"/>
    </w:rPr>
  </w:style>
  <w:style w:type="character" w:customStyle="1" w:styleId="30">
    <w:name w:val="标题 6 Char"/>
    <w:basedOn w:val="19"/>
    <w:link w:val="7"/>
    <w:semiHidden/>
    <w:qFormat/>
    <w:uiPriority w:val="9"/>
    <w:rPr>
      <w:rFonts w:eastAsia="宋体" w:cs="Times New Roman"/>
      <w:caps/>
      <w:color w:val="943634"/>
      <w:spacing w:val="10"/>
    </w:rPr>
  </w:style>
  <w:style w:type="character" w:customStyle="1" w:styleId="31">
    <w:name w:val="标题 7 Char"/>
    <w:basedOn w:val="19"/>
    <w:link w:val="8"/>
    <w:semiHidden/>
    <w:qFormat/>
    <w:uiPriority w:val="9"/>
    <w:rPr>
      <w:rFonts w:eastAsia="宋体" w:cs="Times New Roman"/>
      <w:i/>
      <w:iCs/>
      <w:caps/>
      <w:color w:val="943634"/>
      <w:spacing w:val="10"/>
    </w:rPr>
  </w:style>
  <w:style w:type="character" w:customStyle="1" w:styleId="32">
    <w:name w:val="标题 8 Char"/>
    <w:basedOn w:val="19"/>
    <w:link w:val="9"/>
    <w:semiHidden/>
    <w:qFormat/>
    <w:uiPriority w:val="9"/>
    <w:rPr>
      <w:rFonts w:eastAsia="宋体" w:cs="Times New Roman"/>
      <w:caps/>
      <w:spacing w:val="10"/>
      <w:sz w:val="20"/>
      <w:szCs w:val="20"/>
    </w:rPr>
  </w:style>
  <w:style w:type="character" w:customStyle="1" w:styleId="33">
    <w:name w:val="标题 9 Char"/>
    <w:basedOn w:val="19"/>
    <w:link w:val="10"/>
    <w:semiHidden/>
    <w:qFormat/>
    <w:uiPriority w:val="9"/>
    <w:rPr>
      <w:rFonts w:eastAsia="宋体" w:cs="Times New Roman"/>
      <w:i/>
      <w:iCs/>
      <w:caps/>
      <w:spacing w:val="10"/>
      <w:sz w:val="20"/>
      <w:szCs w:val="20"/>
    </w:rPr>
  </w:style>
  <w:style w:type="character" w:customStyle="1" w:styleId="34">
    <w:name w:val="标题 Char"/>
    <w:basedOn w:val="19"/>
    <w:link w:val="13"/>
    <w:qFormat/>
    <w:uiPriority w:val="10"/>
    <w:rPr>
      <w:rFonts w:eastAsia="宋体" w:cs="Times New Roman"/>
      <w:caps/>
      <w:color w:val="632423"/>
      <w:spacing w:val="50"/>
      <w:sz w:val="44"/>
      <w:szCs w:val="44"/>
    </w:rPr>
  </w:style>
  <w:style w:type="character" w:customStyle="1" w:styleId="35">
    <w:name w:val="副标题 Char"/>
    <w:basedOn w:val="19"/>
    <w:link w:val="17"/>
    <w:qFormat/>
    <w:uiPriority w:val="11"/>
    <w:rPr>
      <w:rFonts w:eastAsia="宋体" w:cs="Times New Roman"/>
      <w:caps/>
      <w:spacing w:val="20"/>
      <w:sz w:val="18"/>
      <w:szCs w:val="18"/>
    </w:rPr>
  </w:style>
  <w:style w:type="paragraph" w:styleId="36">
    <w:name w:val="No Spacing"/>
    <w:basedOn w:val="1"/>
    <w:link w:val="37"/>
    <w:qFormat/>
    <w:uiPriority w:val="1"/>
    <w:pPr>
      <w:spacing w:after="0" w:line="240" w:lineRule="auto"/>
    </w:pPr>
  </w:style>
  <w:style w:type="character" w:customStyle="1" w:styleId="37">
    <w:name w:val="无间隔 Char"/>
    <w:basedOn w:val="19"/>
    <w:link w:val="36"/>
    <w:qFormat/>
    <w:uiPriority w:val="1"/>
  </w:style>
  <w:style w:type="paragraph" w:styleId="38">
    <w:name w:val="List Paragraph"/>
    <w:basedOn w:val="1"/>
    <w:qFormat/>
    <w:uiPriority w:val="34"/>
    <w:pPr>
      <w:ind w:left="720"/>
      <w:contextualSpacing/>
    </w:pPr>
  </w:style>
  <w:style w:type="paragraph" w:styleId="39">
    <w:name w:val="Quote"/>
    <w:basedOn w:val="1"/>
    <w:next w:val="1"/>
    <w:link w:val="40"/>
    <w:qFormat/>
    <w:uiPriority w:val="29"/>
    <w:rPr>
      <w:i/>
      <w:iCs/>
    </w:rPr>
  </w:style>
  <w:style w:type="character" w:customStyle="1" w:styleId="40">
    <w:name w:val="引用 Char"/>
    <w:basedOn w:val="19"/>
    <w:link w:val="39"/>
    <w:qFormat/>
    <w:uiPriority w:val="29"/>
    <w:rPr>
      <w:rFonts w:eastAsia="宋体" w:cs="Times New Roman"/>
      <w:i/>
      <w:iCs/>
    </w:rPr>
  </w:style>
  <w:style w:type="paragraph" w:styleId="41">
    <w:name w:val="Intense Quote"/>
    <w:basedOn w:val="1"/>
    <w:next w:val="1"/>
    <w:link w:val="42"/>
    <w:qFormat/>
    <w:uiPriority w:val="30"/>
    <w:pPr>
      <w:pBdr>
        <w:top w:val="dotted" w:color="632423" w:sz="2" w:space="10"/>
        <w:bottom w:val="dotted" w:color="632423" w:sz="2" w:space="4"/>
      </w:pBdr>
      <w:spacing w:before="160" w:line="300" w:lineRule="auto"/>
      <w:ind w:left="1440" w:right="1440"/>
    </w:pPr>
    <w:rPr>
      <w:caps/>
      <w:color w:val="622423"/>
      <w:spacing w:val="5"/>
      <w:sz w:val="20"/>
      <w:szCs w:val="20"/>
    </w:rPr>
  </w:style>
  <w:style w:type="character" w:customStyle="1" w:styleId="42">
    <w:name w:val="明显引用 Char"/>
    <w:basedOn w:val="19"/>
    <w:link w:val="41"/>
    <w:qFormat/>
    <w:uiPriority w:val="30"/>
    <w:rPr>
      <w:rFonts w:eastAsia="宋体" w:cs="Times New Roman"/>
      <w:caps/>
      <w:color w:val="622423"/>
      <w:spacing w:val="5"/>
      <w:sz w:val="20"/>
      <w:szCs w:val="20"/>
    </w:rPr>
  </w:style>
  <w:style w:type="character" w:customStyle="1" w:styleId="43">
    <w:name w:val="不明显强调1"/>
    <w:qFormat/>
    <w:uiPriority w:val="19"/>
    <w:rPr>
      <w:i/>
      <w:iCs/>
    </w:rPr>
  </w:style>
  <w:style w:type="character" w:customStyle="1" w:styleId="44">
    <w:name w:val="明显强调1"/>
    <w:qFormat/>
    <w:uiPriority w:val="21"/>
    <w:rPr>
      <w:i/>
      <w:iCs/>
      <w:caps/>
      <w:spacing w:val="10"/>
      <w:sz w:val="20"/>
      <w:szCs w:val="20"/>
    </w:rPr>
  </w:style>
  <w:style w:type="character" w:customStyle="1" w:styleId="45">
    <w:name w:val="不明显参考1"/>
    <w:basedOn w:val="19"/>
    <w:qFormat/>
    <w:uiPriority w:val="31"/>
    <w:rPr>
      <w:rFonts w:ascii="Calibri" w:hAnsi="Calibri" w:eastAsia="宋体" w:cs="Times New Roman"/>
      <w:i/>
      <w:iCs/>
      <w:color w:val="622423"/>
    </w:rPr>
  </w:style>
  <w:style w:type="character" w:customStyle="1" w:styleId="46">
    <w:name w:val="明显参考1"/>
    <w:qFormat/>
    <w:uiPriority w:val="32"/>
    <w:rPr>
      <w:rFonts w:ascii="Calibri" w:hAnsi="Calibri" w:eastAsia="宋体" w:cs="Times New Roman"/>
      <w:b/>
      <w:bCs/>
      <w:i/>
      <w:iCs/>
      <w:color w:val="622423"/>
    </w:rPr>
  </w:style>
  <w:style w:type="character" w:customStyle="1" w:styleId="47">
    <w:name w:val="书籍标题1"/>
    <w:qFormat/>
    <w:uiPriority w:val="33"/>
    <w:rPr>
      <w:caps/>
      <w:color w:val="622423"/>
      <w:spacing w:val="5"/>
      <w:u w:color="622423"/>
    </w:rPr>
  </w:style>
  <w:style w:type="paragraph" w:customStyle="1" w:styleId="48">
    <w:name w:val="TOC 标题1"/>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36C95-6C92-495D-863D-86F0CD38AC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4650</Words>
  <Characters>5127</Characters>
  <Lines>38</Lines>
  <Paragraphs>10</Paragraphs>
  <TotalTime>32</TotalTime>
  <ScaleCrop>false</ScaleCrop>
  <LinksUpToDate>false</LinksUpToDate>
  <CharactersWithSpaces>5259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2018-07-31T09:39:00Z</dcterms:created>
  <dc:creator>莫先孔</dc:creator>
  <cp:lastModifiedBy>Administrator</cp:lastModifiedBy>
  <cp:lastPrinted>2012-08-15T08:16:00Z</cp:lastPrinted>
  <dcterms:modified xsi:type="dcterms:W3CDTF">2022-08-15T06:51:37Z</dcterms:modified>
  <dc:title>附件：（部门决算公开格式）</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DC34C90844A24CEC89559B47FC679B52</vt:lpwstr>
  </property>
</Properties>
</file>