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49" w:rsidRDefault="006C7E49">
      <w:pPr>
        <w:rPr>
          <w:rFonts w:ascii="仿宋_GB2312" w:eastAsia="仿宋_GB2312" w:cs="ArialUnicodeMS"/>
          <w:sz w:val="32"/>
          <w:szCs w:val="32"/>
        </w:rPr>
      </w:pPr>
    </w:p>
    <w:p w:rsidR="006C7E49" w:rsidRDefault="006C7E49">
      <w:pPr>
        <w:rPr>
          <w:rFonts w:ascii="黑体" w:eastAsia="黑体" w:cs="ArialUnicodeMS"/>
          <w:sz w:val="72"/>
          <w:szCs w:val="72"/>
        </w:rPr>
      </w:pPr>
    </w:p>
    <w:p w:rsidR="006C7E49" w:rsidRDefault="006C7E49">
      <w:pPr>
        <w:rPr>
          <w:rFonts w:ascii="黑体" w:eastAsia="黑体" w:cs="ArialUnicodeMS"/>
          <w:sz w:val="72"/>
          <w:szCs w:val="72"/>
        </w:rPr>
      </w:pPr>
    </w:p>
    <w:p w:rsidR="006C7E49" w:rsidRDefault="004C6979">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融水苗族自治县卫生计生监督所</w:t>
      </w:r>
    </w:p>
    <w:p w:rsidR="006C7E49" w:rsidRDefault="004C6979">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6C7E49" w:rsidRDefault="006C7E49">
      <w:pPr>
        <w:rPr>
          <w:rFonts w:ascii="ArialUnicodeMS" w:eastAsia="ArialUnicodeMS" w:cs="ArialUnicodeMS"/>
          <w:sz w:val="84"/>
          <w:szCs w:val="84"/>
          <w:lang w:eastAsia="zh-CN"/>
        </w:rPr>
      </w:pPr>
    </w:p>
    <w:p w:rsidR="006C7E49" w:rsidRDefault="006C7E49">
      <w:pPr>
        <w:rPr>
          <w:rFonts w:ascii="ArialUnicodeMS" w:eastAsia="ArialUnicodeMS" w:cs="ArialUnicodeMS"/>
          <w:sz w:val="84"/>
          <w:szCs w:val="84"/>
          <w:lang w:eastAsia="zh-CN"/>
        </w:rPr>
      </w:pPr>
    </w:p>
    <w:p w:rsidR="006C7E49" w:rsidRDefault="006C7E49">
      <w:pPr>
        <w:rPr>
          <w:rFonts w:ascii="ArialUnicodeMS" w:eastAsia="ArialUnicodeMS" w:cs="ArialUnicodeMS"/>
          <w:sz w:val="84"/>
          <w:szCs w:val="84"/>
          <w:lang w:eastAsia="zh-CN"/>
        </w:rPr>
      </w:pPr>
    </w:p>
    <w:p w:rsidR="006C7E49" w:rsidRDefault="006C7E49">
      <w:pPr>
        <w:rPr>
          <w:rFonts w:ascii="ArialUnicodeMS" w:eastAsia="ArialUnicodeMS" w:cs="ArialUnicodeMS"/>
          <w:sz w:val="84"/>
          <w:szCs w:val="84"/>
          <w:lang w:eastAsia="zh-CN"/>
        </w:rPr>
      </w:pPr>
    </w:p>
    <w:p w:rsidR="006C7E49" w:rsidRDefault="006C7E49">
      <w:pPr>
        <w:rPr>
          <w:rFonts w:ascii="ArialUnicodeMS" w:eastAsia="ArialUnicodeMS" w:cs="ArialUnicodeMS"/>
          <w:sz w:val="84"/>
          <w:szCs w:val="84"/>
          <w:lang w:eastAsia="zh-CN"/>
        </w:rPr>
      </w:pPr>
    </w:p>
    <w:p w:rsidR="006C7E49" w:rsidRDefault="006C7E49">
      <w:pPr>
        <w:jc w:val="center"/>
        <w:rPr>
          <w:rFonts w:ascii="黑体" w:eastAsia="黑体" w:cs="黑体"/>
          <w:sz w:val="44"/>
          <w:szCs w:val="44"/>
          <w:lang w:eastAsia="zh-CN"/>
        </w:rPr>
      </w:pPr>
    </w:p>
    <w:p w:rsidR="006C7E49" w:rsidRDefault="004C6979">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6C7E49" w:rsidRDefault="006C7E49">
      <w:pPr>
        <w:ind w:firstLine="645"/>
        <w:rPr>
          <w:rFonts w:ascii="仿宋_GB2312" w:eastAsia="仿宋_GB2312"/>
          <w:b/>
          <w:sz w:val="32"/>
          <w:szCs w:val="32"/>
          <w:lang w:eastAsia="zh-CN"/>
        </w:rPr>
      </w:pPr>
    </w:p>
    <w:p w:rsidR="006C7E49" w:rsidRDefault="004C6979">
      <w:pPr>
        <w:ind w:firstLine="645"/>
        <w:rPr>
          <w:rFonts w:ascii="仿宋_GB2312" w:eastAsia="仿宋_GB2312"/>
          <w:b/>
          <w:sz w:val="32"/>
          <w:szCs w:val="32"/>
          <w:lang w:eastAsia="zh-CN"/>
        </w:rPr>
      </w:pPr>
      <w:r>
        <w:rPr>
          <w:rFonts w:ascii="仿宋_GB2312" w:eastAsia="仿宋_GB2312" w:hint="eastAsia"/>
          <w:b/>
          <w:sz w:val="32"/>
          <w:szCs w:val="32"/>
          <w:lang w:eastAsia="zh-CN"/>
        </w:rPr>
        <w:t>第一部分：融水苗族自治县卫生计生监督所概况</w:t>
      </w:r>
    </w:p>
    <w:p w:rsidR="006C7E49" w:rsidRDefault="004C6979">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6C7E49" w:rsidRDefault="004C6979">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6C7E49" w:rsidRDefault="004C6979">
      <w:pPr>
        <w:ind w:firstLine="645"/>
        <w:rPr>
          <w:rFonts w:ascii="仿宋_GB2312" w:eastAsia="仿宋_GB2312"/>
          <w:b/>
          <w:sz w:val="32"/>
          <w:szCs w:val="32"/>
          <w:lang w:eastAsia="zh-CN"/>
        </w:rPr>
      </w:pPr>
      <w:r>
        <w:rPr>
          <w:rFonts w:ascii="仿宋_GB2312" w:eastAsia="仿宋_GB2312" w:hint="eastAsia"/>
          <w:b/>
          <w:sz w:val="32"/>
          <w:szCs w:val="32"/>
          <w:lang w:eastAsia="zh-CN"/>
        </w:rPr>
        <w:t>第二部分：融水苗族自治县卫生计生监督所2020年度部门决算报表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6C7E49" w:rsidRDefault="004C6979">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表九：国有资本经营预算财政拨款支出决算表</w:t>
      </w:r>
    </w:p>
    <w:p w:rsidR="006C7E49" w:rsidRDefault="006C7E49">
      <w:pPr>
        <w:ind w:left="645"/>
        <w:rPr>
          <w:rFonts w:ascii="仿宋_GB2312" w:eastAsia="仿宋_GB2312"/>
          <w:sz w:val="32"/>
          <w:szCs w:val="32"/>
          <w:lang w:eastAsia="zh-CN"/>
        </w:rPr>
      </w:pPr>
    </w:p>
    <w:p w:rsidR="006C7E49" w:rsidRDefault="004C6979">
      <w:pPr>
        <w:ind w:firstLine="645"/>
        <w:rPr>
          <w:rFonts w:ascii="仿宋_GB2312" w:eastAsia="仿宋_GB2312"/>
          <w:b/>
          <w:sz w:val="32"/>
          <w:szCs w:val="32"/>
          <w:lang w:eastAsia="zh-CN"/>
        </w:rPr>
      </w:pPr>
      <w:r>
        <w:rPr>
          <w:rFonts w:ascii="仿宋_GB2312" w:eastAsia="仿宋_GB2312" w:hint="eastAsia"/>
          <w:b/>
          <w:sz w:val="32"/>
          <w:szCs w:val="32"/>
          <w:lang w:eastAsia="zh-CN"/>
        </w:rPr>
        <w:t>第三部分：融水苗族自治县卫生计生监督所2020年度部门决算情况说明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6C7E49" w:rsidRDefault="004C6979">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6C7E49" w:rsidRDefault="004C6979">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6C7E49" w:rsidRDefault="004C6979">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第一部分：融水苗族自治县卫生计生监督所概况</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根据自治区卫计委、自治区编办《关于整合优化全区妇幼保健计划生育服务及卫生计生综合监督执法资源的指导意见》（桂卫人发〔2016〕14 号）和《融水苗族自治县关于整合优化全县妇幼保健计划生育服务及卫生计生综合监督执法资源的实施方案》（融政办发〔2017〕151号）的要求，融水苗族自治县卫生监督所更名为融水苗族自治县卫生计生监督所，为融水苗族自治县卫生健康局所属的行政执法机构，机构规格为副科级，列入参照《中华人民共和国公务员法》管理范围。主要职责是：</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1.实施辖区内卫生健康专项整治和日常监督检查；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2.对公共场所卫生、生活饮用水卫生、学校卫生及消毒产品和涉及饮用水安全产品进行监督检查；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3.对医疗卫生机构、采供血机构及其从业人员的执业活动进行监督检查，查处违法行为；</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4.对医疗卫生机构的放射诊疗、职业健康检查和职业病诊断工作、传染病防控、消毒隔离制度执行情况，医疗废物处置情况和菌（毒）种管理情况等进行监督检查，查处违法行为；</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lastRenderedPageBreak/>
        <w:t>5.依法打击“两非”行为，组织实施打击非法行医、非法采供血；</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6.配合相关部门实施医疗广告的监督检查；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7.对乡镇卫生健康综合监督执法进行指导和监督，对监督协管员进行培训、业务指导；</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8.负责本行政区域内卫生健康监督信息的收集、核实和上报；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9.受理对违法行为的投诉、举报；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10.开展卫生健康法律法规宣传教育和执法检查；</w:t>
      </w:r>
    </w:p>
    <w:p w:rsidR="006C7E49" w:rsidRDefault="004C6979">
      <w:pPr>
        <w:ind w:firstLine="646"/>
        <w:rPr>
          <w:rFonts w:ascii="仿宋_GB2312" w:eastAsia="仿宋_GB2312"/>
          <w:sz w:val="32"/>
          <w:szCs w:val="32"/>
          <w:lang w:eastAsia="zh-CN"/>
        </w:rPr>
      </w:pPr>
      <w:r>
        <w:rPr>
          <w:rFonts w:ascii="仿宋_GB2312" w:eastAsia="仿宋_GB2312" w:hint="eastAsia"/>
          <w:sz w:val="32"/>
          <w:szCs w:val="32"/>
          <w:lang w:eastAsia="zh-CN"/>
        </w:rPr>
        <w:t>11.完成卫生健康行政部门交办的其他工作。</w:t>
      </w:r>
    </w:p>
    <w:p w:rsidR="006C7E49" w:rsidRDefault="004C6979">
      <w:pPr>
        <w:numPr>
          <w:ilvl w:val="0"/>
          <w:numId w:val="1"/>
        </w:numPr>
        <w:ind w:firstLine="646"/>
        <w:rPr>
          <w:rFonts w:ascii="仿宋_GB2312" w:eastAsia="仿宋_GB2312"/>
          <w:sz w:val="32"/>
          <w:szCs w:val="32"/>
          <w:lang w:eastAsia="zh-CN"/>
        </w:rPr>
      </w:pPr>
      <w:r>
        <w:rPr>
          <w:rFonts w:ascii="仿宋_GB2312" w:eastAsia="仿宋_GB2312" w:hAnsi="仿宋_GB2312" w:cs="仿宋_GB2312" w:hint="eastAsia"/>
          <w:b/>
          <w:bCs/>
          <w:sz w:val="32"/>
          <w:szCs w:val="32"/>
          <w:lang w:eastAsia="zh-CN"/>
        </w:rPr>
        <w:t>机构设置</w:t>
      </w:r>
    </w:p>
    <w:p w:rsidR="006C7E49" w:rsidRDefault="004C6979">
      <w:pPr>
        <w:ind w:firstLineChars="100" w:firstLine="320"/>
        <w:rPr>
          <w:rFonts w:ascii="仿宋_GB2312" w:eastAsia="仿宋_GB2312"/>
          <w:sz w:val="32"/>
          <w:szCs w:val="32"/>
          <w:lang w:eastAsia="zh-CN"/>
        </w:rPr>
      </w:pPr>
      <w:r>
        <w:rPr>
          <w:rFonts w:ascii="仿宋_GB2312" w:eastAsia="仿宋_GB2312" w:hint="eastAsia"/>
          <w:sz w:val="32"/>
          <w:szCs w:val="32"/>
          <w:lang w:eastAsia="zh-CN"/>
        </w:rPr>
        <w:t xml:space="preserve"> 根据《融水苗族自治县机构编制委员会关于印发融水苗族自治县卫生监督所主要职责内设机构和人员编制规定的通知》〔融编「2005」18号〕文件精神，我卫生监督所于2005年12月成立，位于融水县叠翠路二巷40号对面，属自治县卫生健康局隶属下的公共卫生执法监督执行机构（2008年1月份批准为参照公务员管理单位），根据自治区卫计委、自治区编办《关于整合优化全区妇幼保健计划生育服务及卫生计生综合监督执法资源的指导意见》（桂卫人发〔2016〕</w:t>
      </w:r>
      <w:r>
        <w:rPr>
          <w:rFonts w:ascii="仿宋_GB2312" w:eastAsia="仿宋_GB2312" w:hint="eastAsia"/>
          <w:sz w:val="32"/>
          <w:szCs w:val="32"/>
          <w:lang w:eastAsia="zh-CN"/>
        </w:rPr>
        <w:lastRenderedPageBreak/>
        <w:t>14 号）和《融水苗族自治县关于整合优化全县妇幼保健计划生育服务及卫生计生综合监督执法资源的实施方案》（融政办发〔2017〕151号）的要求，融水苗族自治县卫生监督所更名为融水苗族自治县卫生计生监督所，我所1个独立编制机构数，1个独立核算机构数，全额财政拨款参公事业单位1个，设置正职领导1名，副职领导2名，内设科室分别为：综合办公室、公共卫生监督科、医疗卫生监督科（中医药管理科）、计划生育监督执法科四个内设机构。同时设置纪检监察室，负责纪检监察工作。</w:t>
      </w:r>
    </w:p>
    <w:p w:rsidR="006C7E49" w:rsidRDefault="004C6979" w:rsidP="004C6979">
      <w:pPr>
        <w:spacing w:line="520" w:lineRule="exact"/>
        <w:ind w:firstLineChars="200" w:firstLine="618"/>
        <w:rPr>
          <w:rFonts w:ascii="仿宋_GB2312" w:eastAsia="仿宋_GB2312" w:hAnsi="仿宋_GB2312" w:cs="仿宋_GB2312"/>
          <w:b/>
          <w:spacing w:val="-6"/>
          <w:sz w:val="32"/>
          <w:szCs w:val="32"/>
          <w:lang w:eastAsia="zh-CN"/>
        </w:rPr>
      </w:pPr>
      <w:r>
        <w:rPr>
          <w:rFonts w:ascii="仿宋_GB2312" w:eastAsia="仿宋_GB2312" w:hAnsi="仿宋_GB2312" w:cs="仿宋_GB2312" w:hint="eastAsia"/>
          <w:b/>
          <w:spacing w:val="-6"/>
          <w:sz w:val="32"/>
          <w:szCs w:val="32"/>
          <w:lang w:eastAsia="zh-CN"/>
        </w:rPr>
        <w:t>人员构成情况 ：</w:t>
      </w:r>
    </w:p>
    <w:p w:rsidR="006C7E49" w:rsidRDefault="004C6979" w:rsidP="004C6979">
      <w:pPr>
        <w:spacing w:line="520" w:lineRule="exact"/>
        <w:ind w:firstLineChars="150" w:firstLine="48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单位人员编制总数为12人，其中：参公编制12人。编内在职人数7人，其中：参公事业在职7人。退休人员6人。</w:t>
      </w:r>
    </w:p>
    <w:p w:rsidR="006C7E49" w:rsidRDefault="004C6979">
      <w:pPr>
        <w:ind w:firstLineChars="100" w:firstLine="321"/>
        <w:rPr>
          <w:rFonts w:ascii="仿宋_GB2312" w:eastAsia="仿宋_GB2312" w:hAnsi="仿宋_GB2312" w:cs="仿宋_GB2312"/>
          <w:b/>
          <w:sz w:val="32"/>
          <w:szCs w:val="32"/>
          <w:lang w:eastAsia="zh-CN"/>
        </w:rPr>
      </w:pPr>
      <w:bookmarkStart w:id="0" w:name="_GoBack"/>
      <w:bookmarkEnd w:id="0"/>
      <w:r>
        <w:rPr>
          <w:rFonts w:ascii="仿宋_GB2312" w:eastAsia="仿宋_GB2312" w:hAnsi="仿宋_GB2312" w:cs="仿宋_GB2312" w:hint="eastAsia"/>
          <w:b/>
          <w:sz w:val="32"/>
          <w:szCs w:val="32"/>
          <w:lang w:eastAsia="zh-CN"/>
        </w:rPr>
        <w:t>财务管理方式：</w:t>
      </w:r>
    </w:p>
    <w:p w:rsidR="006C7E49" w:rsidRDefault="004C6979">
      <w:pPr>
        <w:ind w:firstLineChars="200" w:firstLine="640"/>
        <w:rPr>
          <w:rFonts w:ascii="仿宋_GB2312" w:eastAsia="仿宋_GB2312"/>
          <w:sz w:val="32"/>
          <w:szCs w:val="32"/>
          <w:lang w:eastAsia="zh-CN"/>
        </w:rPr>
      </w:pPr>
      <w:r>
        <w:rPr>
          <w:rFonts w:ascii="仿宋_GB2312" w:eastAsia="仿宋_GB2312" w:hint="eastAsia"/>
          <w:sz w:val="32"/>
          <w:szCs w:val="32"/>
          <w:lang w:eastAsia="zh-CN"/>
        </w:rPr>
        <w:t>执行政府会计制度。功能分类科目为：210卫生健康支出—04公共卫生—02卫生监督机构。属县财政全额预算拨款单位</w:t>
      </w:r>
    </w:p>
    <w:p w:rsidR="006C7E49" w:rsidRDefault="006C7E49">
      <w:pPr>
        <w:jc w:val="center"/>
        <w:rPr>
          <w:lang w:eastAsia="zh-CN"/>
        </w:rPr>
      </w:pPr>
    </w:p>
    <w:p w:rsidR="006C7E49" w:rsidRDefault="004C6979">
      <w:pPr>
        <w:jc w:val="both"/>
        <w:rPr>
          <w:rFonts w:ascii="仿宋_GB2312" w:eastAsia="仿宋_GB2312"/>
          <w:b/>
          <w:sz w:val="32"/>
          <w:szCs w:val="32"/>
          <w:lang w:eastAsia="zh-CN"/>
        </w:rPr>
      </w:pPr>
      <w:r>
        <w:rPr>
          <w:rFonts w:ascii="仿宋_GB2312" w:eastAsia="仿宋_GB2312" w:hint="eastAsia"/>
          <w:b/>
          <w:sz w:val="32"/>
          <w:szCs w:val="32"/>
          <w:lang w:eastAsia="zh-CN"/>
        </w:rPr>
        <w:t>第二部分：融水苗族自治县卫生计生监督所 2020年度部门决算报表</w:t>
      </w:r>
      <w:r w:rsidR="004A3761">
        <w:rPr>
          <w:rFonts w:ascii="仿宋_GB2312" w:eastAsia="仿宋_GB2312" w:hint="eastAsia"/>
          <w:b/>
          <w:sz w:val="32"/>
          <w:szCs w:val="32"/>
          <w:lang w:eastAsia="zh-CN"/>
        </w:rPr>
        <w:t>（祥见附表）</w:t>
      </w:r>
    </w:p>
    <w:p w:rsidR="006C7E49" w:rsidRDefault="004C6979">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第三部分：融水苗族自治县卫生计生监督所2020年度部门决算情况说明</w:t>
      </w:r>
    </w:p>
    <w:p w:rsidR="006C7E49" w:rsidRDefault="004C697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一、收入支出决算总体情况说明</w:t>
      </w:r>
    </w:p>
    <w:p w:rsidR="006C7E49" w:rsidRDefault="004C6979" w:rsidP="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2020年度收入、支出总计330.45万元。与2019年相比，收、支各减少44.46；下降11.86%。减少原因：2020年8月退休1人、调出1人、10月退休2人，年初财政结转资金少于2019年。收入、支出相应减少。</w:t>
      </w:r>
    </w:p>
    <w:p w:rsidR="006C7E49" w:rsidRDefault="004C697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6C7E49" w:rsidRDefault="004C6979">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2020年度收入总计277.07万元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，其中：财政拨款收入272.27万元；占98.27%</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；上级补助收入4.8万元，占1.73%；事业收入0万元，占0%；事业单位经营收入0万元，占0%；其他收入0万元，占0%。</w:t>
      </w:r>
    </w:p>
    <w:p w:rsidR="006C7E49" w:rsidRDefault="004C6979">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2020年度支出合计306.87万元，其中：基本支出167.06万元，占54.44%；项目支出139.82万元，占45.56%；经营支出0万元，占0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6C7E49" w:rsidRDefault="004C6979">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2020年度财政拨款收、支总计325.14万元。与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9年相比，财政拨款收、支总计各减少46.37万元，下降12.48%。减少原因说明。减少原因：2020年8月退休1人、调出1人、10月退休2人，年初财政结转资金少于2019年。收入、支出相应减少。</w:t>
      </w:r>
    </w:p>
    <w:p w:rsidR="006C7E49" w:rsidRDefault="006C7E49">
      <w:pPr>
        <w:autoSpaceDE w:val="0"/>
        <w:autoSpaceDN w:val="0"/>
        <w:adjustRightInd w:val="0"/>
        <w:spacing w:line="560" w:lineRule="exact"/>
        <w:ind w:firstLineChars="200" w:firstLine="640"/>
        <w:rPr>
          <w:rFonts w:ascii="仿宋_GB2312" w:eastAsia="仿宋_GB2312" w:cs="仿宋_GB2312"/>
          <w:bCs/>
          <w:sz w:val="32"/>
          <w:szCs w:val="32"/>
          <w:lang w:eastAsia="zh-CN"/>
        </w:rPr>
      </w:pPr>
    </w:p>
    <w:p w:rsidR="006C7E49" w:rsidRDefault="004C6979">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lastRenderedPageBreak/>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20年度财政拨款支出235.14万元，占本年支出合计的76.64%。与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9年相比，财政拨款支出减少70.88万元，同比下降23.16%。减少原因：2020年8月退休1人、调出1人、10月退休2人，各项支出相应减少。</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6C7E49" w:rsidRDefault="004C6979">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2020年度财政拨款支出235.14万元，主要用于以下方面：社会保障和就业（类）支出15.13万元，占6.43%；卫生健康支出（类）支出207.46万元，占 88.23% ，住房保障（类）支出12.56万元，占 5.34%。</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2020年度财政拨款支出年初预算为202.40万元，支出决算为235.14万元，完成年初预算的 116.18%。其中：</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社会保障和就业（类）行政事业单位养老支出（款）、行政单位离退休（项）年初预算为0万元，支出决算为0.24万元，决算数大于预算数的主要原因是：2020年县本级财政追加退休人员生活补助0.24万元预算支出。</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社会保障和就业（类）行政事业单位养老支出（款）机关事业单位基本养老保险缴费支出（项）年初预算为24.20万元，支出决算为13.08万元，完成年初预算的54.05%。决算数小于预算数的主要原因是：年初预算是按照2019年年末</w:t>
      </w:r>
      <w:r>
        <w:rPr>
          <w:rFonts w:ascii="仿宋_GB2312" w:eastAsia="仿宋_GB2312" w:cs="仿宋_GB2312" w:hint="eastAsia"/>
          <w:bCs/>
          <w:sz w:val="32"/>
          <w:szCs w:val="32"/>
          <w:lang w:eastAsia="zh-CN"/>
        </w:rPr>
        <w:lastRenderedPageBreak/>
        <w:t>在职人员工资计算，本年支出是按照实际发生金额拨款和支出，8月退休1人、调出1人、10月退休2人。</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3、社会保障和就业（类）行政事业单位养老支出（款）其他行政事业单位离退休支出（项）年初预算为1.81万元，支出决算为1.81万元，完成年初预算的100%。决算数等于预算数。</w:t>
      </w:r>
    </w:p>
    <w:p w:rsidR="006C7E49" w:rsidRDefault="004C6979">
      <w:pPr>
        <w:pStyle w:val="a0"/>
        <w:jc w:val="left"/>
        <w:rPr>
          <w:b w:val="0"/>
          <w:bCs w:val="0"/>
          <w:lang w:eastAsia="zh-CN"/>
        </w:rPr>
      </w:pPr>
      <w:r>
        <w:rPr>
          <w:rFonts w:ascii="仿宋_GB2312" w:eastAsia="仿宋_GB2312" w:cs="仿宋_GB2312" w:hint="eastAsia"/>
          <w:b w:val="0"/>
          <w:bCs w:val="0"/>
          <w:sz w:val="32"/>
          <w:szCs w:val="32"/>
          <w:lang w:eastAsia="zh-CN"/>
        </w:rPr>
        <w:t xml:space="preserve">   4、卫生健康支出（类）卫生健康管理事务（款）行政运行（项）年初预算0万元，支出决算8.64万元，决算数大于预算数的主要原因是：调整绩效考评奖年初预算科目。</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5、卫生健康支出（类）公共卫生（款）卫生监督机构（项）年初预算143.26万元，支出决算数170.77万元。完成</w:t>
      </w:r>
      <w:r>
        <w:rPr>
          <w:rFonts w:ascii="仿宋_GB2312" w:eastAsia="仿宋_GB2312" w:cs="仿宋_GB2312" w:hint="eastAsia"/>
          <w:bCs/>
          <w:sz w:val="32"/>
          <w:szCs w:val="32"/>
          <w:lang w:eastAsia="zh-CN"/>
        </w:rPr>
        <w:t>年初预算的119.20%。决算数大于预算数的主要原因：是上年结转基层医疗卫生机构能力建设项目资金本年完成支付。</w:t>
      </w:r>
    </w:p>
    <w:p w:rsidR="006C7E49" w:rsidRDefault="004C6979">
      <w:pPr>
        <w:pStyle w:val="a0"/>
        <w:ind w:firstLineChars="200" w:firstLine="640"/>
        <w:jc w:val="left"/>
        <w:rPr>
          <w:b w:val="0"/>
          <w:bCs w:val="0"/>
          <w:lang w:eastAsia="zh-CN"/>
        </w:rPr>
      </w:pPr>
      <w:r>
        <w:rPr>
          <w:rFonts w:ascii="仿宋_GB2312" w:eastAsia="仿宋_GB2312" w:cs="仿宋_GB2312" w:hint="eastAsia"/>
          <w:b w:val="0"/>
          <w:bCs w:val="0"/>
          <w:sz w:val="32"/>
          <w:szCs w:val="32"/>
          <w:lang w:eastAsia="zh-CN"/>
        </w:rPr>
        <w:t>6、卫生健康支出（类）公共卫生（款）基本公共卫生服务（项）年初预算0万元，支出决算数10.92万元。决算数大于预算数主要原因是：中央财政追加国家随机监督抽查专项资金。</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7、卫生健康支出（类）行政事业单位医疗（款）行政单位医疗（项）年初预算9.15元，支出决算数6.89万元。完成</w:t>
      </w:r>
      <w:r>
        <w:rPr>
          <w:rFonts w:ascii="仿宋_GB2312" w:eastAsia="仿宋_GB2312" w:cs="仿宋_GB2312" w:hint="eastAsia"/>
          <w:bCs/>
          <w:sz w:val="32"/>
          <w:szCs w:val="32"/>
          <w:lang w:eastAsia="zh-CN"/>
        </w:rPr>
        <w:t>年初预算的75.30%。决算数大于预算数的主要原因是：年初预算是按照2019年年末在职人员工资计算，本年支出是按</w:t>
      </w:r>
      <w:r>
        <w:rPr>
          <w:rFonts w:ascii="仿宋_GB2312" w:eastAsia="仿宋_GB2312" w:cs="仿宋_GB2312" w:hint="eastAsia"/>
          <w:bCs/>
          <w:sz w:val="32"/>
          <w:szCs w:val="32"/>
          <w:lang w:eastAsia="zh-CN"/>
        </w:rPr>
        <w:lastRenderedPageBreak/>
        <w:t>照实际发生金额拨款和支出，8月退休1人、调出1人、10月退休2人。</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8、卫生健康支出（类）行政事业单位医疗（款）公务员医疗补助（项）年初预算9.47元，支出决算数6.24万元。完成</w:t>
      </w:r>
      <w:r>
        <w:rPr>
          <w:rFonts w:ascii="仿宋_GB2312" w:eastAsia="仿宋_GB2312" w:cs="仿宋_GB2312" w:hint="eastAsia"/>
          <w:bCs/>
          <w:sz w:val="32"/>
          <w:szCs w:val="32"/>
          <w:lang w:eastAsia="zh-CN"/>
        </w:rPr>
        <w:t>年初预算的65.89%。决算数小于预算数的主要原因：是年初预算是按照2019年年末在职人员工资计算，本年支出是按照实际发生金额拨款和支出，8月退休1人、调出1人、10月退休2人。</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sz w:val="32"/>
          <w:szCs w:val="32"/>
          <w:lang w:eastAsia="zh-CN"/>
        </w:rPr>
        <w:t>9、卫生健康支出（类）其他卫生健康支出（款）其他卫生健康支出（项）年初预算0元，支出决算数4万元。</w:t>
      </w:r>
      <w:r>
        <w:rPr>
          <w:rFonts w:ascii="仿宋_GB2312" w:eastAsia="仿宋_GB2312" w:cs="仿宋_GB2312" w:hint="eastAsia"/>
          <w:bCs/>
          <w:sz w:val="32"/>
          <w:szCs w:val="32"/>
          <w:lang w:eastAsia="zh-CN"/>
        </w:rPr>
        <w:t>决算数大于预算数的主要原因是中央财政追加职业病卫生监督执法能力提升资金。</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10.住房保障支出（类）住房改革支出（款）住房公积金（项）。年初预算为14.52万元，支出决算为12.56万元，完成年初预算的86.50%。决算数小于预算数的主要原因是：年初预算是按照2019年年末在职人员工资计算，本年支出是按照实际发生金额拨款和支出，8月退休1人、调出1人、10月退休2人。</w:t>
      </w:r>
    </w:p>
    <w:p w:rsidR="006C7E49" w:rsidRDefault="004C6979">
      <w:pPr>
        <w:autoSpaceDE w:val="0"/>
        <w:autoSpaceDN w:val="0"/>
        <w:adjustRightInd w:val="0"/>
        <w:spacing w:line="560" w:lineRule="exact"/>
        <w:ind w:firstLineChars="100" w:firstLine="32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6C7E49" w:rsidRDefault="004C6979">
      <w:pPr>
        <w:autoSpaceDE w:val="0"/>
        <w:autoSpaceDN w:val="0"/>
        <w:adjustRightInd w:val="0"/>
        <w:spacing w:line="560" w:lineRule="exact"/>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2020年度财政拨款基本支出166.55万元，其中：</w:t>
      </w:r>
    </w:p>
    <w:p w:rsidR="006C7E49" w:rsidRDefault="004C6979">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人员经费137.30万元，主要包括：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41.74</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25.79</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、奖金</w:t>
      </w:r>
      <w:r>
        <w:rPr>
          <w:rFonts w:ascii="仿宋_GB2312" w:eastAsia="仿宋_GB2312" w:hAnsi="宋体" w:cs="仿宋_GB2312" w:hint="eastAsia"/>
          <w:color w:val="000000"/>
          <w:sz w:val="31"/>
          <w:szCs w:val="31"/>
          <w:lang w:eastAsia="zh-CN"/>
        </w:rPr>
        <w:t>27.92</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、机关事业单位基</w:t>
      </w:r>
      <w:r>
        <w:rPr>
          <w:rFonts w:ascii="仿宋_GB2312" w:eastAsia="仿宋_GB2312" w:hAnsi="宋体" w:cs="仿宋_GB2312" w:hint="eastAsia"/>
          <w:color w:val="000000"/>
          <w:sz w:val="31"/>
          <w:szCs w:val="31"/>
          <w:lang w:eastAsia="zh-CN"/>
        </w:rPr>
        <w:lastRenderedPageBreak/>
        <w:t>本养老保险缴费13.08</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、职工基本医疗保险缴费6.81</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、公务员医疗补助缴费6.24</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、其他社会保障缴费0.57</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、住房公积金12.56</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、退休费0.07</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、生活补助2.20</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、其他对个人和家庭的补助0.32</w:t>
      </w:r>
      <w:r>
        <w:rPr>
          <w:rFonts w:ascii="仿宋_GB2312" w:eastAsia="仿宋_GB2312" w:cs="仿宋_GB2312" w:hint="eastAsia"/>
          <w:bCs/>
          <w:sz w:val="32"/>
          <w:szCs w:val="32"/>
          <w:lang w:eastAsia="zh-CN"/>
        </w:rPr>
        <w:t>万元；</w:t>
      </w:r>
    </w:p>
    <w:p w:rsidR="006C7E49" w:rsidRDefault="004C6979">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29.26万元，主要包括：办公费3.94万元、印刷费0.20万元、水费0.02万元、电费0.22万元、邮电费2.95万元、物业管理费2.61万元、差旅费2.61万元、维修（护）费0.24万元、培训费0.01万元、公务接待费0.46万元、公务用车运行维护费1.29万元、其他交通费用</w:t>
      </w:r>
      <w:r w:rsidR="00FB3AF5">
        <w:rPr>
          <w:rFonts w:ascii="仿宋_GB2312" w:eastAsia="仿宋_GB2312" w:cs="仿宋_GB2312" w:hint="eastAsia"/>
          <w:bCs/>
          <w:sz w:val="32"/>
          <w:szCs w:val="32"/>
          <w:lang w:eastAsia="zh-CN"/>
        </w:rPr>
        <w:t>9.26万元</w:t>
      </w:r>
      <w:r>
        <w:rPr>
          <w:rFonts w:ascii="仿宋_GB2312" w:eastAsia="仿宋_GB2312" w:cs="仿宋_GB2312" w:hint="eastAsia"/>
          <w:bCs/>
          <w:sz w:val="32"/>
          <w:szCs w:val="32"/>
          <w:lang w:eastAsia="zh-CN"/>
        </w:rPr>
        <w:t>、其他商品和服务支出</w:t>
      </w:r>
      <w:r w:rsidR="00FB3AF5">
        <w:rPr>
          <w:rFonts w:ascii="仿宋_GB2312" w:eastAsia="仿宋_GB2312" w:cs="仿宋_GB2312" w:hint="eastAsia"/>
          <w:bCs/>
          <w:sz w:val="32"/>
          <w:szCs w:val="32"/>
          <w:lang w:eastAsia="zh-CN"/>
        </w:rPr>
        <w:t>5.45万元.</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3.26万元，支出决算为1.76万元，完成预算53.98%，决算数小于预算数的主要原因是认真贯彻落实中央“八项规定”精神和厉行节约要求，从严控制“三公”经费开支，全年实际支出比预算有所节约。</w:t>
      </w:r>
    </w:p>
    <w:p w:rsidR="006C7E49" w:rsidRDefault="004C6979">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2020年度“三公”经费财政拨款支出决算中，因公出国（境）费支出决算0万元，占0%；公务用车购置及运行费 支</w:t>
      </w:r>
      <w:r>
        <w:rPr>
          <w:rFonts w:ascii="仿宋_GB2312" w:eastAsia="仿宋_GB2312" w:cs="仿宋_GB2312" w:hint="eastAsia"/>
          <w:bCs/>
          <w:sz w:val="32"/>
          <w:szCs w:val="32"/>
          <w:lang w:eastAsia="zh-CN"/>
        </w:rPr>
        <w:lastRenderedPageBreak/>
        <w:t xml:space="preserve">出决算1.3万元，占73.86%；公务接待费支出决算0.46 万元，占26.4 %。具体情况如下：  </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1.因公出国（境）费预算为0万元，支出决算为0万元，完成预算的0%，增加（减少）原因说明。全年安排机关和所属单位因公出国（境）团组0个，累计0人次。 </w:t>
      </w:r>
    </w:p>
    <w:p w:rsidR="006C7E49" w:rsidRDefault="004C697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2.8万元，支出决算为1.3万元，完成预算的46.43%，减少原因说明：认真贯彻落实中央“八项规定”精神和厉行节约要求，从严控制“三公”经费开支，全年实际支出比预算有所节约。其中：</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公务用车运行支出1.3万元。主要是按规定保留的公务</w:t>
      </w:r>
    </w:p>
    <w:p w:rsidR="006C7E49" w:rsidRDefault="004C6979">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用车的燃料费、维修费、过桥过路费、保险费、安全奖励费用等支出。截至2020年12月31日，单位开支财政拨款的公务用车保有量为1辆。</w:t>
      </w:r>
    </w:p>
    <w:p w:rsidR="006C7E49" w:rsidRDefault="004C6979">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3.公务接待费预算为0.46万元，支出决算为0.46万元，完成预算的100%，持平。其中：</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国内公务接待支出0.46万元。主要用于公务交流、上级领导来我县进行工作督查、考核等接待。2020 年共接待国内来访团组7个、来宾47人次。</w:t>
      </w:r>
    </w:p>
    <w:p w:rsidR="006C7E49" w:rsidRDefault="004C6979">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20年度政府性基金预算财政拨款收入支出决算情况说明</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2020年度政府性基金预算财政拨款收、支总计 70万元。与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9年相比，收、支总计各增加70万元，增长100%。其中，支出情况为：</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2020年政府性基金预算财政拨款年初预算为0万元，支出决算70万元，其中： </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1.抗疫特别国债安排的支出（类）抗疫相关支出（款）其他抗疫相关支出（项）。年初预算为0万元，支出决算为 70万元，决算数大于预算数的主要原因是追加抗疫特别国债项目资金。</w:t>
      </w:r>
    </w:p>
    <w:p w:rsidR="006C7E49" w:rsidRDefault="004C6979">
      <w:pPr>
        <w:numPr>
          <w:ilvl w:val="0"/>
          <w:numId w:val="2"/>
        </w:numPr>
        <w:autoSpaceDE w:val="0"/>
        <w:autoSpaceDN w:val="0"/>
        <w:adjustRightInd w:val="0"/>
        <w:spacing w:line="580" w:lineRule="exact"/>
        <w:ind w:firstLine="643"/>
        <w:rPr>
          <w:rFonts w:ascii="仿宋_GB2312" w:eastAsia="仿宋_GB2312" w:cs="仿宋_GB2312"/>
          <w:b/>
          <w:color w:val="000000" w:themeColor="text1"/>
          <w:sz w:val="32"/>
          <w:szCs w:val="32"/>
          <w:lang w:eastAsia="zh-CN"/>
        </w:rPr>
      </w:pPr>
      <w:r>
        <w:rPr>
          <w:rFonts w:ascii="仿宋_GB2312" w:eastAsia="仿宋_GB2312" w:cs="仿宋_GB2312" w:hint="eastAsia"/>
          <w:b/>
          <w:color w:val="000000" w:themeColor="text1"/>
          <w:sz w:val="32"/>
          <w:szCs w:val="32"/>
          <w:lang w:eastAsia="zh-CN"/>
        </w:rPr>
        <w:t>国有资本经营预算财政拨款支出情况说明</w:t>
      </w:r>
    </w:p>
    <w:p w:rsidR="006C7E49" w:rsidRDefault="004C6979">
      <w:pPr>
        <w:autoSpaceDE w:val="0"/>
        <w:autoSpaceDN w:val="0"/>
        <w:adjustRightInd w:val="0"/>
        <w:spacing w:line="580" w:lineRule="exact"/>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2020年度国有资本经营预算财政拨款本年支出</w:t>
      </w:r>
      <w:r w:rsidR="00FB3AF5">
        <w:rPr>
          <w:rFonts w:ascii="仿宋_GB2312" w:eastAsia="仿宋_GB2312" w:cs="仿宋_GB2312" w:hint="eastAsia"/>
          <w:bCs/>
          <w:color w:val="000000" w:themeColor="text1"/>
          <w:sz w:val="32"/>
          <w:szCs w:val="32"/>
          <w:lang w:eastAsia="zh-CN"/>
        </w:rPr>
        <w:t>0</w:t>
      </w:r>
      <w:r>
        <w:rPr>
          <w:rFonts w:ascii="仿宋_GB2312" w:eastAsia="仿宋_GB2312" w:cs="仿宋_GB2312" w:hint="eastAsia"/>
          <w:bCs/>
          <w:color w:val="000000" w:themeColor="text1"/>
          <w:sz w:val="32"/>
          <w:szCs w:val="32"/>
          <w:lang w:eastAsia="zh-CN"/>
        </w:rPr>
        <w:t>万元。</w:t>
      </w:r>
    </w:p>
    <w:p w:rsidR="006C7E49" w:rsidRDefault="004C6979">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十、2020年度预算绩效情况说明</w:t>
      </w:r>
    </w:p>
    <w:p w:rsidR="006C7E49" w:rsidRDefault="004C6979">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6C7E49" w:rsidRDefault="004C6979">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根据财政预算管理要求，我部门组织对2020年度一般公共预算项目支出全面开展绩效自评。自评项目2个，涉及预算资金75.46万元，自评覆盖率达到 100%。 </w:t>
      </w:r>
    </w:p>
    <w:p w:rsidR="006C7E49" w:rsidRDefault="004C6979">
      <w:pPr>
        <w:numPr>
          <w:ilvl w:val="0"/>
          <w:numId w:val="3"/>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部门决算中项目绩效自评结果。</w:t>
      </w:r>
    </w:p>
    <w:p w:rsidR="006C7E49" w:rsidRDefault="004C6979">
      <w:pPr>
        <w:autoSpaceDE w:val="0"/>
        <w:autoSpaceDN w:val="0"/>
        <w:adjustRightInd w:val="0"/>
        <w:ind w:firstLineChars="200" w:firstLine="640"/>
        <w:rPr>
          <w:rFonts w:ascii="方正小标宋简体" w:eastAsia="方正小标宋简体" w:hAnsi="方正小标宋简体" w:cs="方正小标宋简体"/>
          <w:sz w:val="32"/>
          <w:szCs w:val="32"/>
          <w:lang w:eastAsia="zh-CN"/>
        </w:rPr>
      </w:pPr>
      <w:r>
        <w:rPr>
          <w:rFonts w:ascii="仿宋_GB2312" w:eastAsia="仿宋_GB2312" w:cs="仿宋_GB2312" w:hint="eastAsia"/>
          <w:sz w:val="32"/>
          <w:szCs w:val="32"/>
          <w:lang w:eastAsia="zh-CN"/>
        </w:rPr>
        <w:t>我部门根据年初设定的绩效目标，具体评价情况如下：</w:t>
      </w:r>
    </w:p>
    <w:p w:rsidR="006C7E49" w:rsidRDefault="004C6979">
      <w:pPr>
        <w:autoSpaceDE w:val="0"/>
        <w:autoSpaceDN w:val="0"/>
        <w:adjustRightInd w:val="0"/>
        <w:spacing w:line="560" w:lineRule="exact"/>
        <w:ind w:firstLineChars="100" w:firstLine="321"/>
        <w:jc w:val="center"/>
        <w:rPr>
          <w:rFonts w:ascii="仿宋_GB2312" w:eastAsia="仿宋_GB2312" w:cs="仿宋_GB2312"/>
          <w:b/>
          <w:bCs/>
          <w:sz w:val="32"/>
          <w:szCs w:val="32"/>
          <w:lang w:eastAsia="zh-CN"/>
        </w:rPr>
      </w:pPr>
      <w:r>
        <w:rPr>
          <w:rFonts w:ascii="仿宋_GB2312" w:eastAsia="仿宋_GB2312" w:cs="仿宋_GB2312" w:hint="eastAsia"/>
          <w:b/>
          <w:bCs/>
          <w:sz w:val="32"/>
          <w:szCs w:val="32"/>
          <w:lang w:eastAsia="zh-CN"/>
        </w:rPr>
        <w:lastRenderedPageBreak/>
        <w:t>1-1 融水苗族自治县卫生计生监督所转移支付2020年度绩效自评报告</w:t>
      </w:r>
    </w:p>
    <w:p w:rsidR="006C7E49" w:rsidRDefault="004C6979">
      <w:pPr>
        <w:autoSpaceDE w:val="0"/>
        <w:autoSpaceDN w:val="0"/>
        <w:adjustRightInd w:val="0"/>
        <w:spacing w:line="560" w:lineRule="exact"/>
        <w:ind w:firstLineChars="600" w:firstLine="1928"/>
        <w:rPr>
          <w:rFonts w:ascii="仿宋_GB2312" w:eastAsia="仿宋_GB2312" w:cs="仿宋_GB2312"/>
          <w:b/>
          <w:bCs/>
          <w:sz w:val="32"/>
          <w:szCs w:val="32"/>
          <w:lang w:eastAsia="zh-CN"/>
        </w:rPr>
      </w:pPr>
      <w:r>
        <w:rPr>
          <w:rFonts w:ascii="仿宋_GB2312" w:eastAsia="仿宋_GB2312" w:cs="仿宋_GB2312" w:hint="eastAsia"/>
          <w:b/>
          <w:bCs/>
          <w:sz w:val="32"/>
          <w:szCs w:val="32"/>
          <w:lang w:eastAsia="zh-CN"/>
        </w:rPr>
        <w:t>（国家随机监督抽查项目）</w:t>
      </w:r>
    </w:p>
    <w:p w:rsidR="006C7E49" w:rsidRDefault="004C6979">
      <w:p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一、绩效目标分解下达情况</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（一）项目概况。融水县面积4665平方公里，辖7镇13乡，全县人口约52.63万人。融水县卫生计生监督所使用的双随机检测经费项目资金5.46万元全部用于2020年国家下达的双随机检测任务。</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（二）项目实施及管理。融水县卫生计生监督所使用的双随机检测项目资金，全部来自中央和自治区财政基本公共卫生服务项目资金。</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（三）项目资金情况。</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2020年上级调配我单位双随机项目经费5.46万元。目前下拨资金已于2020年11月30日前全部使用完毕。</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ab/>
        <w:t>二、绩效目标完成情况分析</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（一）资金投入情况分析。</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1、资金执行情况：自上级下文后，所有资金全部及时安排到位，并按项目建设要求和进度全部落实到位。</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2、资金管理情况：严格按照相应的业务管理制度，规范各项经费的开支。资金使用规范，符合国家财经法规和财务管理以及有关专项资金管理办法的规定；资金的拨</w:t>
      </w:r>
      <w:r>
        <w:rPr>
          <w:rFonts w:ascii="仿宋_GB2312" w:eastAsia="仿宋_GB2312" w:cs="仿宋_GB2312" w:hint="eastAsia"/>
          <w:sz w:val="32"/>
          <w:szCs w:val="32"/>
          <w:lang w:eastAsia="zh-CN"/>
        </w:rPr>
        <w:lastRenderedPageBreak/>
        <w:t>付有完整的审批程序和手续；不存在截留、挤占、挪用、虚列支出等情况。保障会计核算准确、财务资料完整。</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（二）总体绩效目标完成情况分析。</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进一步加强公共卫生、传染病防治、职业卫生、医疗卫生监督执法工作，按照国务院关于“双随机、一公开”的工作部署要求，我单位组织制定了《融水苗族自治县卫生计生监督所关于印发2020年实施国家“双随机、一公开”监督抽查计划的通知》和执法人员名录库，使我县的双随机检测工作有效执法率达100%以上。共支付项目资金5.46万元。</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（三）绩效指标完成情况分析。</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1、效益指标完成情况分析。</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我单位较好地完成了2020年国家下达的双随机工作任务，各项监督监测工作得到有序开展。年底完成全部项目的100%，资金拨付达到位100%，完成项目验收率达到100%。</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2、满意度指标完成情况分析。</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群众对项目实施满意度达100%。项目社会效益和经济效益明显，达到了预期效果。</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三、偏离绩效目标的原因和下一步改进措施</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无。</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四、绩效自评结果拟应用和公开情况</w:t>
      </w:r>
    </w:p>
    <w:p w:rsidR="006C7E49" w:rsidRDefault="004C6979" w:rsidP="004C6979">
      <w:pPr>
        <w:autoSpaceDE w:val="0"/>
        <w:autoSpaceDN w:val="0"/>
        <w:adjustRightInd w:val="0"/>
        <w:spacing w:line="560" w:lineRule="exact"/>
        <w:ind w:leftChars="200" w:left="440"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按项目实际支出和项目申报绩效目标进行对比分析自评得分100分，所有项目均与批复下达相符。</w:t>
      </w:r>
    </w:p>
    <w:p w:rsidR="006C7E49" w:rsidRDefault="004C6979" w:rsidP="004C6979">
      <w:pPr>
        <w:autoSpaceDE w:val="0"/>
        <w:autoSpaceDN w:val="0"/>
        <w:adjustRightInd w:val="0"/>
        <w:spacing w:line="560" w:lineRule="exact"/>
        <w:ind w:leftChars="200" w:left="440"/>
        <w:rPr>
          <w:rFonts w:ascii="仿宋_GB2312" w:eastAsia="仿宋_GB2312" w:cs="仿宋_GB2312"/>
          <w:sz w:val="32"/>
          <w:szCs w:val="32"/>
          <w:lang w:eastAsia="zh-CN"/>
        </w:rPr>
      </w:pPr>
      <w:r>
        <w:rPr>
          <w:rFonts w:ascii="仿宋_GB2312" w:eastAsia="仿宋_GB2312" w:cs="仿宋_GB2312" w:hint="eastAsia"/>
          <w:sz w:val="32"/>
          <w:szCs w:val="32"/>
          <w:lang w:eastAsia="zh-CN"/>
        </w:rPr>
        <w:t>五、其他需要说明的问题</w:t>
      </w:r>
    </w:p>
    <w:p w:rsidR="006C7E49" w:rsidRDefault="00FB3AF5">
      <w:pPr>
        <w:ind w:firstLineChars="200" w:firstLine="720"/>
        <w:jc w:val="both"/>
        <w:textAlignment w:val="center"/>
        <w:rPr>
          <w:rFonts w:ascii="方正小标宋简体" w:eastAsia="方正小标宋简体" w:hAnsi="方正小标宋简体" w:cs="方正小标宋简体"/>
          <w:color w:val="000000"/>
          <w:sz w:val="36"/>
          <w:szCs w:val="36"/>
          <w:lang w:eastAsia="zh-CN"/>
        </w:rPr>
      </w:pPr>
      <w:r>
        <w:rPr>
          <w:rFonts w:ascii="方正小标宋简体" w:eastAsia="方正小标宋简体" w:hAnsi="方正小标宋简体" w:cs="方正小标宋简体" w:hint="eastAsia"/>
          <w:color w:val="000000"/>
          <w:sz w:val="36"/>
          <w:szCs w:val="36"/>
          <w:lang w:eastAsia="zh-CN"/>
        </w:rPr>
        <w:t>无</w:t>
      </w:r>
    </w:p>
    <w:tbl>
      <w:tblPr>
        <w:tblW w:w="4997" w:type="pct"/>
        <w:tblLook w:val="04A0"/>
      </w:tblPr>
      <w:tblGrid>
        <w:gridCol w:w="937"/>
        <w:gridCol w:w="432"/>
        <w:gridCol w:w="432"/>
        <w:gridCol w:w="859"/>
        <w:gridCol w:w="986"/>
        <w:gridCol w:w="724"/>
        <w:gridCol w:w="626"/>
        <w:gridCol w:w="1769"/>
        <w:gridCol w:w="1763"/>
      </w:tblGrid>
      <w:tr w:rsidR="006C7E49">
        <w:trPr>
          <w:trHeight w:val="1648"/>
        </w:trPr>
        <w:tc>
          <w:tcPr>
            <w:tcW w:w="5000" w:type="pct"/>
            <w:gridSpan w:val="9"/>
            <w:tcBorders>
              <w:top w:val="nil"/>
              <w:left w:val="nil"/>
              <w:bottom w:val="nil"/>
              <w:right w:val="nil"/>
            </w:tcBorders>
            <w:shd w:val="clear" w:color="auto" w:fill="FFFFFF" w:themeFill="background1"/>
            <w:noWrap/>
            <w:vAlign w:val="center"/>
          </w:tcPr>
          <w:p w:rsidR="006C7E49" w:rsidRDefault="006C7E49">
            <w:pPr>
              <w:textAlignment w:val="center"/>
              <w:rPr>
                <w:rFonts w:ascii="方正小标宋简体" w:eastAsia="方正小标宋简体" w:hAnsi="方正小标宋简体" w:cs="方正小标宋简体"/>
                <w:color w:val="000000"/>
                <w:sz w:val="30"/>
                <w:szCs w:val="30"/>
                <w:lang w:eastAsia="zh-CN"/>
              </w:rPr>
            </w:pPr>
          </w:p>
          <w:p w:rsidR="006C7E49" w:rsidRDefault="004C6979">
            <w:pPr>
              <w:textAlignment w:val="center"/>
              <w:rPr>
                <w:rFonts w:ascii="方正小标宋简体" w:eastAsia="方正小标宋简体" w:hAnsi="方正小标宋简体" w:cs="方正小标宋简体"/>
                <w:color w:val="000000"/>
                <w:sz w:val="30"/>
                <w:szCs w:val="30"/>
                <w:lang w:eastAsia="zh-CN"/>
              </w:rPr>
            </w:pPr>
            <w:r>
              <w:rPr>
                <w:rFonts w:ascii="方正小标宋简体" w:eastAsia="方正小标宋简体" w:hAnsi="方正小标宋简体" w:cs="方正小标宋简体" w:hint="eastAsia"/>
                <w:color w:val="000000"/>
                <w:sz w:val="30"/>
                <w:szCs w:val="30"/>
                <w:lang w:eastAsia="zh-CN"/>
              </w:rPr>
              <w:t>附件2</w:t>
            </w:r>
          </w:p>
          <w:p w:rsidR="006C7E49" w:rsidRDefault="004C6979">
            <w:pPr>
              <w:ind w:left="3600" w:hangingChars="1200" w:hanging="3600"/>
              <w:jc w:val="both"/>
              <w:textAlignment w:val="center"/>
              <w:rPr>
                <w:rFonts w:ascii="方正小标宋简体" w:eastAsia="方正小标宋简体" w:hAnsi="方正小标宋简体" w:cs="方正小标宋简体"/>
                <w:color w:val="000000"/>
                <w:sz w:val="36"/>
                <w:szCs w:val="36"/>
                <w:lang w:eastAsia="zh-CN"/>
              </w:rPr>
            </w:pPr>
            <w:r>
              <w:rPr>
                <w:rFonts w:ascii="方正小标宋简体" w:eastAsia="方正小标宋简体" w:hAnsi="方正小标宋简体" w:cs="方正小标宋简体"/>
                <w:color w:val="000000"/>
                <w:sz w:val="30"/>
                <w:szCs w:val="30"/>
                <w:lang w:eastAsia="zh-CN"/>
              </w:rPr>
              <w:t xml:space="preserve">融水苗族自治县卫生计生监督所转移支付区域（项目）绩效目标自评表 </w:t>
            </w:r>
          </w:p>
        </w:tc>
      </w:tr>
      <w:tr w:rsidR="006C7E49">
        <w:trPr>
          <w:trHeight w:val="270"/>
        </w:trPr>
        <w:tc>
          <w:tcPr>
            <w:tcW w:w="3951" w:type="pct"/>
            <w:gridSpan w:val="8"/>
            <w:tcBorders>
              <w:top w:val="nil"/>
              <w:left w:val="nil"/>
              <w:bottom w:val="single" w:sz="4" w:space="0" w:color="000000"/>
              <w:right w:val="nil"/>
            </w:tcBorders>
            <w:shd w:val="clear" w:color="auto" w:fill="auto"/>
          </w:tcPr>
          <w:p w:rsidR="006C7E49" w:rsidRDefault="004C6979">
            <w:pPr>
              <w:jc w:val="center"/>
              <w:textAlignment w:val="top"/>
              <w:rPr>
                <w:rFonts w:ascii="宋体" w:hAnsi="宋体" w:cs="宋体"/>
                <w:color w:val="000000"/>
              </w:rPr>
            </w:pPr>
            <w:r>
              <w:rPr>
                <w:rFonts w:ascii="宋体" w:hAnsi="宋体" w:cs="宋体" w:hint="eastAsia"/>
                <w:color w:val="000000"/>
                <w:lang w:eastAsia="zh-CN"/>
              </w:rPr>
              <w:t>（2020年度）</w:t>
            </w:r>
          </w:p>
        </w:tc>
        <w:tc>
          <w:tcPr>
            <w:tcW w:w="1048" w:type="pct"/>
            <w:tcBorders>
              <w:top w:val="nil"/>
              <w:left w:val="nil"/>
              <w:bottom w:val="single" w:sz="4" w:space="0" w:color="000000"/>
              <w:right w:val="nil"/>
            </w:tcBorders>
            <w:shd w:val="clear" w:color="auto" w:fill="auto"/>
          </w:tcPr>
          <w:p w:rsidR="006C7E49" w:rsidRDefault="006C7E49">
            <w:pPr>
              <w:jc w:val="center"/>
              <w:textAlignment w:val="top"/>
              <w:rPr>
                <w:rFonts w:ascii="宋体" w:hAnsi="宋体" w:cs="宋体"/>
                <w:color w:val="000000"/>
                <w:lang w:eastAsia="zh-CN"/>
              </w:rPr>
            </w:pPr>
          </w:p>
        </w:tc>
      </w:tr>
      <w:tr w:rsidR="006C7E49">
        <w:trPr>
          <w:trHeight w:val="270"/>
        </w:trPr>
        <w:tc>
          <w:tcPr>
            <w:tcW w:w="10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转移支付（项目）名称</w:t>
            </w:r>
          </w:p>
        </w:tc>
        <w:tc>
          <w:tcPr>
            <w:tcW w:w="291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国家随机监督抽查项目</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270"/>
        </w:trPr>
        <w:tc>
          <w:tcPr>
            <w:tcW w:w="10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中央主管部门</w:t>
            </w:r>
          </w:p>
        </w:tc>
        <w:tc>
          <w:tcPr>
            <w:tcW w:w="291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270"/>
        </w:trPr>
        <w:tc>
          <w:tcPr>
            <w:tcW w:w="10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地方主管部门</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实施单位</w:t>
            </w: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融水苗族自治县卫生计生监督所</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480"/>
        </w:trPr>
        <w:tc>
          <w:tcPr>
            <w:tcW w:w="103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资金情况（万元）</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宋体" w:hAnsi="宋体" w:cs="宋体"/>
                <w:color w:val="000000"/>
                <w:sz w:val="20"/>
                <w:szCs w:val="20"/>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全年预算数（A）</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全年执行数（B）</w:t>
            </w: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执行率（B/A)</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270"/>
        </w:trPr>
        <w:tc>
          <w:tcPr>
            <w:tcW w:w="10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年度资金总额：</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5.46万元</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5.46万元</w:t>
            </w: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270"/>
        </w:trPr>
        <w:tc>
          <w:tcPr>
            <w:tcW w:w="10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其中：中央财政资金</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5.46万元</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5.46万元</w:t>
            </w: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270"/>
        </w:trPr>
        <w:tc>
          <w:tcPr>
            <w:tcW w:w="10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地方资</w:t>
            </w:r>
            <w:r>
              <w:rPr>
                <w:rFonts w:ascii="宋体" w:hAnsi="宋体" w:cs="宋体" w:hint="eastAsia"/>
                <w:color w:val="000000"/>
                <w:sz w:val="20"/>
                <w:szCs w:val="20"/>
                <w:lang w:eastAsia="zh-CN"/>
              </w:rPr>
              <w:lastRenderedPageBreak/>
              <w:t>金</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615"/>
        </w:trPr>
        <w:tc>
          <w:tcPr>
            <w:tcW w:w="10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其他资</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420" w:type="pct"/>
            <w:tcBorders>
              <w:top w:val="single" w:sz="4" w:space="0" w:color="000000"/>
              <w:left w:val="single" w:sz="4" w:space="0" w:color="000000"/>
              <w:bottom w:val="nil"/>
              <w:right w:val="nil"/>
            </w:tcBorders>
            <w:shd w:val="clear" w:color="auto" w:fill="auto"/>
            <w:vAlign w:val="center"/>
          </w:tcPr>
          <w:p w:rsidR="006C7E49" w:rsidRDefault="006C7E49">
            <w:pPr>
              <w:jc w:val="center"/>
              <w:rPr>
                <w:rFonts w:ascii="宋体" w:hAnsi="宋体" w:cs="宋体"/>
                <w:color w:val="000000"/>
                <w:sz w:val="20"/>
                <w:szCs w:val="20"/>
              </w:rPr>
            </w:pPr>
          </w:p>
        </w:tc>
        <w:tc>
          <w:tcPr>
            <w:tcW w:w="14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405"/>
        </w:trPr>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总体</w:t>
            </w:r>
            <w:r>
              <w:rPr>
                <w:rFonts w:ascii="宋体" w:hAnsi="宋体" w:cs="宋体" w:hint="eastAsia"/>
                <w:color w:val="000000"/>
                <w:sz w:val="20"/>
                <w:szCs w:val="20"/>
                <w:lang w:eastAsia="zh-CN"/>
              </w:rPr>
              <w:br/>
              <w:t>目标</w:t>
            </w:r>
            <w:r>
              <w:rPr>
                <w:rFonts w:ascii="宋体" w:hAnsi="宋体" w:cs="宋体" w:hint="eastAsia"/>
                <w:color w:val="000000"/>
                <w:sz w:val="20"/>
                <w:szCs w:val="20"/>
                <w:lang w:eastAsia="zh-CN"/>
              </w:rPr>
              <w:br/>
              <w:t>完成</w:t>
            </w:r>
            <w:r>
              <w:rPr>
                <w:rFonts w:ascii="宋体" w:hAnsi="宋体" w:cs="宋体" w:hint="eastAsia"/>
                <w:color w:val="000000"/>
                <w:sz w:val="20"/>
                <w:szCs w:val="20"/>
                <w:lang w:eastAsia="zh-CN"/>
              </w:rPr>
              <w:br/>
              <w:t>情况</w:t>
            </w:r>
          </w:p>
        </w:tc>
        <w:tc>
          <w:tcPr>
            <w:tcW w:w="15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总体目标</w:t>
            </w:r>
          </w:p>
        </w:tc>
        <w:tc>
          <w:tcPr>
            <w:tcW w:w="1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全年实际完成情况</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textAlignment w:val="center"/>
              <w:rPr>
                <w:rFonts w:ascii="宋体" w:hAnsi="宋体" w:cs="宋体"/>
                <w:color w:val="000000"/>
                <w:sz w:val="20"/>
                <w:szCs w:val="20"/>
                <w:lang w:eastAsia="zh-CN"/>
              </w:rPr>
            </w:pPr>
          </w:p>
        </w:tc>
      </w:tr>
      <w:tr w:rsidR="006C7E49">
        <w:trPr>
          <w:trHeight w:val="4320"/>
        </w:trPr>
        <w:tc>
          <w:tcPr>
            <w:tcW w:w="5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56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（一）学校卫生、公共场所卫生、生活饮用水和餐饮具集中消毒服务单位的卫生管理和监督检测情况。</w:t>
            </w:r>
            <w:r>
              <w:rPr>
                <w:rFonts w:ascii="仿宋_GB2312" w:eastAsia="仿宋_GB2312" w:hAnsi="宋体" w:cs="仿宋_GB2312"/>
                <w:color w:val="000000"/>
                <w:sz w:val="20"/>
                <w:szCs w:val="20"/>
                <w:lang w:eastAsia="zh-CN"/>
              </w:rPr>
              <w:br/>
              <w:t>（二）医疗卫生机构预防接种管理、传染病疫情报告和疫情控制、消毒隔离措施落实、医疗废物管理、病原微生物实验室生物安全管理等情况。</w:t>
            </w:r>
            <w:r>
              <w:rPr>
                <w:rFonts w:ascii="仿宋_GB2312" w:eastAsia="仿宋_GB2312" w:hAnsi="宋体" w:cs="仿宋_GB2312"/>
                <w:color w:val="000000"/>
                <w:sz w:val="20"/>
                <w:szCs w:val="20"/>
                <w:lang w:eastAsia="zh-CN"/>
              </w:rPr>
              <w:br/>
              <w:t>（三）消毒产品和涉及饮用水卫生安全产品生产经营情况。</w:t>
            </w:r>
            <w:r>
              <w:rPr>
                <w:rFonts w:ascii="仿宋_GB2312" w:eastAsia="仿宋_GB2312" w:hAnsi="宋体" w:cs="仿宋_GB2312"/>
                <w:color w:val="000000"/>
                <w:sz w:val="20"/>
                <w:szCs w:val="20"/>
                <w:lang w:eastAsia="zh-CN"/>
              </w:rPr>
              <w:br/>
              <w:t>（四）医疗机构、采供血机构、放射诊疗机构、职业健康检查和职业病诊断机构、母婴保健以及计划生育技术服务机构依法执业情况。</w:t>
            </w:r>
            <w:r>
              <w:rPr>
                <w:rFonts w:ascii="仿宋_GB2312" w:eastAsia="仿宋_GB2312" w:hAnsi="宋体" w:cs="仿宋_GB2312"/>
                <w:color w:val="000000"/>
                <w:sz w:val="20"/>
                <w:szCs w:val="20"/>
                <w:lang w:eastAsia="zh-CN"/>
              </w:rPr>
              <w:br/>
              <w:t>（五）2020年国家随机监督抽查被行政处罚的单位整改落实情况。</w:t>
            </w:r>
            <w:r>
              <w:rPr>
                <w:rFonts w:ascii="仿宋_GB2312" w:eastAsia="仿宋_GB2312" w:hAnsi="宋体" w:cs="仿宋_GB2312"/>
                <w:color w:val="000000"/>
                <w:sz w:val="20"/>
                <w:szCs w:val="20"/>
                <w:lang w:eastAsia="zh-CN"/>
              </w:rPr>
              <w:br/>
              <w:t>（六）对非法医疗美容、非法使用超声诊断仪开展</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胎儿摄影</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活动、代孕等突出问题开展</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回头看</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，对发现的违法行为依法严肃查处，加大打击力度。</w:t>
            </w:r>
            <w:r>
              <w:rPr>
                <w:rFonts w:ascii="仿宋_GB2312" w:eastAsia="仿宋_GB2312" w:hAnsi="宋体" w:cs="仿宋_GB2312"/>
                <w:color w:val="000000"/>
                <w:sz w:val="20"/>
                <w:szCs w:val="20"/>
                <w:lang w:eastAsia="zh-CN"/>
              </w:rPr>
              <w:br/>
              <w:t>（七）按照国家卫生健康委、教育部《关于开展 2020 年托幼机构、校外培训机构、学校采光照明</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双随机</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抽检工作的通知》</w:t>
            </w:r>
          </w:p>
        </w:tc>
        <w:tc>
          <w:tcPr>
            <w:tcW w:w="18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一）学校卫生、公共场所卫生、生活饮用水和餐饮具集中消毒服务单位的卫生管理和监督检测情况：已按《自治区卫生健康委办公室关于印发2020年广西实施随机监督抽查计划的通知》（桂卫办发〔2020〕37号）要求100%完成监督和监测工作。</w:t>
            </w:r>
            <w:r>
              <w:rPr>
                <w:rFonts w:ascii="仿宋_GB2312" w:eastAsia="仿宋_GB2312" w:hAnsi="宋体" w:cs="仿宋_GB2312"/>
                <w:color w:val="000000"/>
                <w:sz w:val="20"/>
                <w:szCs w:val="20"/>
                <w:lang w:eastAsia="zh-CN"/>
              </w:rPr>
              <w:br/>
              <w:t>（二）医疗卫生机构预防接种管理、传染病疫情报告和疫情控制、消毒隔离措施落实、医疗废物管理、病原微生物实验室生物安全管理等情况：已按《自治区卫生健康委办公室关于印发2020年广西实施随机监督抽查计划的通知》（桂卫办发〔2020〕37号）要求100%完成监督管理工作。</w:t>
            </w:r>
            <w:r>
              <w:rPr>
                <w:rFonts w:ascii="仿宋_GB2312" w:eastAsia="仿宋_GB2312" w:hAnsi="宋体" w:cs="仿宋_GB2312"/>
                <w:color w:val="000000"/>
                <w:sz w:val="20"/>
                <w:szCs w:val="20"/>
                <w:lang w:eastAsia="zh-CN"/>
              </w:rPr>
              <w:br/>
              <w:t>（三）消毒产品和涉及饮用水卫生安全产品生产经营情况：已按《自治区卫生健康委办公室关于印发2020年广西实施随机监督抽查计划的通知》（桂卫办发〔2020〕37号）要求100%完成监督和监测工作。</w:t>
            </w:r>
            <w:r>
              <w:rPr>
                <w:rFonts w:ascii="仿宋_GB2312" w:eastAsia="仿宋_GB2312" w:hAnsi="宋体" w:cs="仿宋_GB2312"/>
                <w:color w:val="000000"/>
                <w:sz w:val="20"/>
                <w:szCs w:val="20"/>
                <w:lang w:eastAsia="zh-CN"/>
              </w:rPr>
              <w:br/>
              <w:t>（四）医疗机构、采供血机构、放射诊疗机构、职业健康检查和职业病诊断机构、母婴保健以及计划生育技术服务机构依法执业情况：已按《自治区卫生健康委办公室关于印发2020年广西实施随机监督抽查计划的通知》（桂卫办发〔2020〕37号）要求100%完成监督管理工作</w:t>
            </w:r>
            <w:r>
              <w:rPr>
                <w:rFonts w:ascii="仿宋_GB2312" w:eastAsia="仿宋_GB2312" w:hAnsi="宋体" w:cs="仿宋_GB2312"/>
                <w:color w:val="000000"/>
                <w:sz w:val="20"/>
                <w:szCs w:val="20"/>
                <w:lang w:eastAsia="zh-CN"/>
              </w:rPr>
              <w:br/>
              <w:t>（五）2020年国家随机监督抽查被行政处罚的单位整改落实情况：已按《自治区卫生健康委办公室关于印发2020年广西实施随机监督</w:t>
            </w:r>
            <w:r>
              <w:rPr>
                <w:rFonts w:ascii="仿宋_GB2312" w:eastAsia="仿宋_GB2312" w:hAnsi="宋体" w:cs="仿宋_GB2312"/>
                <w:color w:val="000000"/>
                <w:sz w:val="20"/>
                <w:szCs w:val="20"/>
                <w:lang w:eastAsia="zh-CN"/>
              </w:rPr>
              <w:lastRenderedPageBreak/>
              <w:t>抽查计划的通知》（桂卫办发〔2020〕37号）要求100%完成监督管理工作</w:t>
            </w:r>
            <w:r>
              <w:rPr>
                <w:rFonts w:ascii="仿宋_GB2312" w:eastAsia="仿宋_GB2312" w:hAnsi="宋体" w:cs="仿宋_GB2312"/>
                <w:color w:val="000000"/>
                <w:sz w:val="20"/>
                <w:szCs w:val="20"/>
                <w:lang w:eastAsia="zh-CN"/>
              </w:rPr>
              <w:br/>
              <w:t>（六）对非法医疗美容、非法使用超声诊断仪开展</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胎儿摄影</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活动、代孕等突出问题开展</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回头看</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，对发现的违法行为依法严肃查处，加大打击力度：已按《自治区卫生健康委办公室关于印发2020年广西实施随机监督抽查计划的通知》（桂卫办发〔2020〕37号）要求100%完成监督管理工作</w:t>
            </w:r>
            <w:r>
              <w:rPr>
                <w:rFonts w:ascii="仿宋_GB2312" w:eastAsia="仿宋_GB2312" w:hAnsi="宋体" w:cs="仿宋_GB2312"/>
                <w:color w:val="000000"/>
                <w:sz w:val="20"/>
                <w:szCs w:val="20"/>
                <w:lang w:eastAsia="zh-CN"/>
              </w:rPr>
              <w:br/>
              <w:t>（七）按照国家卫生健康委、教育部《关于开展 2020 年托幼机构、校外培训机构、学校采光照明</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双随机</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抽检工作的通知》：此项工作已完成。</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textAlignment w:val="center"/>
              <w:rPr>
                <w:rFonts w:ascii="仿宋_GB2312" w:eastAsia="仿宋_GB2312" w:hAnsi="宋体" w:cs="仿宋_GB2312"/>
                <w:color w:val="000000"/>
                <w:sz w:val="20"/>
                <w:szCs w:val="20"/>
                <w:lang w:eastAsia="zh-CN"/>
              </w:rPr>
            </w:pPr>
          </w:p>
        </w:tc>
      </w:tr>
      <w:tr w:rsidR="006C7E49">
        <w:trPr>
          <w:trHeight w:val="300"/>
        </w:trPr>
        <w:tc>
          <w:tcPr>
            <w:tcW w:w="549" w:type="pct"/>
            <w:vMerge w:val="restar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br/>
              <w:t>绩效</w:t>
            </w:r>
            <w:r>
              <w:rPr>
                <w:rFonts w:ascii="宋体" w:hAnsi="宋体" w:cs="宋体" w:hint="eastAsia"/>
                <w:color w:val="000000"/>
                <w:sz w:val="20"/>
                <w:szCs w:val="20"/>
                <w:lang w:eastAsia="zh-CN"/>
              </w:rPr>
              <w:br/>
              <w:t>指标</w:t>
            </w:r>
          </w:p>
        </w:tc>
        <w:tc>
          <w:tcPr>
            <w:tcW w:w="244"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一级指标</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二级指标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三级指标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年度指标值</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全年完成值</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未完成原因和改进措施</w:t>
            </w: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textAlignment w:val="center"/>
              <w:rPr>
                <w:rFonts w:ascii="仿宋_GB2312" w:eastAsia="仿宋_GB2312" w:hAnsi="宋体" w:cs="仿宋_GB2312"/>
                <w:color w:val="000000"/>
                <w:sz w:val="20"/>
                <w:szCs w:val="20"/>
                <w:lang w:eastAsia="zh-CN"/>
              </w:rPr>
            </w:pPr>
          </w:p>
        </w:tc>
      </w:tr>
      <w:tr w:rsidR="006C7E49">
        <w:trPr>
          <w:trHeight w:val="141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lang w:eastAsia="zh-CN"/>
              </w:rPr>
            </w:pPr>
          </w:p>
        </w:tc>
        <w:tc>
          <w:tcPr>
            <w:tcW w:w="244" w:type="pct"/>
            <w:vMerge w:val="restar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产</w:t>
            </w:r>
            <w:r>
              <w:rPr>
                <w:rFonts w:ascii="仿宋_GB2312" w:eastAsia="仿宋_GB2312" w:hAnsi="宋体" w:cs="仿宋_GB2312"/>
                <w:color w:val="000000"/>
                <w:sz w:val="20"/>
                <w:szCs w:val="20"/>
                <w:lang w:eastAsia="zh-CN"/>
              </w:rPr>
              <w:br/>
              <w:t>出</w:t>
            </w:r>
            <w:r>
              <w:rPr>
                <w:rFonts w:ascii="仿宋_GB2312" w:eastAsia="仿宋_GB2312" w:hAnsi="宋体" w:cs="仿宋_GB2312"/>
                <w:color w:val="000000"/>
                <w:sz w:val="20"/>
                <w:szCs w:val="20"/>
                <w:lang w:eastAsia="zh-CN"/>
              </w:rPr>
              <w:br/>
              <w:t>指</w:t>
            </w:r>
            <w:r>
              <w:rPr>
                <w:rFonts w:ascii="仿宋_GB2312" w:eastAsia="仿宋_GB2312" w:hAnsi="宋体" w:cs="仿宋_GB2312"/>
                <w:color w:val="000000"/>
                <w:sz w:val="20"/>
                <w:szCs w:val="20"/>
                <w:lang w:eastAsia="zh-CN"/>
              </w:rPr>
              <w:br/>
              <w:t>标</w:t>
            </w:r>
          </w:p>
        </w:tc>
        <w:tc>
          <w:tcPr>
            <w:tcW w:w="244"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数量指标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全面完成双随机监督任务</w:t>
            </w:r>
          </w:p>
        </w:tc>
        <w:tc>
          <w:tcPr>
            <w:tcW w:w="420"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113</w:t>
            </w:r>
          </w:p>
        </w:tc>
        <w:tc>
          <w:tcPr>
            <w:tcW w:w="361"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113</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114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质量指标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完结率达到100%</w:t>
            </w:r>
          </w:p>
        </w:tc>
        <w:tc>
          <w:tcPr>
            <w:tcW w:w="420"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361"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76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244"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时效指标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年度内完监测任务</w:t>
            </w:r>
          </w:p>
        </w:tc>
        <w:tc>
          <w:tcPr>
            <w:tcW w:w="420"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361"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50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成本指标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lang w:eastAsia="zh-CN"/>
              </w:rPr>
              <w:t>5.46</w:t>
            </w:r>
            <w:r>
              <w:rPr>
                <w:rFonts w:ascii="仿宋_GB2312" w:eastAsia="仿宋_GB2312" w:hAnsi="宋体" w:cs="仿宋_GB2312"/>
                <w:color w:val="000000"/>
                <w:sz w:val="20"/>
                <w:szCs w:val="20"/>
                <w:lang w:eastAsia="zh-CN"/>
              </w:rPr>
              <w:t>万元</w:t>
            </w:r>
          </w:p>
        </w:tc>
        <w:tc>
          <w:tcPr>
            <w:tcW w:w="420"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7.96万元</w:t>
            </w:r>
          </w:p>
        </w:tc>
        <w:tc>
          <w:tcPr>
            <w:tcW w:w="361"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7.96万元</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92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244"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社会效益指标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达到预期目标</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100%</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48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可持续影响指标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卫生监督工作连惯性</w:t>
            </w:r>
          </w:p>
        </w:tc>
        <w:tc>
          <w:tcPr>
            <w:tcW w:w="420"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361" w:type="pct"/>
            <w:tcBorders>
              <w:top w:val="single" w:sz="4" w:space="0" w:color="000000"/>
              <w:left w:val="single" w:sz="4" w:space="0" w:color="000000"/>
              <w:bottom w:val="single" w:sz="4" w:space="0" w:color="000000"/>
              <w:right w:val="nil"/>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720"/>
        </w:trPr>
        <w:tc>
          <w:tcPr>
            <w:tcW w:w="549"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满意度指标</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服务对象满意度指标</w:t>
            </w: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both"/>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绩效考核、发放调查表</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100%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100%</w:t>
            </w:r>
          </w:p>
        </w:tc>
        <w:tc>
          <w:tcPr>
            <w:tcW w:w="10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c>
          <w:tcPr>
            <w:tcW w:w="10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510"/>
        </w:trPr>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E49" w:rsidRDefault="004C6979">
            <w:pPr>
              <w:textAlignment w:val="center"/>
              <w:rPr>
                <w:rFonts w:ascii="宋体" w:hAnsi="宋体" w:cs="宋体"/>
                <w:color w:val="000000"/>
              </w:rPr>
            </w:pPr>
            <w:r>
              <w:rPr>
                <w:rFonts w:ascii="宋体" w:hAnsi="宋体" w:cs="宋体" w:hint="eastAsia"/>
                <w:color w:val="000000"/>
                <w:lang w:eastAsia="zh-CN"/>
              </w:rPr>
              <w:t>说明</w:t>
            </w:r>
          </w:p>
        </w:tc>
        <w:tc>
          <w:tcPr>
            <w:tcW w:w="3401"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E49" w:rsidRDefault="004C6979">
            <w:pPr>
              <w:jc w:val="center"/>
              <w:textAlignment w:val="center"/>
              <w:rPr>
                <w:rFonts w:ascii="宋体" w:hAnsi="宋体" w:cs="宋体"/>
                <w:color w:val="000000"/>
              </w:rPr>
            </w:pPr>
            <w:r>
              <w:rPr>
                <w:rFonts w:ascii="宋体" w:hAnsi="宋体" w:cs="宋体" w:hint="eastAsia"/>
                <w:color w:val="000000"/>
                <w:lang w:eastAsia="zh-CN"/>
              </w:rPr>
              <w:t>无</w:t>
            </w:r>
          </w:p>
        </w:tc>
        <w:tc>
          <w:tcPr>
            <w:tcW w:w="10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E49" w:rsidRDefault="006C7E49">
            <w:pPr>
              <w:jc w:val="center"/>
              <w:textAlignment w:val="center"/>
              <w:rPr>
                <w:rFonts w:ascii="宋体" w:hAnsi="宋体" w:cs="宋体"/>
                <w:color w:val="000000"/>
                <w:lang w:eastAsia="zh-CN"/>
              </w:rPr>
            </w:pPr>
          </w:p>
        </w:tc>
      </w:tr>
      <w:tr w:rsidR="006C7E49">
        <w:trPr>
          <w:trHeight w:val="2880"/>
        </w:trPr>
        <w:tc>
          <w:tcPr>
            <w:tcW w:w="3951" w:type="pct"/>
            <w:gridSpan w:val="8"/>
            <w:tcBorders>
              <w:top w:val="single" w:sz="4" w:space="0" w:color="000000"/>
              <w:left w:val="single" w:sz="4" w:space="0" w:color="000000"/>
              <w:bottom w:val="single" w:sz="4" w:space="0" w:color="000000"/>
              <w:right w:val="single" w:sz="4" w:space="0" w:color="000000"/>
            </w:tcBorders>
            <w:shd w:val="clear" w:color="auto" w:fill="auto"/>
          </w:tcPr>
          <w:p w:rsidR="006C7E49" w:rsidRDefault="004C6979">
            <w:pPr>
              <w:textAlignment w:val="top"/>
              <w:rPr>
                <w:rFonts w:ascii="宋体" w:hAnsi="宋体" w:cs="宋体"/>
                <w:color w:val="000000"/>
                <w:lang w:eastAsia="zh-CN"/>
              </w:rPr>
            </w:pPr>
            <w:r>
              <w:rPr>
                <w:rFonts w:ascii="宋体" w:hAnsi="宋体" w:cs="宋体" w:hint="eastAsia"/>
                <w:color w:val="000000"/>
                <w:lang w:eastAsia="zh-CN"/>
              </w:rPr>
              <w:t xml:space="preserve">注：1.资金使用单位按项目绩效目标填报，主管部门汇总时按区域绩效目标填报。                                                                                           2.其他资金包括与中央财政资金、地方财政资金共同投入到同一项目的自有资金、社会资金，以及以前年度的结转结余资金等。                                                                                     3.全年执行数是指按照国库集中支付制度要求，支付到商品和劳务供应者或用款单位形成的实际支出。            4. 定量指标。地方各级主管部门对资金使用单位填写的实际完成值汇总时，绝对值直接累加计算，相对值按照资金额度加权平均计算。                                                                             5. 定性指标。资金使用单位分别按照100%-80%（含）、80%-60%（含）、60%-0%合理填写实际完成，地方各级主管部门汇总时，按照资金额度加权平均计算。                                                                                   </w:t>
            </w:r>
          </w:p>
        </w:tc>
        <w:tc>
          <w:tcPr>
            <w:tcW w:w="1048" w:type="pct"/>
            <w:tcBorders>
              <w:top w:val="single" w:sz="4" w:space="0" w:color="000000"/>
              <w:left w:val="single" w:sz="4" w:space="0" w:color="000000"/>
              <w:bottom w:val="single" w:sz="4" w:space="0" w:color="000000"/>
              <w:right w:val="single" w:sz="4" w:space="0" w:color="000000"/>
            </w:tcBorders>
            <w:shd w:val="clear" w:color="auto" w:fill="auto"/>
          </w:tcPr>
          <w:p w:rsidR="006C7E49" w:rsidRDefault="006C7E49">
            <w:pPr>
              <w:textAlignment w:val="top"/>
              <w:rPr>
                <w:rFonts w:ascii="宋体" w:hAnsi="宋体" w:cs="宋体"/>
                <w:color w:val="000000"/>
                <w:lang w:eastAsia="zh-CN"/>
              </w:rPr>
            </w:pPr>
          </w:p>
        </w:tc>
      </w:tr>
    </w:tbl>
    <w:p w:rsidR="006C7E49" w:rsidRDefault="006C7E49">
      <w:pPr>
        <w:pStyle w:val="a0"/>
        <w:rPr>
          <w:lang w:eastAsia="zh-CN"/>
        </w:rPr>
      </w:pPr>
    </w:p>
    <w:p w:rsidR="006C7E49" w:rsidRDefault="006C7E49">
      <w:pPr>
        <w:autoSpaceDE w:val="0"/>
        <w:autoSpaceDN w:val="0"/>
        <w:adjustRightInd w:val="0"/>
        <w:ind w:firstLineChars="200" w:firstLine="640"/>
        <w:rPr>
          <w:rFonts w:ascii="仿宋_GB2312" w:eastAsia="仿宋_GB2312" w:cs="仿宋_GB2312"/>
          <w:bCs/>
          <w:sz w:val="32"/>
          <w:szCs w:val="32"/>
          <w:lang w:eastAsia="zh-CN"/>
        </w:rPr>
      </w:pPr>
    </w:p>
    <w:p w:rsidR="006C7E49" w:rsidRDefault="006C7E49">
      <w:pPr>
        <w:autoSpaceDE w:val="0"/>
        <w:autoSpaceDN w:val="0"/>
        <w:adjustRightInd w:val="0"/>
        <w:ind w:firstLineChars="200" w:firstLine="640"/>
        <w:rPr>
          <w:rFonts w:ascii="仿宋_GB2312" w:eastAsia="仿宋_GB2312" w:cs="仿宋_GB2312"/>
          <w:bCs/>
          <w:sz w:val="32"/>
          <w:szCs w:val="32"/>
          <w:lang w:eastAsia="zh-CN"/>
        </w:rPr>
      </w:pPr>
    </w:p>
    <w:p w:rsidR="006C7E49" w:rsidRDefault="004C6979">
      <w:pPr>
        <w:autoSpaceDE w:val="0"/>
        <w:autoSpaceDN w:val="0"/>
        <w:adjustRightInd w:val="0"/>
        <w:jc w:val="center"/>
        <w:rPr>
          <w:rFonts w:ascii="仿宋_GB2312" w:eastAsia="仿宋_GB2312" w:cs="仿宋_GB2312"/>
          <w:b/>
          <w:sz w:val="32"/>
          <w:szCs w:val="32"/>
          <w:lang w:eastAsia="zh-CN"/>
        </w:rPr>
      </w:pPr>
      <w:r>
        <w:rPr>
          <w:rFonts w:ascii="仿宋_GB2312" w:eastAsia="仿宋_GB2312" w:cs="仿宋_GB2312" w:hint="eastAsia"/>
          <w:b/>
          <w:sz w:val="32"/>
          <w:szCs w:val="32"/>
          <w:lang w:eastAsia="zh-CN"/>
        </w:rPr>
        <w:t>1-2柳州市融水苗族自治自治县卫生计生监督所转移支付2020年度绩效自评报告</w:t>
      </w:r>
    </w:p>
    <w:p w:rsidR="006C7E49" w:rsidRDefault="004C6979">
      <w:pPr>
        <w:autoSpaceDE w:val="0"/>
        <w:autoSpaceDN w:val="0"/>
        <w:adjustRightInd w:val="0"/>
        <w:rPr>
          <w:rFonts w:ascii="仿宋_GB2312" w:eastAsia="仿宋_GB2312" w:cs="仿宋_GB2312"/>
          <w:b/>
          <w:sz w:val="28"/>
          <w:szCs w:val="28"/>
          <w:lang w:eastAsia="zh-CN"/>
        </w:rPr>
      </w:pPr>
      <w:r>
        <w:rPr>
          <w:rFonts w:ascii="仿宋_GB2312" w:eastAsia="仿宋_GB2312" w:cs="仿宋_GB2312" w:hint="eastAsia"/>
          <w:b/>
          <w:sz w:val="28"/>
          <w:szCs w:val="28"/>
          <w:lang w:eastAsia="zh-CN"/>
        </w:rPr>
        <w:t>（抗疫特别国债融水县卫生计生监督所改造及执法车辆购置项目）</w:t>
      </w:r>
    </w:p>
    <w:p w:rsidR="006C7E49" w:rsidRDefault="006C7E49">
      <w:pPr>
        <w:autoSpaceDE w:val="0"/>
        <w:autoSpaceDN w:val="0"/>
        <w:adjustRightInd w:val="0"/>
        <w:ind w:firstLineChars="200" w:firstLine="640"/>
        <w:rPr>
          <w:rFonts w:ascii="仿宋_GB2312" w:eastAsia="仿宋_GB2312" w:cs="仿宋_GB2312"/>
          <w:bCs/>
          <w:sz w:val="32"/>
          <w:szCs w:val="32"/>
          <w:lang w:eastAsia="zh-CN"/>
        </w:rPr>
      </w:pP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一、绩效目标分解下达情况</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项目概况。融水县面积4665平方公里，辖7镇13乡，全县人口约52.63万人。融水县卫生计生监督所使用的抗疫特别国债项目资金全部用于业务综合楼一至四层内部修缮及快速检测实验室改造；购置监督执法车辆1辆。</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（二）项目实施及管理。融水县卫生计生监督所使用的抗疫特别国债项目资金，通过招标程序解决。</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（三）项目资金情况。</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2020年上级调配我单位抗疫特别国债项目经费（快速检测实验室改造及执法车辆购置）70万元。目前下拨资金已于2020年12月30日前全部使用完毕。</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ab/>
        <w:t>二、绩效目标完成情况分析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（一）资金投入情况分析。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1、资金执行情况：自上级下文后，所有资金全部及时安排到位，并按项目建设要求和进度全部落实到位。</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资金管理情况：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（二）总体绩效目标完成情况分析。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提升我县公共卫生监督体系建设和执法力度，提高突发事件应急能力，使我县的有效执法率达85%以上。我单位及时利用抗疫特别国债项目资金完成了综合业务楼修缮改造，同时完成了监督执法车辆的采购，共支付项目资金70万元。</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（三）绩效指标完成情况分析。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1、效益指标完成情况分析。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我单位较好地完成了2020年设定的工作任务，各项项目得到有序开展。年底完成全部项目的100%，资金拨付达到100%，完成项目验收率达到100%。</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2、满意度指标完成情况分析。</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群众对项目实施满意度达100%。项目社会效益和经济效益明显，达到了预期效果。</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三、偏离绩效目标的原因和下一步改进措施</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无。</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四、绩效自评结果拟应用和公开情况</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按项目实际支出和项目申报绩效目标进行对比分析自评得分100分，所有项目均与批复下达相符。</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五、其他需要说明的问题</w:t>
      </w:r>
    </w:p>
    <w:p w:rsidR="006C7E49" w:rsidRDefault="004C6979">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无。</w:t>
      </w:r>
    </w:p>
    <w:tbl>
      <w:tblPr>
        <w:tblW w:w="4997" w:type="pct"/>
        <w:tblLook w:val="04A0"/>
      </w:tblPr>
      <w:tblGrid>
        <w:gridCol w:w="1058"/>
        <w:gridCol w:w="584"/>
        <w:gridCol w:w="649"/>
        <w:gridCol w:w="1308"/>
        <w:gridCol w:w="878"/>
        <w:gridCol w:w="1221"/>
        <w:gridCol w:w="1038"/>
        <w:gridCol w:w="1787"/>
      </w:tblGrid>
      <w:tr w:rsidR="006C7E49">
        <w:trPr>
          <w:trHeight w:val="450"/>
        </w:trPr>
        <w:tc>
          <w:tcPr>
            <w:tcW w:w="411" w:type="pct"/>
            <w:tcBorders>
              <w:top w:val="nil"/>
              <w:left w:val="nil"/>
              <w:bottom w:val="nil"/>
              <w:right w:val="nil"/>
            </w:tcBorders>
            <w:shd w:val="clear" w:color="auto" w:fill="auto"/>
            <w:noWrap/>
            <w:vAlign w:val="center"/>
          </w:tcPr>
          <w:p w:rsidR="006C7E49" w:rsidRDefault="004C6979">
            <w:pPr>
              <w:textAlignment w:val="center"/>
              <w:rPr>
                <w:rFonts w:ascii="黑体" w:eastAsia="黑体" w:hAnsi="宋体" w:cs="黑体"/>
                <w:color w:val="000000"/>
                <w:sz w:val="30"/>
                <w:szCs w:val="30"/>
              </w:rPr>
            </w:pPr>
            <w:r>
              <w:rPr>
                <w:rFonts w:ascii="黑体" w:eastAsia="黑体" w:hAnsi="宋体" w:cs="黑体" w:hint="eastAsia"/>
                <w:color w:val="000000"/>
                <w:sz w:val="30"/>
                <w:szCs w:val="30"/>
                <w:lang w:eastAsia="zh-CN"/>
              </w:rPr>
              <w:t>附件2</w:t>
            </w:r>
          </w:p>
        </w:tc>
        <w:tc>
          <w:tcPr>
            <w:tcW w:w="373" w:type="pct"/>
            <w:tcBorders>
              <w:top w:val="nil"/>
              <w:left w:val="nil"/>
              <w:bottom w:val="nil"/>
              <w:right w:val="nil"/>
            </w:tcBorders>
            <w:shd w:val="clear" w:color="auto" w:fill="auto"/>
            <w:vAlign w:val="center"/>
          </w:tcPr>
          <w:p w:rsidR="006C7E49" w:rsidRDefault="006C7E49">
            <w:pPr>
              <w:rPr>
                <w:rFonts w:ascii="黑体" w:eastAsia="黑体" w:hAnsi="宋体" w:cs="黑体"/>
                <w:color w:val="000000"/>
                <w:sz w:val="24"/>
                <w:szCs w:val="24"/>
              </w:rPr>
            </w:pPr>
          </w:p>
        </w:tc>
        <w:tc>
          <w:tcPr>
            <w:tcW w:w="411" w:type="pct"/>
            <w:tcBorders>
              <w:top w:val="nil"/>
              <w:left w:val="nil"/>
              <w:bottom w:val="nil"/>
              <w:right w:val="nil"/>
            </w:tcBorders>
            <w:shd w:val="clear" w:color="auto" w:fill="auto"/>
            <w:vAlign w:val="center"/>
          </w:tcPr>
          <w:p w:rsidR="006C7E49" w:rsidRDefault="006C7E49">
            <w:pPr>
              <w:rPr>
                <w:rFonts w:ascii="黑体" w:eastAsia="黑体" w:hAnsi="宋体" w:cs="黑体"/>
                <w:color w:val="000000"/>
                <w:sz w:val="24"/>
                <w:szCs w:val="24"/>
              </w:rPr>
            </w:pPr>
          </w:p>
        </w:tc>
        <w:tc>
          <w:tcPr>
            <w:tcW w:w="797" w:type="pct"/>
            <w:tcBorders>
              <w:top w:val="nil"/>
              <w:left w:val="nil"/>
              <w:bottom w:val="nil"/>
              <w:right w:val="nil"/>
            </w:tcBorders>
            <w:shd w:val="clear" w:color="auto" w:fill="auto"/>
            <w:vAlign w:val="center"/>
          </w:tcPr>
          <w:p w:rsidR="006C7E49" w:rsidRDefault="006C7E49">
            <w:pPr>
              <w:rPr>
                <w:rFonts w:ascii="黑体" w:eastAsia="黑体" w:hAnsi="宋体" w:cs="黑体"/>
                <w:color w:val="000000"/>
                <w:sz w:val="24"/>
                <w:szCs w:val="24"/>
              </w:rPr>
            </w:pPr>
          </w:p>
        </w:tc>
        <w:tc>
          <w:tcPr>
            <w:tcW w:w="544" w:type="pct"/>
            <w:tcBorders>
              <w:top w:val="nil"/>
              <w:left w:val="nil"/>
              <w:bottom w:val="nil"/>
              <w:right w:val="nil"/>
            </w:tcBorders>
            <w:shd w:val="clear" w:color="auto" w:fill="auto"/>
            <w:vAlign w:val="center"/>
          </w:tcPr>
          <w:p w:rsidR="006C7E49" w:rsidRDefault="006C7E49">
            <w:pPr>
              <w:rPr>
                <w:rFonts w:ascii="宋体" w:hAnsi="宋体" w:cs="宋体"/>
                <w:color w:val="000000"/>
                <w:sz w:val="24"/>
                <w:szCs w:val="24"/>
              </w:rPr>
            </w:pPr>
          </w:p>
        </w:tc>
        <w:tc>
          <w:tcPr>
            <w:tcW w:w="746" w:type="pct"/>
            <w:tcBorders>
              <w:top w:val="nil"/>
              <w:left w:val="nil"/>
              <w:bottom w:val="nil"/>
              <w:right w:val="nil"/>
            </w:tcBorders>
            <w:shd w:val="clear" w:color="auto" w:fill="auto"/>
            <w:vAlign w:val="center"/>
          </w:tcPr>
          <w:p w:rsidR="006C7E49" w:rsidRDefault="006C7E49">
            <w:pPr>
              <w:rPr>
                <w:rFonts w:ascii="宋体" w:hAnsi="宋体" w:cs="宋体"/>
                <w:color w:val="000000"/>
                <w:sz w:val="24"/>
                <w:szCs w:val="24"/>
              </w:rPr>
            </w:pPr>
          </w:p>
        </w:tc>
        <w:tc>
          <w:tcPr>
            <w:tcW w:w="639" w:type="pct"/>
            <w:tcBorders>
              <w:top w:val="nil"/>
              <w:left w:val="nil"/>
              <w:bottom w:val="nil"/>
              <w:right w:val="nil"/>
            </w:tcBorders>
            <w:shd w:val="clear" w:color="auto" w:fill="auto"/>
            <w:vAlign w:val="center"/>
          </w:tcPr>
          <w:p w:rsidR="006C7E49" w:rsidRDefault="006C7E49">
            <w:pPr>
              <w:rPr>
                <w:rFonts w:ascii="宋体" w:hAnsi="宋体" w:cs="宋体"/>
                <w:color w:val="000000"/>
                <w:sz w:val="24"/>
                <w:szCs w:val="24"/>
              </w:rPr>
            </w:pPr>
          </w:p>
        </w:tc>
        <w:tc>
          <w:tcPr>
            <w:tcW w:w="1076" w:type="pct"/>
            <w:tcBorders>
              <w:top w:val="nil"/>
              <w:left w:val="nil"/>
              <w:bottom w:val="nil"/>
              <w:right w:val="nil"/>
            </w:tcBorders>
            <w:shd w:val="clear" w:color="auto" w:fill="auto"/>
            <w:vAlign w:val="center"/>
          </w:tcPr>
          <w:p w:rsidR="006C7E49" w:rsidRDefault="006C7E49">
            <w:pPr>
              <w:rPr>
                <w:rFonts w:ascii="宋体" w:hAnsi="宋体" w:cs="宋体"/>
                <w:color w:val="000000"/>
                <w:sz w:val="24"/>
                <w:szCs w:val="24"/>
              </w:rPr>
            </w:pPr>
          </w:p>
        </w:tc>
      </w:tr>
      <w:tr w:rsidR="006C7E49">
        <w:trPr>
          <w:trHeight w:val="375"/>
        </w:trPr>
        <w:tc>
          <w:tcPr>
            <w:tcW w:w="5000" w:type="pct"/>
            <w:gridSpan w:val="8"/>
            <w:tcBorders>
              <w:top w:val="nil"/>
              <w:left w:val="nil"/>
              <w:bottom w:val="nil"/>
              <w:right w:val="nil"/>
            </w:tcBorders>
            <w:shd w:val="clear" w:color="auto" w:fill="auto"/>
            <w:vAlign w:val="center"/>
          </w:tcPr>
          <w:p w:rsidR="006C7E49" w:rsidRDefault="004C6979">
            <w:pPr>
              <w:jc w:val="center"/>
              <w:textAlignment w:val="center"/>
              <w:rPr>
                <w:rFonts w:ascii="方正小标宋简体" w:eastAsia="方正小标宋简体" w:hAnsi="方正小标宋简体" w:cs="方正小标宋简体"/>
                <w:color w:val="000000"/>
                <w:sz w:val="28"/>
                <w:szCs w:val="28"/>
                <w:lang w:eastAsia="zh-CN"/>
              </w:rPr>
            </w:pPr>
            <w:r>
              <w:rPr>
                <w:rFonts w:ascii="方正小标宋简体" w:eastAsia="方正小标宋简体" w:hAnsi="方正小标宋简体" w:cs="方正小标宋简体"/>
                <w:color w:val="000000"/>
                <w:sz w:val="30"/>
                <w:szCs w:val="30"/>
                <w:lang w:eastAsia="zh-CN"/>
              </w:rPr>
              <w:t xml:space="preserve">融水苗族自治县卫生计生监督所转移支付抗疫特别国债绩效目标自评表 </w:t>
            </w:r>
          </w:p>
        </w:tc>
      </w:tr>
      <w:tr w:rsidR="006C7E49">
        <w:trPr>
          <w:trHeight w:val="270"/>
        </w:trPr>
        <w:tc>
          <w:tcPr>
            <w:tcW w:w="5000" w:type="pct"/>
            <w:gridSpan w:val="8"/>
            <w:tcBorders>
              <w:top w:val="nil"/>
              <w:left w:val="nil"/>
              <w:bottom w:val="single" w:sz="4" w:space="0" w:color="000000"/>
              <w:right w:val="nil"/>
            </w:tcBorders>
            <w:shd w:val="clear" w:color="auto" w:fill="auto"/>
          </w:tcPr>
          <w:p w:rsidR="006C7E49" w:rsidRDefault="004C6979">
            <w:pPr>
              <w:jc w:val="center"/>
              <w:textAlignment w:val="top"/>
              <w:rPr>
                <w:rFonts w:ascii="宋体" w:hAnsi="宋体" w:cs="宋体"/>
                <w:color w:val="000000"/>
              </w:rPr>
            </w:pPr>
            <w:r>
              <w:rPr>
                <w:rFonts w:ascii="宋体" w:hAnsi="宋体" w:cs="宋体" w:hint="eastAsia"/>
                <w:color w:val="000000"/>
                <w:lang w:eastAsia="zh-CN"/>
              </w:rPr>
              <w:t>（2020年度）</w:t>
            </w:r>
          </w:p>
        </w:tc>
      </w:tr>
      <w:tr w:rsidR="006C7E49">
        <w:trPr>
          <w:trHeight w:val="460"/>
        </w:trPr>
        <w:tc>
          <w:tcPr>
            <w:tcW w:w="11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转移支付（项目）名称</w:t>
            </w:r>
          </w:p>
        </w:tc>
        <w:tc>
          <w:tcPr>
            <w:tcW w:w="380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2020年度抗疫特别国债卫生项目（融水县卫生计生监督所改造及执法车辆购置项目）</w:t>
            </w:r>
          </w:p>
        </w:tc>
      </w:tr>
      <w:tr w:rsidR="006C7E49">
        <w:trPr>
          <w:trHeight w:val="270"/>
        </w:trPr>
        <w:tc>
          <w:tcPr>
            <w:tcW w:w="11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中央主管部门</w:t>
            </w:r>
          </w:p>
        </w:tc>
        <w:tc>
          <w:tcPr>
            <w:tcW w:w="380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270"/>
        </w:trPr>
        <w:tc>
          <w:tcPr>
            <w:tcW w:w="119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地方主管部门</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实施单位</w:t>
            </w: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融水苗族自治县卫生计生监督所</w:t>
            </w:r>
          </w:p>
        </w:tc>
      </w:tr>
      <w:tr w:rsidR="006C7E49">
        <w:trPr>
          <w:trHeight w:val="480"/>
        </w:trPr>
        <w:tc>
          <w:tcPr>
            <w:tcW w:w="119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资金情况（万元）</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宋体" w:hAnsi="宋体" w:cs="宋体"/>
                <w:color w:val="000000"/>
                <w:sz w:val="20"/>
                <w:szCs w:val="20"/>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全年预算数（A）</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全年执行数（B）</w:t>
            </w: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执行率（B/A)</w:t>
            </w:r>
          </w:p>
        </w:tc>
      </w:tr>
      <w:tr w:rsidR="006C7E49">
        <w:trPr>
          <w:trHeight w:val="270"/>
        </w:trPr>
        <w:tc>
          <w:tcPr>
            <w:tcW w:w="119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年度资金总</w:t>
            </w:r>
            <w:r>
              <w:rPr>
                <w:rFonts w:ascii="宋体" w:hAnsi="宋体" w:cs="宋体" w:hint="eastAsia"/>
                <w:color w:val="000000"/>
                <w:sz w:val="20"/>
                <w:szCs w:val="20"/>
                <w:lang w:eastAsia="zh-CN"/>
              </w:rPr>
              <w:lastRenderedPageBreak/>
              <w:t>额：</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70万元</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70万元</w:t>
            </w: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r>
      <w:tr w:rsidR="006C7E49">
        <w:trPr>
          <w:trHeight w:val="270"/>
        </w:trPr>
        <w:tc>
          <w:tcPr>
            <w:tcW w:w="119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宋体" w:hAnsi="宋体" w:cs="宋体"/>
                <w:color w:val="000000"/>
                <w:sz w:val="20"/>
                <w:szCs w:val="20"/>
              </w:rPr>
            </w:pPr>
            <w:r>
              <w:rPr>
                <w:rFonts w:ascii="宋体" w:hAnsi="宋体" w:cs="宋体" w:hint="eastAsia"/>
                <w:color w:val="000000"/>
                <w:sz w:val="20"/>
                <w:szCs w:val="20"/>
                <w:lang w:eastAsia="zh-CN"/>
              </w:rPr>
              <w:t>其中：中央财政资金</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70万元</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70万元</w:t>
            </w: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100%</w:t>
            </w:r>
          </w:p>
        </w:tc>
      </w:tr>
      <w:tr w:rsidR="006C7E49">
        <w:trPr>
          <w:trHeight w:val="270"/>
        </w:trPr>
        <w:tc>
          <w:tcPr>
            <w:tcW w:w="119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地方资金</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615"/>
        </w:trPr>
        <w:tc>
          <w:tcPr>
            <w:tcW w:w="1195"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其他资</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746" w:type="pct"/>
            <w:tcBorders>
              <w:top w:val="single" w:sz="4" w:space="0" w:color="000000"/>
              <w:left w:val="single" w:sz="4" w:space="0" w:color="000000"/>
              <w:bottom w:val="nil"/>
              <w:right w:val="nil"/>
            </w:tcBorders>
            <w:shd w:val="clear" w:color="auto" w:fill="auto"/>
            <w:vAlign w:val="center"/>
          </w:tcPr>
          <w:p w:rsidR="006C7E49" w:rsidRDefault="006C7E49">
            <w:pPr>
              <w:jc w:val="center"/>
              <w:rPr>
                <w:rFonts w:ascii="宋体" w:hAnsi="宋体" w:cs="宋体"/>
                <w:color w:val="000000"/>
                <w:sz w:val="20"/>
                <w:szCs w:val="20"/>
              </w:rPr>
            </w:pPr>
          </w:p>
        </w:tc>
        <w:tc>
          <w:tcPr>
            <w:tcW w:w="17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r>
      <w:tr w:rsidR="006C7E49">
        <w:trPr>
          <w:trHeight w:val="405"/>
        </w:trPr>
        <w:tc>
          <w:tcPr>
            <w:tcW w:w="4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总体</w:t>
            </w:r>
            <w:r>
              <w:rPr>
                <w:rFonts w:ascii="宋体" w:hAnsi="宋体" w:cs="宋体" w:hint="eastAsia"/>
                <w:color w:val="000000"/>
                <w:sz w:val="20"/>
                <w:szCs w:val="20"/>
                <w:lang w:eastAsia="zh-CN"/>
              </w:rPr>
              <w:br/>
              <w:t>目标</w:t>
            </w:r>
            <w:r>
              <w:rPr>
                <w:rFonts w:ascii="宋体" w:hAnsi="宋体" w:cs="宋体" w:hint="eastAsia"/>
                <w:color w:val="000000"/>
                <w:sz w:val="20"/>
                <w:szCs w:val="20"/>
                <w:lang w:eastAsia="zh-CN"/>
              </w:rPr>
              <w:br/>
              <w:t>完成</w:t>
            </w:r>
            <w:r>
              <w:rPr>
                <w:rFonts w:ascii="宋体" w:hAnsi="宋体" w:cs="宋体" w:hint="eastAsia"/>
                <w:color w:val="000000"/>
                <w:sz w:val="20"/>
                <w:szCs w:val="20"/>
                <w:lang w:eastAsia="zh-CN"/>
              </w:rPr>
              <w:br/>
              <w:t>情况</w:t>
            </w:r>
          </w:p>
        </w:tc>
        <w:tc>
          <w:tcPr>
            <w:tcW w:w="21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总体目标</w:t>
            </w:r>
          </w:p>
        </w:tc>
        <w:tc>
          <w:tcPr>
            <w:tcW w:w="24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全年实际完成情况</w:t>
            </w:r>
          </w:p>
        </w:tc>
      </w:tr>
      <w:tr w:rsidR="006C7E49">
        <w:trPr>
          <w:trHeight w:val="1620"/>
        </w:trPr>
        <w:tc>
          <w:tcPr>
            <w:tcW w:w="4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21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解决完善提升我县公共卫生监督能力和执法能力，突发事件可日提高检测97份，使我县的有效执法率达85%以上。</w:t>
            </w:r>
          </w:p>
        </w:tc>
        <w:tc>
          <w:tcPr>
            <w:tcW w:w="24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完成综合业务楼1</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4层进行修缮改造，增加功能室；完成改扩建实验室100㎡；完成采购监督执法车辆1辆。</w:t>
            </w:r>
          </w:p>
        </w:tc>
      </w:tr>
      <w:tr w:rsidR="006C7E49">
        <w:trPr>
          <w:trHeight w:val="270"/>
        </w:trPr>
        <w:tc>
          <w:tcPr>
            <w:tcW w:w="411" w:type="pct"/>
            <w:vMerge w:val="restar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br/>
              <w:t>绩效</w:t>
            </w:r>
            <w:r>
              <w:rPr>
                <w:rFonts w:ascii="宋体" w:hAnsi="宋体" w:cs="宋体" w:hint="eastAsia"/>
                <w:color w:val="000000"/>
                <w:sz w:val="20"/>
                <w:szCs w:val="20"/>
                <w:lang w:eastAsia="zh-CN"/>
              </w:rPr>
              <w:br/>
              <w:t>指标</w:t>
            </w:r>
          </w:p>
        </w:tc>
        <w:tc>
          <w:tcPr>
            <w:tcW w:w="373"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一级指标</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二级指标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三级指标</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年度指标值</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全年完成值</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未完成原因和改进措施</w:t>
            </w:r>
          </w:p>
        </w:tc>
      </w:tr>
      <w:tr w:rsidR="006C7E49">
        <w:trPr>
          <w:trHeight w:val="174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lang w:eastAsia="zh-CN"/>
              </w:rPr>
            </w:pPr>
          </w:p>
        </w:tc>
        <w:tc>
          <w:tcPr>
            <w:tcW w:w="373" w:type="pct"/>
            <w:vMerge w:val="restar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产</w:t>
            </w:r>
            <w:r>
              <w:rPr>
                <w:rFonts w:ascii="仿宋_GB2312" w:eastAsia="仿宋_GB2312" w:hAnsi="宋体" w:cs="仿宋_GB2312"/>
                <w:color w:val="000000"/>
                <w:sz w:val="20"/>
                <w:szCs w:val="20"/>
                <w:lang w:eastAsia="zh-CN"/>
              </w:rPr>
              <w:br/>
              <w:t>出</w:t>
            </w:r>
            <w:r>
              <w:rPr>
                <w:rFonts w:ascii="仿宋_GB2312" w:eastAsia="仿宋_GB2312" w:hAnsi="宋体" w:cs="仿宋_GB2312"/>
                <w:color w:val="000000"/>
                <w:sz w:val="20"/>
                <w:szCs w:val="20"/>
                <w:lang w:eastAsia="zh-CN"/>
              </w:rPr>
              <w:br/>
              <w:t>指</w:t>
            </w:r>
            <w:r>
              <w:rPr>
                <w:rFonts w:ascii="仿宋_GB2312" w:eastAsia="仿宋_GB2312" w:hAnsi="宋体" w:cs="仿宋_GB2312"/>
                <w:color w:val="000000"/>
                <w:sz w:val="20"/>
                <w:szCs w:val="20"/>
                <w:lang w:eastAsia="zh-CN"/>
              </w:rPr>
              <w:br/>
              <w:t>标</w:t>
            </w:r>
          </w:p>
        </w:tc>
        <w:tc>
          <w:tcPr>
            <w:tcW w:w="411"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数量指标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综合业务楼1</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4层进行修缮改造，增加功能室；改扩建实验室100㎡；增加监督执法车辆1辆。</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综合业务楼1</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4层进行修缮改造，增加功能室；改扩建实验室100㎡，购置执法车1台。</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综合业务楼1</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4层进行修缮改造，增加功能室；改扩建实验室100㎡，购置执法车1台。</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lang w:eastAsia="zh-CN"/>
              </w:rPr>
            </w:pPr>
          </w:p>
        </w:tc>
      </w:tr>
      <w:tr w:rsidR="006C7E49">
        <w:trPr>
          <w:trHeight w:val="114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lang w:eastAsia="zh-CN"/>
              </w:rPr>
            </w:pPr>
          </w:p>
        </w:tc>
        <w:tc>
          <w:tcPr>
            <w:tcW w:w="373"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lang w:eastAsia="zh-CN"/>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质量指标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工程质量要求及执法设备质量要求。</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合格</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合格</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76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373"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411"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时效指标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2020年12月完成修缮改造。</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2020年12月</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2020年12月</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82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373"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成本指标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综合业务楼1</w:t>
            </w: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4层进行修缮改造，增加功能室，改扩建实验室100㎡，购置执法车1辆，合计70万元。</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70万元</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70万元</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100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3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rPr>
            </w:pPr>
          </w:p>
        </w:tc>
        <w:tc>
          <w:tcPr>
            <w:tcW w:w="411"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社会效益指标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提高卫生监督机构应对重大传染病事件处置能力，有效提高执法效率。</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突发应急检测97份以上，有效执法率达85%以上</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突发应急检测97份以上，有效执法率达85%以上</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lang w:eastAsia="zh-CN"/>
              </w:rPr>
            </w:pPr>
          </w:p>
        </w:tc>
      </w:tr>
      <w:tr w:rsidR="006C7E49">
        <w:trPr>
          <w:trHeight w:val="124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lang w:eastAsia="zh-CN"/>
              </w:rPr>
            </w:pPr>
          </w:p>
        </w:tc>
        <w:tc>
          <w:tcPr>
            <w:tcW w:w="3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jc w:val="center"/>
              <w:rPr>
                <w:rFonts w:ascii="仿宋_GB2312" w:eastAsia="仿宋_GB2312" w:hAnsi="宋体" w:cs="仿宋_GB2312"/>
                <w:color w:val="000000"/>
                <w:sz w:val="20"/>
                <w:szCs w:val="20"/>
                <w:lang w:eastAsia="zh-CN"/>
              </w:rPr>
            </w:pPr>
          </w:p>
        </w:tc>
        <w:tc>
          <w:tcPr>
            <w:tcW w:w="411" w:type="pct"/>
            <w:tcBorders>
              <w:top w:val="single" w:sz="4" w:space="0" w:color="000000"/>
              <w:left w:val="single" w:sz="4" w:space="0" w:color="000000"/>
              <w:bottom w:val="nil"/>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生态效益指标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lang w:eastAsia="zh-CN"/>
              </w:rPr>
            </w:pPr>
            <w:r>
              <w:rPr>
                <w:rFonts w:ascii="仿宋_GB2312" w:eastAsia="仿宋_GB2312" w:hAnsi="宋体" w:cs="仿宋_GB2312"/>
                <w:color w:val="000000"/>
                <w:sz w:val="20"/>
                <w:szCs w:val="20"/>
                <w:lang w:eastAsia="zh-CN"/>
              </w:rPr>
              <w:t>医疗废物废水监督执法。</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保护生态环境</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保护生态环境</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720"/>
        </w:trPr>
        <w:tc>
          <w:tcPr>
            <w:tcW w:w="411" w:type="pct"/>
            <w:vMerge/>
            <w:tcBorders>
              <w:top w:val="single" w:sz="4" w:space="0" w:color="000000"/>
              <w:left w:val="single" w:sz="4" w:space="0" w:color="000000"/>
              <w:bottom w:val="nil"/>
              <w:right w:val="single" w:sz="4" w:space="0" w:color="000000"/>
            </w:tcBorders>
            <w:shd w:val="clear" w:color="auto" w:fill="auto"/>
            <w:vAlign w:val="center"/>
          </w:tcPr>
          <w:p w:rsidR="006C7E49" w:rsidRDefault="006C7E49">
            <w:pPr>
              <w:jc w:val="center"/>
              <w:rPr>
                <w:rFonts w:ascii="宋体" w:hAnsi="宋体" w:cs="宋体"/>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满意度指标</w:t>
            </w:r>
          </w:p>
        </w:tc>
        <w:tc>
          <w:tcPr>
            <w:tcW w:w="4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服务对象满意度指标</w:t>
            </w:r>
          </w:p>
        </w:tc>
        <w:tc>
          <w:tcPr>
            <w:tcW w:w="134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服务对象满意度。</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95%</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4C6979">
            <w:pPr>
              <w:jc w:val="center"/>
              <w:textAlignment w:val="center"/>
              <w:rPr>
                <w:rFonts w:ascii="仿宋_GB2312" w:eastAsia="仿宋_GB2312" w:hAnsi="宋体" w:cs="仿宋_GB2312"/>
                <w:color w:val="000000"/>
                <w:sz w:val="20"/>
                <w:szCs w:val="20"/>
              </w:rPr>
            </w:pPr>
            <w:r>
              <w:rPr>
                <w:rFonts w:ascii="仿宋_GB2312" w:eastAsia="仿宋_GB2312" w:hAnsi="宋体" w:cs="仿宋_GB2312"/>
                <w:color w:val="000000"/>
                <w:sz w:val="20"/>
                <w:szCs w:val="20"/>
                <w:lang w:eastAsia="zh-CN"/>
              </w:rPr>
              <w:t>≥</w:t>
            </w:r>
            <w:r>
              <w:rPr>
                <w:rFonts w:ascii="仿宋_GB2312" w:eastAsia="仿宋_GB2312" w:hAnsi="宋体" w:cs="仿宋_GB2312"/>
                <w:color w:val="000000"/>
                <w:sz w:val="20"/>
                <w:szCs w:val="20"/>
                <w:lang w:eastAsia="zh-CN"/>
              </w:rPr>
              <w:t>95%</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7E49" w:rsidRDefault="006C7E49">
            <w:pPr>
              <w:rPr>
                <w:rFonts w:ascii="仿宋_GB2312" w:eastAsia="仿宋_GB2312" w:hAnsi="宋体" w:cs="仿宋_GB2312"/>
                <w:color w:val="000000"/>
                <w:sz w:val="20"/>
                <w:szCs w:val="20"/>
              </w:rPr>
            </w:pPr>
          </w:p>
        </w:tc>
      </w:tr>
      <w:tr w:rsidR="006C7E49">
        <w:trPr>
          <w:trHeight w:val="510"/>
        </w:trPr>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E49" w:rsidRDefault="004C6979">
            <w:pPr>
              <w:textAlignment w:val="center"/>
              <w:rPr>
                <w:rFonts w:ascii="宋体" w:hAnsi="宋体" w:cs="宋体"/>
                <w:color w:val="000000"/>
              </w:rPr>
            </w:pPr>
            <w:r>
              <w:rPr>
                <w:rFonts w:ascii="宋体" w:hAnsi="宋体" w:cs="宋体" w:hint="eastAsia"/>
                <w:color w:val="000000"/>
                <w:lang w:eastAsia="zh-CN"/>
              </w:rPr>
              <w:t>说明</w:t>
            </w:r>
          </w:p>
        </w:tc>
        <w:tc>
          <w:tcPr>
            <w:tcW w:w="458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C7E49" w:rsidRDefault="004C6979">
            <w:pPr>
              <w:jc w:val="center"/>
              <w:textAlignment w:val="center"/>
              <w:rPr>
                <w:rFonts w:ascii="宋体" w:hAnsi="宋体" w:cs="宋体"/>
                <w:color w:val="000000"/>
              </w:rPr>
            </w:pPr>
            <w:r>
              <w:rPr>
                <w:rFonts w:ascii="宋体" w:hAnsi="宋体" w:cs="宋体" w:hint="eastAsia"/>
                <w:color w:val="000000"/>
                <w:lang w:eastAsia="zh-CN"/>
              </w:rPr>
              <w:t>无</w:t>
            </w:r>
          </w:p>
        </w:tc>
      </w:tr>
      <w:tr w:rsidR="006C7E49">
        <w:trPr>
          <w:trHeight w:val="288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6C7E49" w:rsidRDefault="004C6979">
            <w:pPr>
              <w:textAlignment w:val="top"/>
              <w:rPr>
                <w:rFonts w:ascii="宋体" w:hAnsi="宋体" w:cs="宋体"/>
                <w:color w:val="000000"/>
                <w:lang w:eastAsia="zh-CN"/>
              </w:rPr>
            </w:pPr>
            <w:r>
              <w:rPr>
                <w:rFonts w:ascii="宋体" w:hAnsi="宋体" w:cs="宋体" w:hint="eastAsia"/>
                <w:color w:val="000000"/>
                <w:lang w:eastAsia="zh-CN"/>
              </w:rPr>
              <w:t xml:space="preserve">注：1.资金使用单位按项目绩效目标填报，主管部门汇总时按区域绩效目标填报。                                                                                           2.其他资金包括与中央财政资金、地方财政资金共同投入到同一项目的自有资金、社会资金，以及以前年度的结转结余资金等。                                                                                     3.全年执行数是指按照国库集中支付制度要求，支付到商品和劳务供应者或用款单位形成的实际支出。            4. 定量指标。地方各级主管部门对资金使用单位填写的实际完成值汇总时，绝对值直接累加计算，相对值按照资金额度加权平均计算。                                                                             5. 定性指标。资金使用单位分别按照100%-80%（含）、80%-60%（含）、60%-0%合理填写实际完成，地方各级主管部门汇总时，按照资金额度加权平均计算。                                                                                   </w:t>
            </w:r>
          </w:p>
        </w:tc>
      </w:tr>
    </w:tbl>
    <w:p w:rsidR="006C7E49" w:rsidRDefault="006C7E49">
      <w:pPr>
        <w:autoSpaceDE w:val="0"/>
        <w:autoSpaceDN w:val="0"/>
        <w:adjustRightInd w:val="0"/>
        <w:ind w:firstLineChars="200" w:firstLine="640"/>
        <w:rPr>
          <w:rFonts w:ascii="仿宋_GB2312" w:eastAsia="仿宋_GB2312" w:cs="仿宋_GB2312"/>
          <w:bCs/>
          <w:sz w:val="32"/>
          <w:szCs w:val="32"/>
          <w:lang w:eastAsia="zh-CN"/>
        </w:rPr>
      </w:pPr>
    </w:p>
    <w:p w:rsidR="006C7E49" w:rsidRDefault="004C6979">
      <w:pPr>
        <w:autoSpaceDE w:val="0"/>
        <w:autoSpaceDN w:val="0"/>
        <w:adjustRightInd w:val="0"/>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2020年度，机关运行经费支出29.26万元，比 2019年增加6.23万元，增长27.04 %，增加原因：2020年增加物业管理费。</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6C7E49" w:rsidRDefault="004C6979">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2020年度，政府采购支出总额18.85万元，其中：政府采购货物支出18.51万元、政府采购工程支出0万元、政府采购服务支出0.34万元。授予中小企业合同金 18.85万元，占政府采购支出总额的100%，其中：授予小微企业合同金额 12.02万元，占政府采购支出总额的63.77%。</w:t>
      </w:r>
    </w:p>
    <w:p w:rsidR="006C7E49" w:rsidRDefault="004C6979">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6C7E49" w:rsidRDefault="004C6979">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 xml:space="preserve">截至2020年12月31日，本部门共有车辆1辆，其中：公务用车0 辆；执法执勤用车1 辆；专业技术用车0 辆；单价50万元以上通用设备0台（套），单价100 万元以上专用设备台（套）。 </w:t>
      </w:r>
    </w:p>
    <w:p w:rsidR="006C7E49" w:rsidRDefault="004C6979">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 取得的收入。</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 之外开展非独立核算经营活动取得的收入。</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 租收入、存款利息收入等。</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w:t>
      </w:r>
      <w:r>
        <w:rPr>
          <w:rFonts w:ascii="仿宋_GB2312" w:eastAsia="仿宋_GB2312" w:cs="仿宋_GB2312" w:hint="eastAsia"/>
          <w:bCs/>
          <w:sz w:val="32"/>
          <w:szCs w:val="32"/>
          <w:lang w:eastAsia="zh-CN"/>
        </w:rPr>
        <w:lastRenderedPageBreak/>
        <w:t>入不足 以安排当年支出的情况下，使用以前年度积累的事业基金（事 业单位当年收支相抵后按国家规定提取、用于弥补以后年度收 支差额的基金）弥补本年度收支缺口的资金。</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七、结余分配：指事业单位按照会计制度规定缴纳的 所得税以及从非财政拨款结余中提取的职工福利基金、事业基 金等。 </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 安排、因客观条件发生变化未全部执行或未执行，结转到以后 年度继续使用的资金，或项目已完成等产生的结余资金。</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 作任务而发生的人员支出和公用支出。</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 活动之外开展非独立核算经营活动发生的支出。</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w:t>
      </w:r>
      <w:r>
        <w:rPr>
          <w:rFonts w:ascii="仿宋_GB2312" w:eastAsia="仿宋_GB2312" w:cs="仿宋_GB2312" w:hint="eastAsia"/>
          <w:bCs/>
          <w:sz w:val="32"/>
          <w:szCs w:val="32"/>
          <w:lang w:eastAsia="zh-CN"/>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C7E49" w:rsidRDefault="004C697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 公务员法管理的事业单位）运行用于购买货物和服务的各项资 金，包括办公及印刷费、邮电费、差旅费、会议费、福利费、 日常维修费、专用材料及一般设备购置费、办公用房水电费、 办公用房取暖费、 办公用房物业管理费、 公务用车运行维护 费以及其他费用。。</w:t>
      </w:r>
    </w:p>
    <w:p w:rsidR="006C7E49" w:rsidRDefault="006C7E49">
      <w:pPr>
        <w:autoSpaceDE w:val="0"/>
        <w:autoSpaceDN w:val="0"/>
        <w:adjustRightInd w:val="0"/>
        <w:spacing w:line="560" w:lineRule="exact"/>
        <w:ind w:firstLine="640"/>
        <w:rPr>
          <w:rFonts w:ascii="仿宋_GB2312" w:eastAsia="仿宋_GB2312" w:cs="仿宋_GB2312"/>
          <w:bCs/>
          <w:sz w:val="32"/>
          <w:szCs w:val="32"/>
          <w:lang w:eastAsia="zh-CN"/>
        </w:rPr>
      </w:pPr>
    </w:p>
    <w:sectPr w:rsidR="006C7E49" w:rsidSect="006C7E49">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60F" w:rsidRDefault="006E560F">
      <w:pPr>
        <w:spacing w:line="240" w:lineRule="auto"/>
      </w:pPr>
      <w:r>
        <w:separator/>
      </w:r>
    </w:p>
  </w:endnote>
  <w:endnote w:type="continuationSeparator" w:id="1">
    <w:p w:rsidR="006E560F" w:rsidRDefault="006E56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79" w:rsidRDefault="004C6979">
    <w:pPr>
      <w:pStyle w:val="a7"/>
      <w:framePr w:wrap="around" w:vAnchor="text" w:hAnchor="margin" w:xAlign="center" w:y="1"/>
      <w:rPr>
        <w:rStyle w:val="ab"/>
      </w:rPr>
    </w:pPr>
    <w:r>
      <w:fldChar w:fldCharType="begin"/>
    </w:r>
    <w:r>
      <w:rPr>
        <w:rStyle w:val="ab"/>
      </w:rPr>
      <w:instrText xml:space="preserve">PAGE  </w:instrText>
    </w:r>
    <w:r>
      <w:fldChar w:fldCharType="end"/>
    </w:r>
  </w:p>
  <w:p w:rsidR="004C6979" w:rsidRDefault="004C697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79" w:rsidRDefault="004C6979">
    <w:pPr>
      <w:pStyle w:val="a7"/>
      <w:framePr w:wrap="around" w:vAnchor="text" w:hAnchor="margin" w:xAlign="center" w:y="1"/>
      <w:rPr>
        <w:rStyle w:val="ab"/>
        <w:sz w:val="30"/>
        <w:szCs w:val="30"/>
      </w:rPr>
    </w:pPr>
    <w:r>
      <w:rPr>
        <w:sz w:val="30"/>
        <w:szCs w:val="30"/>
      </w:rPr>
      <w:fldChar w:fldCharType="begin"/>
    </w:r>
    <w:r>
      <w:rPr>
        <w:rStyle w:val="ab"/>
        <w:sz w:val="30"/>
        <w:szCs w:val="30"/>
      </w:rPr>
      <w:instrText xml:space="preserve">PAGE  </w:instrText>
    </w:r>
    <w:r>
      <w:rPr>
        <w:sz w:val="30"/>
        <w:szCs w:val="30"/>
      </w:rPr>
      <w:fldChar w:fldCharType="separate"/>
    </w:r>
    <w:r w:rsidR="004A3761">
      <w:rPr>
        <w:rStyle w:val="ab"/>
        <w:noProof/>
        <w:sz w:val="30"/>
        <w:szCs w:val="30"/>
      </w:rPr>
      <w:t>- 6 -</w:t>
    </w:r>
    <w:r>
      <w:rPr>
        <w:sz w:val="30"/>
        <w:szCs w:val="30"/>
      </w:rPr>
      <w:fldChar w:fldCharType="end"/>
    </w:r>
  </w:p>
  <w:p w:rsidR="004C6979" w:rsidRDefault="004C697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60F" w:rsidRDefault="006E560F">
      <w:pPr>
        <w:spacing w:after="0"/>
      </w:pPr>
      <w:r>
        <w:separator/>
      </w:r>
    </w:p>
  </w:footnote>
  <w:footnote w:type="continuationSeparator" w:id="1">
    <w:p w:rsidR="006E560F" w:rsidRDefault="006E56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79" w:rsidRDefault="004C6979">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7"/>
      </w:pPr>
      <w:rPr>
        <w:rFonts w:hint="eastAsia"/>
      </w:rPr>
    </w:lvl>
  </w:abstractNum>
  <w:abstractNum w:abstractNumId="1">
    <w:nsid w:val="DCA37504"/>
    <w:multiLevelType w:val="singleLevel"/>
    <w:tmpl w:val="DCA37504"/>
    <w:lvl w:ilvl="0">
      <w:start w:val="2"/>
      <w:numFmt w:val="chineseCounting"/>
      <w:suff w:val="nothing"/>
      <w:lvlText w:val="%1、"/>
      <w:lvlJc w:val="left"/>
      <w:rPr>
        <w:rFonts w:hint="eastAsia"/>
      </w:r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17B2"/>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761"/>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C6979"/>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C7E49"/>
    <w:rsid w:val="006E560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AF5F65"/>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2784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2BE6"/>
    <w:rsid w:val="00EA4368"/>
    <w:rsid w:val="00EA5AD9"/>
    <w:rsid w:val="00EB1658"/>
    <w:rsid w:val="00EB38C5"/>
    <w:rsid w:val="00EB395C"/>
    <w:rsid w:val="00EB4A9B"/>
    <w:rsid w:val="00EB6F95"/>
    <w:rsid w:val="00EC2878"/>
    <w:rsid w:val="00EC4E95"/>
    <w:rsid w:val="00EC582D"/>
    <w:rsid w:val="00EC6E2F"/>
    <w:rsid w:val="00EC6E58"/>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3AF5"/>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10003D"/>
    <w:rsid w:val="011D6546"/>
    <w:rsid w:val="018F2D79"/>
    <w:rsid w:val="01F1123F"/>
    <w:rsid w:val="01F26CBD"/>
    <w:rsid w:val="02134AE7"/>
    <w:rsid w:val="02DC3E8F"/>
    <w:rsid w:val="03000AB8"/>
    <w:rsid w:val="03125559"/>
    <w:rsid w:val="03826514"/>
    <w:rsid w:val="04F60891"/>
    <w:rsid w:val="05FD0FA4"/>
    <w:rsid w:val="06887608"/>
    <w:rsid w:val="073D0F93"/>
    <w:rsid w:val="075332FC"/>
    <w:rsid w:val="078C273D"/>
    <w:rsid w:val="07CD7353"/>
    <w:rsid w:val="08ED480B"/>
    <w:rsid w:val="08F40706"/>
    <w:rsid w:val="09037186"/>
    <w:rsid w:val="095F22E9"/>
    <w:rsid w:val="097F7B7C"/>
    <w:rsid w:val="099D0853"/>
    <w:rsid w:val="0B002340"/>
    <w:rsid w:val="0B16121E"/>
    <w:rsid w:val="0B2B021E"/>
    <w:rsid w:val="0BB72E82"/>
    <w:rsid w:val="0BB80857"/>
    <w:rsid w:val="0C274F17"/>
    <w:rsid w:val="0C3214EF"/>
    <w:rsid w:val="0C9C2870"/>
    <w:rsid w:val="0CA75BB6"/>
    <w:rsid w:val="0CCD20AF"/>
    <w:rsid w:val="0D100E22"/>
    <w:rsid w:val="0D350740"/>
    <w:rsid w:val="0D6E4DE1"/>
    <w:rsid w:val="0D844FB0"/>
    <w:rsid w:val="0DE37E11"/>
    <w:rsid w:val="0E412FAA"/>
    <w:rsid w:val="0E5F143C"/>
    <w:rsid w:val="0EA2209A"/>
    <w:rsid w:val="0EB2234A"/>
    <w:rsid w:val="0ED637C7"/>
    <w:rsid w:val="0F0470AC"/>
    <w:rsid w:val="0F0F20FA"/>
    <w:rsid w:val="0F8A2F5A"/>
    <w:rsid w:val="0FA030B9"/>
    <w:rsid w:val="0FA079DD"/>
    <w:rsid w:val="0FD443B7"/>
    <w:rsid w:val="10273CFE"/>
    <w:rsid w:val="10754EDB"/>
    <w:rsid w:val="113769E3"/>
    <w:rsid w:val="115835A6"/>
    <w:rsid w:val="118C27BD"/>
    <w:rsid w:val="12A003BB"/>
    <w:rsid w:val="132600A1"/>
    <w:rsid w:val="136604C8"/>
    <w:rsid w:val="13704D46"/>
    <w:rsid w:val="13767EDA"/>
    <w:rsid w:val="13DE4D6A"/>
    <w:rsid w:val="13F21085"/>
    <w:rsid w:val="13F2290C"/>
    <w:rsid w:val="14F051E1"/>
    <w:rsid w:val="15026E55"/>
    <w:rsid w:val="15646BAC"/>
    <w:rsid w:val="1589738C"/>
    <w:rsid w:val="165A7CBE"/>
    <w:rsid w:val="16735215"/>
    <w:rsid w:val="16AF6604"/>
    <w:rsid w:val="16C612BD"/>
    <w:rsid w:val="17092F04"/>
    <w:rsid w:val="17512F9E"/>
    <w:rsid w:val="17851DDF"/>
    <w:rsid w:val="18293534"/>
    <w:rsid w:val="183A6C7D"/>
    <w:rsid w:val="18CB3DD1"/>
    <w:rsid w:val="18D5329B"/>
    <w:rsid w:val="190B0CE3"/>
    <w:rsid w:val="193E764B"/>
    <w:rsid w:val="19625DE1"/>
    <w:rsid w:val="19632FD9"/>
    <w:rsid w:val="19C5210A"/>
    <w:rsid w:val="19FE4155"/>
    <w:rsid w:val="1AAC1496"/>
    <w:rsid w:val="1BA63F90"/>
    <w:rsid w:val="1C88689D"/>
    <w:rsid w:val="1CC86DF9"/>
    <w:rsid w:val="1D091A37"/>
    <w:rsid w:val="1D812A44"/>
    <w:rsid w:val="1DFE10EB"/>
    <w:rsid w:val="1E272A95"/>
    <w:rsid w:val="1E522CC2"/>
    <w:rsid w:val="1E592F64"/>
    <w:rsid w:val="1E615F86"/>
    <w:rsid w:val="1E7A28BF"/>
    <w:rsid w:val="1F6B22FF"/>
    <w:rsid w:val="1F802CBD"/>
    <w:rsid w:val="1FA953CC"/>
    <w:rsid w:val="20060D60"/>
    <w:rsid w:val="2033286E"/>
    <w:rsid w:val="211F688D"/>
    <w:rsid w:val="214640A2"/>
    <w:rsid w:val="21843A95"/>
    <w:rsid w:val="21DE5998"/>
    <w:rsid w:val="24173C65"/>
    <w:rsid w:val="24575946"/>
    <w:rsid w:val="24646B36"/>
    <w:rsid w:val="2469007C"/>
    <w:rsid w:val="24790508"/>
    <w:rsid w:val="24D65DE6"/>
    <w:rsid w:val="25084C5F"/>
    <w:rsid w:val="252202D5"/>
    <w:rsid w:val="25CD13F0"/>
    <w:rsid w:val="25EE1863"/>
    <w:rsid w:val="26027010"/>
    <w:rsid w:val="264B6A12"/>
    <w:rsid w:val="2662328F"/>
    <w:rsid w:val="27AB5B55"/>
    <w:rsid w:val="27C50996"/>
    <w:rsid w:val="285F7D26"/>
    <w:rsid w:val="29025B84"/>
    <w:rsid w:val="2946257F"/>
    <w:rsid w:val="296D4307"/>
    <w:rsid w:val="29976C6F"/>
    <w:rsid w:val="29F5062F"/>
    <w:rsid w:val="2A175DAB"/>
    <w:rsid w:val="2A7465CB"/>
    <w:rsid w:val="2A7A50E0"/>
    <w:rsid w:val="2AEF4919"/>
    <w:rsid w:val="2B38562C"/>
    <w:rsid w:val="2B7D2781"/>
    <w:rsid w:val="2BB6610A"/>
    <w:rsid w:val="2BBD6E23"/>
    <w:rsid w:val="2BD96618"/>
    <w:rsid w:val="2C221012"/>
    <w:rsid w:val="2C9D08ED"/>
    <w:rsid w:val="2CD60B0B"/>
    <w:rsid w:val="2E0A054C"/>
    <w:rsid w:val="2E240177"/>
    <w:rsid w:val="2E361069"/>
    <w:rsid w:val="2E640262"/>
    <w:rsid w:val="2E97422D"/>
    <w:rsid w:val="2EA04391"/>
    <w:rsid w:val="2EBB02CF"/>
    <w:rsid w:val="2F0039EA"/>
    <w:rsid w:val="2F0060C8"/>
    <w:rsid w:val="2F6334F2"/>
    <w:rsid w:val="306F255E"/>
    <w:rsid w:val="307D149D"/>
    <w:rsid w:val="30A95524"/>
    <w:rsid w:val="30D9624D"/>
    <w:rsid w:val="31921E0B"/>
    <w:rsid w:val="32320E4F"/>
    <w:rsid w:val="324D0CC0"/>
    <w:rsid w:val="3262001E"/>
    <w:rsid w:val="32AC2253"/>
    <w:rsid w:val="333340BF"/>
    <w:rsid w:val="334B3BEF"/>
    <w:rsid w:val="33743173"/>
    <w:rsid w:val="33AF15CE"/>
    <w:rsid w:val="33CD760B"/>
    <w:rsid w:val="350473E4"/>
    <w:rsid w:val="35C41895"/>
    <w:rsid w:val="361D6C88"/>
    <w:rsid w:val="36354E4B"/>
    <w:rsid w:val="363C3ABB"/>
    <w:rsid w:val="36CC038A"/>
    <w:rsid w:val="36D24474"/>
    <w:rsid w:val="374C61BF"/>
    <w:rsid w:val="3754746A"/>
    <w:rsid w:val="37C60B9B"/>
    <w:rsid w:val="37D83235"/>
    <w:rsid w:val="386D0B33"/>
    <w:rsid w:val="389E04D2"/>
    <w:rsid w:val="38A44247"/>
    <w:rsid w:val="394E54CC"/>
    <w:rsid w:val="39700038"/>
    <w:rsid w:val="3997176B"/>
    <w:rsid w:val="3AFD6E25"/>
    <w:rsid w:val="3B156F0A"/>
    <w:rsid w:val="3B1571BF"/>
    <w:rsid w:val="3B565041"/>
    <w:rsid w:val="3B64332D"/>
    <w:rsid w:val="3B875A74"/>
    <w:rsid w:val="3C910F56"/>
    <w:rsid w:val="3CF37B4C"/>
    <w:rsid w:val="3D4256DC"/>
    <w:rsid w:val="3E3C031C"/>
    <w:rsid w:val="3EB02CE1"/>
    <w:rsid w:val="3EC756A4"/>
    <w:rsid w:val="40736E25"/>
    <w:rsid w:val="41276591"/>
    <w:rsid w:val="415F5DE2"/>
    <w:rsid w:val="41E50A9E"/>
    <w:rsid w:val="42A10786"/>
    <w:rsid w:val="42C80575"/>
    <w:rsid w:val="42EF0FBE"/>
    <w:rsid w:val="431717C8"/>
    <w:rsid w:val="43291309"/>
    <w:rsid w:val="432B3652"/>
    <w:rsid w:val="43973055"/>
    <w:rsid w:val="43DD7285"/>
    <w:rsid w:val="44741DA1"/>
    <w:rsid w:val="4494514A"/>
    <w:rsid w:val="44BD1441"/>
    <w:rsid w:val="44C819AA"/>
    <w:rsid w:val="44E146BC"/>
    <w:rsid w:val="455C590D"/>
    <w:rsid w:val="467576A4"/>
    <w:rsid w:val="467C36F9"/>
    <w:rsid w:val="468F2FD3"/>
    <w:rsid w:val="46BA0446"/>
    <w:rsid w:val="46E479F8"/>
    <w:rsid w:val="471C06CC"/>
    <w:rsid w:val="478121BE"/>
    <w:rsid w:val="47995E16"/>
    <w:rsid w:val="47BD4C8A"/>
    <w:rsid w:val="482236E9"/>
    <w:rsid w:val="488E3A6E"/>
    <w:rsid w:val="48F76D1A"/>
    <w:rsid w:val="49413D14"/>
    <w:rsid w:val="4A484047"/>
    <w:rsid w:val="4A5A477E"/>
    <w:rsid w:val="4AD852CC"/>
    <w:rsid w:val="4ADD13A1"/>
    <w:rsid w:val="4B010DB1"/>
    <w:rsid w:val="4BB134B0"/>
    <w:rsid w:val="4BC371DA"/>
    <w:rsid w:val="4C2520E7"/>
    <w:rsid w:val="4C582C2B"/>
    <w:rsid w:val="4CA5258A"/>
    <w:rsid w:val="4D2C02BE"/>
    <w:rsid w:val="4E572ED0"/>
    <w:rsid w:val="4F7A706D"/>
    <w:rsid w:val="5056589F"/>
    <w:rsid w:val="5094443C"/>
    <w:rsid w:val="50A44427"/>
    <w:rsid w:val="51214C57"/>
    <w:rsid w:val="512E685E"/>
    <w:rsid w:val="51490DDA"/>
    <w:rsid w:val="516F6242"/>
    <w:rsid w:val="51A942FA"/>
    <w:rsid w:val="52347E7A"/>
    <w:rsid w:val="533314BD"/>
    <w:rsid w:val="534C09F8"/>
    <w:rsid w:val="536B7D9B"/>
    <w:rsid w:val="53A07BF9"/>
    <w:rsid w:val="54196BDE"/>
    <w:rsid w:val="54B648F9"/>
    <w:rsid w:val="554E44D5"/>
    <w:rsid w:val="562C4BF8"/>
    <w:rsid w:val="565C1BA7"/>
    <w:rsid w:val="567E712D"/>
    <w:rsid w:val="56B63F1F"/>
    <w:rsid w:val="56C75009"/>
    <w:rsid w:val="56F55B1C"/>
    <w:rsid w:val="57075B50"/>
    <w:rsid w:val="573A47F4"/>
    <w:rsid w:val="584E63C5"/>
    <w:rsid w:val="587B389E"/>
    <w:rsid w:val="5899283D"/>
    <w:rsid w:val="58CB4063"/>
    <w:rsid w:val="59121247"/>
    <w:rsid w:val="59B80298"/>
    <w:rsid w:val="59E029D0"/>
    <w:rsid w:val="5A0B3616"/>
    <w:rsid w:val="5A712157"/>
    <w:rsid w:val="5AB1130A"/>
    <w:rsid w:val="5ADB35FF"/>
    <w:rsid w:val="5B17470A"/>
    <w:rsid w:val="5B3B7279"/>
    <w:rsid w:val="5C163216"/>
    <w:rsid w:val="5C186044"/>
    <w:rsid w:val="5CC11097"/>
    <w:rsid w:val="5D452038"/>
    <w:rsid w:val="5D4B0C1D"/>
    <w:rsid w:val="5E0524CB"/>
    <w:rsid w:val="5E573EBA"/>
    <w:rsid w:val="5E882D86"/>
    <w:rsid w:val="5EC845EC"/>
    <w:rsid w:val="5F6F7FBA"/>
    <w:rsid w:val="5F9731C1"/>
    <w:rsid w:val="5FBC623A"/>
    <w:rsid w:val="60027DE3"/>
    <w:rsid w:val="601D228E"/>
    <w:rsid w:val="60D34D02"/>
    <w:rsid w:val="61325FCF"/>
    <w:rsid w:val="616C21E2"/>
    <w:rsid w:val="621D1C1B"/>
    <w:rsid w:val="626A7966"/>
    <w:rsid w:val="62943E32"/>
    <w:rsid w:val="62A934D3"/>
    <w:rsid w:val="62F5582D"/>
    <w:rsid w:val="63835274"/>
    <w:rsid w:val="63DE2AC3"/>
    <w:rsid w:val="643A70B4"/>
    <w:rsid w:val="64945FFF"/>
    <w:rsid w:val="65463FF3"/>
    <w:rsid w:val="656C38E6"/>
    <w:rsid w:val="65F07429"/>
    <w:rsid w:val="662A498F"/>
    <w:rsid w:val="6635324D"/>
    <w:rsid w:val="66400145"/>
    <w:rsid w:val="66855932"/>
    <w:rsid w:val="66D027E7"/>
    <w:rsid w:val="67354446"/>
    <w:rsid w:val="684118D7"/>
    <w:rsid w:val="68EE374B"/>
    <w:rsid w:val="697429A0"/>
    <w:rsid w:val="69B707BA"/>
    <w:rsid w:val="69C51E6A"/>
    <w:rsid w:val="69FA6B46"/>
    <w:rsid w:val="6A4F61E0"/>
    <w:rsid w:val="6B7176DD"/>
    <w:rsid w:val="6CBB2199"/>
    <w:rsid w:val="6D103CF4"/>
    <w:rsid w:val="6D136B47"/>
    <w:rsid w:val="6D1A7922"/>
    <w:rsid w:val="6D2F6E08"/>
    <w:rsid w:val="6D822779"/>
    <w:rsid w:val="6DB24669"/>
    <w:rsid w:val="6E2679FB"/>
    <w:rsid w:val="6EDB0934"/>
    <w:rsid w:val="6F38608D"/>
    <w:rsid w:val="6F972DC7"/>
    <w:rsid w:val="6FB728CB"/>
    <w:rsid w:val="6FFB286C"/>
    <w:rsid w:val="702E45A5"/>
    <w:rsid w:val="70CB0C4D"/>
    <w:rsid w:val="714F453F"/>
    <w:rsid w:val="716D7CB8"/>
    <w:rsid w:val="719A4DA7"/>
    <w:rsid w:val="722E768E"/>
    <w:rsid w:val="724719AB"/>
    <w:rsid w:val="725D4C99"/>
    <w:rsid w:val="72B65ADE"/>
    <w:rsid w:val="732C4D90"/>
    <w:rsid w:val="734A6333"/>
    <w:rsid w:val="73870AD8"/>
    <w:rsid w:val="74EB724A"/>
    <w:rsid w:val="74FA6095"/>
    <w:rsid w:val="75057B5D"/>
    <w:rsid w:val="752B38B4"/>
    <w:rsid w:val="75B4334A"/>
    <w:rsid w:val="75BC0A91"/>
    <w:rsid w:val="75D63737"/>
    <w:rsid w:val="75E06919"/>
    <w:rsid w:val="75EC3F02"/>
    <w:rsid w:val="76126E78"/>
    <w:rsid w:val="76315822"/>
    <w:rsid w:val="76953E73"/>
    <w:rsid w:val="77004CD1"/>
    <w:rsid w:val="77FE70C7"/>
    <w:rsid w:val="787328B1"/>
    <w:rsid w:val="788B379F"/>
    <w:rsid w:val="78AC565B"/>
    <w:rsid w:val="78BD2C52"/>
    <w:rsid w:val="78D024C3"/>
    <w:rsid w:val="79294ED6"/>
    <w:rsid w:val="792A1421"/>
    <w:rsid w:val="792F6C0A"/>
    <w:rsid w:val="795747CF"/>
    <w:rsid w:val="796561D4"/>
    <w:rsid w:val="79B72163"/>
    <w:rsid w:val="7ACC0AA5"/>
    <w:rsid w:val="7ADF70FC"/>
    <w:rsid w:val="7AEE3700"/>
    <w:rsid w:val="7BA77547"/>
    <w:rsid w:val="7BE0524A"/>
    <w:rsid w:val="7D397909"/>
    <w:rsid w:val="7DA96A42"/>
    <w:rsid w:val="7DF131B4"/>
    <w:rsid w:val="7E2F572A"/>
    <w:rsid w:val="7E5C5FE4"/>
    <w:rsid w:val="7E914B56"/>
    <w:rsid w:val="7E9B58ED"/>
    <w:rsid w:val="7EBE2DDE"/>
    <w:rsid w:val="7EC244EF"/>
    <w:rsid w:val="7ED51EC1"/>
    <w:rsid w:val="7EE56F23"/>
    <w:rsid w:val="7EFB7AD5"/>
    <w:rsid w:val="7F504346"/>
    <w:rsid w:val="7F8856D6"/>
    <w:rsid w:val="7FA15D8B"/>
    <w:rsid w:val="7FBA5139"/>
    <w:rsid w:val="7FDA5900"/>
    <w:rsid w:val="7FE1030E"/>
    <w:rsid w:val="7FF607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C7E49"/>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6C7E4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6C7E49"/>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6C7E49"/>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6C7E4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6C7E49"/>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6C7E49"/>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6C7E49"/>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6C7E49"/>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C7E49"/>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6C7E49"/>
    <w:pPr>
      <w:spacing w:line="640" w:lineRule="exact"/>
      <w:jc w:val="center"/>
    </w:pPr>
    <w:rPr>
      <w:rFonts w:ascii="华文中宋" w:eastAsia="华文中宋"/>
      <w:b/>
      <w:bCs/>
      <w:sz w:val="44"/>
      <w:szCs w:val="24"/>
    </w:rPr>
  </w:style>
  <w:style w:type="paragraph" w:styleId="a4">
    <w:name w:val="Title"/>
    <w:basedOn w:val="a"/>
    <w:next w:val="a"/>
    <w:link w:val="Char"/>
    <w:uiPriority w:val="10"/>
    <w:qFormat/>
    <w:rsid w:val="006C7E49"/>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5">
    <w:name w:val="caption"/>
    <w:basedOn w:val="a"/>
    <w:next w:val="a"/>
    <w:uiPriority w:val="35"/>
    <w:semiHidden/>
    <w:unhideWhenUsed/>
    <w:qFormat/>
    <w:rsid w:val="006C7E49"/>
    <w:rPr>
      <w:caps/>
      <w:spacing w:val="10"/>
      <w:sz w:val="18"/>
      <w:szCs w:val="18"/>
    </w:rPr>
  </w:style>
  <w:style w:type="paragraph" w:styleId="a6">
    <w:name w:val="Balloon Text"/>
    <w:basedOn w:val="a"/>
    <w:semiHidden/>
    <w:qFormat/>
    <w:rsid w:val="006C7E49"/>
    <w:rPr>
      <w:sz w:val="18"/>
      <w:szCs w:val="18"/>
    </w:rPr>
  </w:style>
  <w:style w:type="paragraph" w:styleId="a7">
    <w:name w:val="footer"/>
    <w:basedOn w:val="a"/>
    <w:link w:val="Char0"/>
    <w:qFormat/>
    <w:rsid w:val="006C7E49"/>
    <w:pPr>
      <w:tabs>
        <w:tab w:val="center" w:pos="4153"/>
        <w:tab w:val="right" w:pos="8306"/>
      </w:tabs>
      <w:snapToGrid w:val="0"/>
    </w:pPr>
    <w:rPr>
      <w:kern w:val="2"/>
      <w:sz w:val="18"/>
      <w:szCs w:val="18"/>
      <w:lang w:eastAsia="zh-CN" w:bidi="ar-SA"/>
    </w:rPr>
  </w:style>
  <w:style w:type="paragraph" w:styleId="a8">
    <w:name w:val="header"/>
    <w:basedOn w:val="a"/>
    <w:link w:val="Char1"/>
    <w:qFormat/>
    <w:rsid w:val="006C7E49"/>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6C7E49"/>
    <w:pPr>
      <w:spacing w:after="560" w:line="240" w:lineRule="auto"/>
      <w:jc w:val="center"/>
    </w:pPr>
    <w:rPr>
      <w:caps/>
      <w:spacing w:val="20"/>
      <w:sz w:val="18"/>
      <w:szCs w:val="18"/>
    </w:rPr>
  </w:style>
  <w:style w:type="character" w:styleId="aa">
    <w:name w:val="Strong"/>
    <w:uiPriority w:val="22"/>
    <w:qFormat/>
    <w:rsid w:val="006C7E49"/>
    <w:rPr>
      <w:b/>
      <w:bCs/>
      <w:color w:val="943634"/>
      <w:spacing w:val="5"/>
    </w:rPr>
  </w:style>
  <w:style w:type="character" w:styleId="ab">
    <w:name w:val="page number"/>
    <w:basedOn w:val="a1"/>
    <w:qFormat/>
    <w:rsid w:val="006C7E49"/>
  </w:style>
  <w:style w:type="character" w:styleId="ac">
    <w:name w:val="Emphasis"/>
    <w:uiPriority w:val="20"/>
    <w:qFormat/>
    <w:rsid w:val="006C7E49"/>
    <w:rPr>
      <w:caps/>
      <w:spacing w:val="5"/>
      <w:sz w:val="20"/>
      <w:szCs w:val="20"/>
    </w:rPr>
  </w:style>
  <w:style w:type="character" w:customStyle="1" w:styleId="Char0">
    <w:name w:val="页脚 Char"/>
    <w:link w:val="a7"/>
    <w:qFormat/>
    <w:rsid w:val="006C7E49"/>
    <w:rPr>
      <w:rFonts w:eastAsia="宋体"/>
      <w:kern w:val="2"/>
      <w:sz w:val="18"/>
      <w:szCs w:val="18"/>
      <w:lang w:val="en-US" w:eastAsia="zh-CN" w:bidi="ar-SA"/>
    </w:rPr>
  </w:style>
  <w:style w:type="character" w:customStyle="1" w:styleId="Char1">
    <w:name w:val="页眉 Char"/>
    <w:link w:val="a8"/>
    <w:qFormat/>
    <w:rsid w:val="006C7E49"/>
    <w:rPr>
      <w:rFonts w:eastAsia="宋体"/>
      <w:kern w:val="2"/>
      <w:sz w:val="18"/>
      <w:szCs w:val="18"/>
      <w:lang w:val="en-US" w:eastAsia="zh-CN" w:bidi="ar-SA"/>
    </w:rPr>
  </w:style>
  <w:style w:type="character" w:customStyle="1" w:styleId="1Char">
    <w:name w:val="标题 1 Char"/>
    <w:basedOn w:val="a1"/>
    <w:link w:val="1"/>
    <w:uiPriority w:val="9"/>
    <w:qFormat/>
    <w:rsid w:val="006C7E49"/>
    <w:rPr>
      <w:rFonts w:eastAsia="宋体" w:cs="Times New Roman"/>
      <w:caps/>
      <w:color w:val="632423"/>
      <w:spacing w:val="20"/>
      <w:sz w:val="28"/>
      <w:szCs w:val="28"/>
    </w:rPr>
  </w:style>
  <w:style w:type="character" w:customStyle="1" w:styleId="2Char">
    <w:name w:val="标题 2 Char"/>
    <w:basedOn w:val="a1"/>
    <w:link w:val="2"/>
    <w:uiPriority w:val="9"/>
    <w:semiHidden/>
    <w:qFormat/>
    <w:rsid w:val="006C7E49"/>
    <w:rPr>
      <w:caps/>
      <w:color w:val="632423"/>
      <w:spacing w:val="15"/>
      <w:sz w:val="24"/>
      <w:szCs w:val="24"/>
    </w:rPr>
  </w:style>
  <w:style w:type="character" w:customStyle="1" w:styleId="3Char">
    <w:name w:val="标题 3 Char"/>
    <w:basedOn w:val="a1"/>
    <w:link w:val="3"/>
    <w:uiPriority w:val="9"/>
    <w:semiHidden/>
    <w:qFormat/>
    <w:rsid w:val="006C7E49"/>
    <w:rPr>
      <w:rFonts w:eastAsia="宋体" w:cs="Times New Roman"/>
      <w:caps/>
      <w:color w:val="622423"/>
      <w:sz w:val="24"/>
      <w:szCs w:val="24"/>
    </w:rPr>
  </w:style>
  <w:style w:type="character" w:customStyle="1" w:styleId="4Char">
    <w:name w:val="标题 4 Char"/>
    <w:basedOn w:val="a1"/>
    <w:link w:val="4"/>
    <w:uiPriority w:val="9"/>
    <w:semiHidden/>
    <w:qFormat/>
    <w:rsid w:val="006C7E49"/>
    <w:rPr>
      <w:rFonts w:eastAsia="宋体" w:cs="Times New Roman"/>
      <w:caps/>
      <w:color w:val="622423"/>
      <w:spacing w:val="10"/>
    </w:rPr>
  </w:style>
  <w:style w:type="character" w:customStyle="1" w:styleId="5Char">
    <w:name w:val="标题 5 Char"/>
    <w:basedOn w:val="a1"/>
    <w:link w:val="5"/>
    <w:uiPriority w:val="9"/>
    <w:semiHidden/>
    <w:qFormat/>
    <w:rsid w:val="006C7E49"/>
    <w:rPr>
      <w:rFonts w:eastAsia="宋体" w:cs="Times New Roman"/>
      <w:caps/>
      <w:color w:val="622423"/>
      <w:spacing w:val="10"/>
    </w:rPr>
  </w:style>
  <w:style w:type="character" w:customStyle="1" w:styleId="6Char">
    <w:name w:val="标题 6 Char"/>
    <w:basedOn w:val="a1"/>
    <w:link w:val="6"/>
    <w:uiPriority w:val="9"/>
    <w:semiHidden/>
    <w:qFormat/>
    <w:rsid w:val="006C7E49"/>
    <w:rPr>
      <w:rFonts w:eastAsia="宋体" w:cs="Times New Roman"/>
      <w:caps/>
      <w:color w:val="943634"/>
      <w:spacing w:val="10"/>
    </w:rPr>
  </w:style>
  <w:style w:type="character" w:customStyle="1" w:styleId="7Char">
    <w:name w:val="标题 7 Char"/>
    <w:basedOn w:val="a1"/>
    <w:link w:val="7"/>
    <w:uiPriority w:val="9"/>
    <w:semiHidden/>
    <w:qFormat/>
    <w:rsid w:val="006C7E49"/>
    <w:rPr>
      <w:rFonts w:eastAsia="宋体" w:cs="Times New Roman"/>
      <w:i/>
      <w:iCs/>
      <w:caps/>
      <w:color w:val="943634"/>
      <w:spacing w:val="10"/>
    </w:rPr>
  </w:style>
  <w:style w:type="character" w:customStyle="1" w:styleId="8Char">
    <w:name w:val="标题 8 Char"/>
    <w:basedOn w:val="a1"/>
    <w:link w:val="8"/>
    <w:uiPriority w:val="9"/>
    <w:semiHidden/>
    <w:qFormat/>
    <w:rsid w:val="006C7E49"/>
    <w:rPr>
      <w:rFonts w:eastAsia="宋体" w:cs="Times New Roman"/>
      <w:caps/>
      <w:spacing w:val="10"/>
      <w:sz w:val="20"/>
      <w:szCs w:val="20"/>
    </w:rPr>
  </w:style>
  <w:style w:type="character" w:customStyle="1" w:styleId="9Char">
    <w:name w:val="标题 9 Char"/>
    <w:basedOn w:val="a1"/>
    <w:link w:val="9"/>
    <w:uiPriority w:val="9"/>
    <w:semiHidden/>
    <w:qFormat/>
    <w:rsid w:val="006C7E49"/>
    <w:rPr>
      <w:rFonts w:eastAsia="宋体" w:cs="Times New Roman"/>
      <w:i/>
      <w:iCs/>
      <w:caps/>
      <w:spacing w:val="10"/>
      <w:sz w:val="20"/>
      <w:szCs w:val="20"/>
    </w:rPr>
  </w:style>
  <w:style w:type="character" w:customStyle="1" w:styleId="Char">
    <w:name w:val="标题 Char"/>
    <w:basedOn w:val="a1"/>
    <w:link w:val="a4"/>
    <w:uiPriority w:val="10"/>
    <w:qFormat/>
    <w:rsid w:val="006C7E49"/>
    <w:rPr>
      <w:rFonts w:eastAsia="宋体" w:cs="Times New Roman"/>
      <w:caps/>
      <w:color w:val="632423"/>
      <w:spacing w:val="50"/>
      <w:sz w:val="44"/>
      <w:szCs w:val="44"/>
    </w:rPr>
  </w:style>
  <w:style w:type="character" w:customStyle="1" w:styleId="Char2">
    <w:name w:val="副标题 Char"/>
    <w:basedOn w:val="a1"/>
    <w:link w:val="a9"/>
    <w:uiPriority w:val="11"/>
    <w:qFormat/>
    <w:rsid w:val="006C7E49"/>
    <w:rPr>
      <w:rFonts w:eastAsia="宋体" w:cs="Times New Roman"/>
      <w:caps/>
      <w:spacing w:val="20"/>
      <w:sz w:val="18"/>
      <w:szCs w:val="18"/>
    </w:rPr>
  </w:style>
  <w:style w:type="paragraph" w:styleId="ad">
    <w:name w:val="No Spacing"/>
    <w:basedOn w:val="a"/>
    <w:link w:val="Char3"/>
    <w:uiPriority w:val="1"/>
    <w:qFormat/>
    <w:rsid w:val="006C7E49"/>
    <w:pPr>
      <w:spacing w:after="0" w:line="240" w:lineRule="auto"/>
    </w:pPr>
  </w:style>
  <w:style w:type="character" w:customStyle="1" w:styleId="Char3">
    <w:name w:val="无间隔 Char"/>
    <w:basedOn w:val="a1"/>
    <w:link w:val="ad"/>
    <w:uiPriority w:val="1"/>
    <w:qFormat/>
    <w:rsid w:val="006C7E49"/>
  </w:style>
  <w:style w:type="paragraph" w:styleId="ae">
    <w:name w:val="List Paragraph"/>
    <w:basedOn w:val="a"/>
    <w:uiPriority w:val="34"/>
    <w:qFormat/>
    <w:rsid w:val="006C7E49"/>
    <w:pPr>
      <w:ind w:left="720"/>
      <w:contextualSpacing/>
    </w:pPr>
  </w:style>
  <w:style w:type="paragraph" w:styleId="af">
    <w:name w:val="Quote"/>
    <w:basedOn w:val="a"/>
    <w:next w:val="a"/>
    <w:link w:val="Char4"/>
    <w:uiPriority w:val="29"/>
    <w:qFormat/>
    <w:rsid w:val="006C7E49"/>
    <w:rPr>
      <w:i/>
      <w:iCs/>
    </w:rPr>
  </w:style>
  <w:style w:type="character" w:customStyle="1" w:styleId="Char4">
    <w:name w:val="引用 Char"/>
    <w:basedOn w:val="a1"/>
    <w:link w:val="af"/>
    <w:uiPriority w:val="29"/>
    <w:qFormat/>
    <w:rsid w:val="006C7E49"/>
    <w:rPr>
      <w:rFonts w:eastAsia="宋体" w:cs="Times New Roman"/>
      <w:i/>
      <w:iCs/>
    </w:rPr>
  </w:style>
  <w:style w:type="paragraph" w:styleId="af0">
    <w:name w:val="Intense Quote"/>
    <w:basedOn w:val="a"/>
    <w:next w:val="a"/>
    <w:link w:val="Char5"/>
    <w:uiPriority w:val="30"/>
    <w:qFormat/>
    <w:rsid w:val="006C7E4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1"/>
    <w:link w:val="af0"/>
    <w:uiPriority w:val="30"/>
    <w:qFormat/>
    <w:rsid w:val="006C7E49"/>
    <w:rPr>
      <w:rFonts w:eastAsia="宋体" w:cs="Times New Roman"/>
      <w:caps/>
      <w:color w:val="622423"/>
      <w:spacing w:val="5"/>
      <w:sz w:val="20"/>
      <w:szCs w:val="20"/>
    </w:rPr>
  </w:style>
  <w:style w:type="character" w:customStyle="1" w:styleId="10">
    <w:name w:val="不明显强调1"/>
    <w:uiPriority w:val="19"/>
    <w:qFormat/>
    <w:rsid w:val="006C7E49"/>
    <w:rPr>
      <w:i/>
      <w:iCs/>
    </w:rPr>
  </w:style>
  <w:style w:type="character" w:customStyle="1" w:styleId="11">
    <w:name w:val="明显强调1"/>
    <w:uiPriority w:val="21"/>
    <w:qFormat/>
    <w:rsid w:val="006C7E49"/>
    <w:rPr>
      <w:i/>
      <w:iCs/>
      <w:caps/>
      <w:spacing w:val="10"/>
      <w:sz w:val="20"/>
      <w:szCs w:val="20"/>
    </w:rPr>
  </w:style>
  <w:style w:type="character" w:customStyle="1" w:styleId="12">
    <w:name w:val="不明显参考1"/>
    <w:basedOn w:val="a1"/>
    <w:uiPriority w:val="31"/>
    <w:qFormat/>
    <w:rsid w:val="006C7E49"/>
    <w:rPr>
      <w:rFonts w:ascii="Calibri" w:eastAsia="宋体" w:hAnsi="Calibri" w:cs="Times New Roman"/>
      <w:i/>
      <w:iCs/>
      <w:color w:val="622423"/>
    </w:rPr>
  </w:style>
  <w:style w:type="character" w:customStyle="1" w:styleId="13">
    <w:name w:val="明显参考1"/>
    <w:uiPriority w:val="32"/>
    <w:qFormat/>
    <w:rsid w:val="006C7E49"/>
    <w:rPr>
      <w:rFonts w:ascii="Calibri" w:eastAsia="宋体" w:hAnsi="Calibri" w:cs="Times New Roman"/>
      <w:b/>
      <w:bCs/>
      <w:i/>
      <w:iCs/>
      <w:color w:val="622423"/>
    </w:rPr>
  </w:style>
  <w:style w:type="character" w:customStyle="1" w:styleId="14">
    <w:name w:val="书籍标题1"/>
    <w:uiPriority w:val="33"/>
    <w:qFormat/>
    <w:rsid w:val="006C7E49"/>
    <w:rPr>
      <w:caps/>
      <w:color w:val="622423"/>
      <w:spacing w:val="5"/>
      <w:u w:color="622423"/>
    </w:rPr>
  </w:style>
  <w:style w:type="paragraph" w:customStyle="1" w:styleId="TOC1">
    <w:name w:val="TOC 标题1"/>
    <w:basedOn w:val="1"/>
    <w:next w:val="a"/>
    <w:uiPriority w:val="39"/>
    <w:semiHidden/>
    <w:unhideWhenUsed/>
    <w:qFormat/>
    <w:rsid w:val="006C7E49"/>
    <w:pPr>
      <w:outlineLvl w:val="9"/>
    </w:pPr>
  </w:style>
  <w:style w:type="character" w:customStyle="1" w:styleId="font21">
    <w:name w:val="font21"/>
    <w:basedOn w:val="a1"/>
    <w:qFormat/>
    <w:rsid w:val="006C7E49"/>
    <w:rPr>
      <w:rFonts w:ascii="宋体" w:eastAsia="宋体" w:hAnsi="宋体" w:cs="宋体" w:hint="eastAsia"/>
      <w:color w:val="000000"/>
      <w:sz w:val="20"/>
      <w:szCs w:val="20"/>
      <w:u w:val="none"/>
    </w:rPr>
  </w:style>
  <w:style w:type="character" w:customStyle="1" w:styleId="font11">
    <w:name w:val="font11"/>
    <w:basedOn w:val="a1"/>
    <w:qFormat/>
    <w:rsid w:val="006C7E49"/>
    <w:rPr>
      <w:rFonts w:ascii="宋体" w:eastAsia="宋体" w:hAnsi="宋体" w:cs="宋体" w:hint="eastAsia"/>
      <w:color w:val="000000"/>
      <w:sz w:val="22"/>
      <w:szCs w:val="22"/>
      <w:u w:val="none"/>
    </w:rPr>
  </w:style>
  <w:style w:type="character" w:customStyle="1" w:styleId="font01">
    <w:name w:val="font01"/>
    <w:basedOn w:val="a1"/>
    <w:qFormat/>
    <w:rsid w:val="006C7E49"/>
    <w:rPr>
      <w:rFonts w:ascii="宋体" w:eastAsia="宋体" w:hAnsi="宋体" w:cs="宋体" w:hint="eastAsia"/>
      <w:color w:val="000000"/>
      <w:sz w:val="24"/>
      <w:szCs w:val="24"/>
      <w:u w:val="none"/>
    </w:rPr>
  </w:style>
  <w:style w:type="character" w:customStyle="1" w:styleId="15">
    <w:name w:val="15"/>
    <w:basedOn w:val="a1"/>
    <w:qFormat/>
    <w:rsid w:val="006C7E49"/>
    <w:rPr>
      <w:rFonts w:ascii="宋体" w:eastAsia="宋体" w:hAnsi="宋体" w:hint="eastAsia"/>
      <w:color w:val="000000"/>
      <w:sz w:val="22"/>
      <w:szCs w:val="22"/>
    </w:rPr>
  </w:style>
  <w:style w:type="character" w:customStyle="1" w:styleId="16">
    <w:name w:val="16"/>
    <w:basedOn w:val="a1"/>
    <w:qFormat/>
    <w:rsid w:val="006C7E49"/>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1842</Words>
  <Characters>10500</Characters>
  <Application>Microsoft Office Word</Application>
  <DocSecurity>0</DocSecurity>
  <Lines>87</Lines>
  <Paragraphs>24</Paragraphs>
  <ScaleCrop>false</ScaleCrop>
  <Company>微软中国</Company>
  <LinksUpToDate>false</LinksUpToDate>
  <CharactersWithSpaces>12318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22</cp:revision>
  <cp:lastPrinted>2012-08-15T08:16:00Z</cp:lastPrinted>
  <dcterms:created xsi:type="dcterms:W3CDTF">2018-07-31T09:39:00Z</dcterms:created>
  <dcterms:modified xsi:type="dcterms:W3CDTF">2021-09-01T09:44:00Z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A847C91A1D9D47909E5F5966F83AB8AE</vt:lpwstr>
  </property>
</Properties>
</file>