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pPr>
        <w:pStyle w:val="3"/>
        <w:keepNext w:val="0"/>
        <w:numPr>
          <w:ilvl w:val="0"/>
          <w:numId w:val="2"/>
        </w:numPr>
        <w:spacing w:before="0" w:after="0" w:line="640" w:lineRule="exact"/>
        <w:jc w:val="center"/>
        <w:rPr>
          <w:rFonts w:hint="eastAsia" w:ascii="方正小标宋_GBK" w:hAnsi="方正小标宋_GBK" w:eastAsia="方正小标宋_GBK" w:cs="方正小标宋_GBK"/>
          <w:color w:val="auto"/>
          <w:sz w:val="44"/>
          <w:szCs w:val="44"/>
        </w:rPr>
      </w:pPr>
      <w:bookmarkStart w:id="1" w:name="_Toc76683344"/>
      <w:r>
        <w:rPr>
          <w:rFonts w:hint="eastAsia" w:ascii="方正小标宋_GBK" w:hAnsi="方正小标宋_GBK" w:eastAsia="方正小标宋_GBK" w:cs="方正小标宋_GBK"/>
          <w:color w:val="000000"/>
          <w:sz w:val="44"/>
          <w:szCs w:val="44"/>
          <w:u w:val="none"/>
          <w:lang w:val="en-US"/>
        </w:rPr>
        <w:t>行政处罚</w:t>
      </w:r>
      <w:r>
        <w:rPr>
          <w:rFonts w:hint="eastAsia" w:ascii="方正小标宋_GBK" w:hAnsi="方正小标宋_GBK" w:eastAsia="方正小标宋_GBK" w:cs="方正小标宋_GBK"/>
          <w:color w:val="000000"/>
          <w:sz w:val="44"/>
          <w:szCs w:val="44"/>
          <w:u w:val="none"/>
          <w:lang w:val="en-US" w:eastAsia="zh-Hans"/>
        </w:rPr>
        <w:t>决定</w:t>
      </w:r>
      <w:r>
        <w:rPr>
          <w:rFonts w:hint="eastAsia" w:ascii="方正小标宋_GBK" w:hAnsi="方正小标宋_GBK" w:eastAsia="方正小标宋_GBK" w:cs="方正小标宋_GBK"/>
          <w:color w:val="000000"/>
          <w:sz w:val="44"/>
          <w:szCs w:val="44"/>
          <w:u w:val="none"/>
          <w:lang w:val="en-US"/>
        </w:rPr>
        <w:t>书</w:t>
      </w:r>
      <w:bookmarkEnd w:id="1"/>
    </w:p>
    <w:p>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融水市监处罚〔2025〕12号</w:t>
      </w:r>
      <w:bookmarkEnd w:id="2"/>
    </w:p>
    <w:p>
      <w:pPr>
        <w:keepNext w:val="0"/>
        <w:keepLines w:val="0"/>
        <w:pageBreakBefore w:val="0"/>
        <w:widowControl w:val="0"/>
        <w:kinsoku/>
        <w:wordWrap/>
        <w:overflowPunct/>
        <w:topLinePunct w:val="0"/>
        <w:autoSpaceDE/>
        <w:autoSpaceDN/>
        <w:bidi w:val="0"/>
        <w:adjustRightInd/>
        <w:snapToGrid/>
        <w:spacing w:before="157" w:beforeLines="50" w:line="520" w:lineRule="exact"/>
        <w:ind w:left="0" w:right="0" w:rightChars="0" w:firstLine="0" w:firstLineChars="0"/>
        <w:jc w:val="both"/>
        <w:textAlignment w:val="auto"/>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当事人：</w:t>
      </w:r>
      <w:bookmarkStart w:id="3" w:name="CALCULATE—DSR—tAjDsrs_cMc"/>
      <w:r>
        <w:rPr>
          <w:rFonts w:hint="eastAsia" w:ascii="仿宋_GB2312" w:hAnsi="仿宋_GB2312" w:eastAsia="仿宋_GB2312" w:cs="仿宋_GB2312"/>
          <w:b w:val="0"/>
          <w:color w:val="000000"/>
          <w:sz w:val="32"/>
          <w:szCs w:val="32"/>
          <w:u w:val="none" w:color="auto"/>
        </w:rPr>
        <w:t>融水县融水镇小潘摩托车配件店</w:t>
      </w:r>
      <w:bookmarkEnd w:id="3"/>
      <w:r>
        <w:rPr>
          <w:rFonts w:hint="eastAsia" w:ascii="仿宋_GB2312" w:hAnsi="仿宋_GB2312" w:eastAsia="仿宋_GB2312" w:cs="仿宋_GB2312"/>
          <w:b w:val="0"/>
          <w:bCs/>
          <w:color w:val="000000"/>
          <w:kern w:val="1"/>
          <w:sz w:val="32"/>
          <w:szCs w:val="32"/>
          <w:u w:val="none" w:color="auto"/>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right="0" w:rightChars="0" w:firstLine="0" w:firstLineChars="0"/>
        <w:jc w:val="both"/>
        <w:textAlignment w:val="auto"/>
        <w:rPr>
          <w:rFonts w:hint="eastAsia" w:ascii="仿宋_GB2312" w:hAnsi="仿宋_GB2312" w:eastAsia="仿宋_GB2312" w:cs="仿宋_GB2312"/>
          <w:b w:val="0"/>
          <w:bCs/>
          <w:color w:val="auto"/>
          <w:kern w:val="1"/>
          <w:sz w:val="32"/>
          <w:szCs w:val="32"/>
          <w:u w:val="none" w:color="auto"/>
        </w:rPr>
      </w:pPr>
      <w:r>
        <w:rPr>
          <w:rFonts w:hint="eastAsia" w:ascii="仿宋_GB2312" w:hAnsi="仿宋_GB2312" w:eastAsia="仿宋_GB2312" w:cs="仿宋_GB2312"/>
          <w:b w:val="0"/>
          <w:bCs/>
          <w:color w:val="000000"/>
          <w:kern w:val="1"/>
          <w:sz w:val="32"/>
          <w:szCs w:val="32"/>
          <w:u w:val="none" w:color="auto"/>
        </w:rPr>
        <w:t>主体资格证照名称：</w:t>
      </w:r>
      <w:bookmarkStart w:id="4" w:name="CALCULATE—DSR—tAjDsrs_cZtzgzzmc"/>
      <w:r>
        <w:rPr>
          <w:rFonts w:hint="eastAsia" w:ascii="仿宋_GB2312" w:hAnsi="仿宋_GB2312" w:eastAsia="仿宋_GB2312" w:cs="仿宋_GB2312"/>
          <w:b w:val="0"/>
          <w:color w:val="000000"/>
          <w:sz w:val="32"/>
          <w:szCs w:val="32"/>
          <w:u w:val="none" w:color="auto"/>
        </w:rPr>
        <w:t>工商营业执照</w:t>
      </w:r>
      <w:bookmarkEnd w:id="4"/>
      <w:r>
        <w:rPr>
          <w:rFonts w:hint="eastAsia" w:ascii="仿宋_GB2312" w:hAnsi="仿宋_GB2312" w:eastAsia="仿宋_GB2312" w:cs="仿宋_GB2312"/>
          <w:b w:val="0"/>
          <w:bCs/>
          <w:color w:val="000000"/>
          <w:kern w:val="1"/>
          <w:sz w:val="32"/>
          <w:szCs w:val="32"/>
          <w:u w:val="none" w:color="auto"/>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right="0" w:rightChars="0" w:firstLine="0" w:firstLineChars="0"/>
        <w:jc w:val="both"/>
        <w:textAlignment w:val="auto"/>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统一社会信用代码：</w:t>
      </w:r>
      <w:bookmarkStart w:id="5" w:name="CALCULATE—DSR—tAjDsrs_cTzshxydm"/>
      <w:r>
        <w:rPr>
          <w:rFonts w:hint="eastAsia" w:ascii="仿宋_GB2312" w:hAnsi="仿宋_GB2312" w:eastAsia="仿宋_GB2312" w:cs="仿宋_GB2312"/>
          <w:b w:val="0"/>
          <w:color w:val="000000"/>
          <w:sz w:val="32"/>
          <w:szCs w:val="32"/>
          <w:u w:val="none" w:color="auto"/>
        </w:rPr>
        <w:t>92450225MA5MBXQP63</w:t>
      </w:r>
      <w:bookmarkEnd w:id="5"/>
      <w:r>
        <w:rPr>
          <w:rFonts w:hint="eastAsia" w:ascii="仿宋_GB2312" w:hAnsi="仿宋_GB2312" w:eastAsia="仿宋_GB2312" w:cs="仿宋_GB2312"/>
          <w:b w:val="0"/>
          <w:bCs/>
          <w:color w:val="000000"/>
          <w:kern w:val="1"/>
          <w:sz w:val="32"/>
          <w:szCs w:val="32"/>
          <w:u w:val="none" w:color="auto"/>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right="0" w:rightChars="0" w:firstLine="0" w:firstLineChars="0"/>
        <w:jc w:val="both"/>
        <w:textAlignment w:val="auto"/>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住所（住址）：</w:t>
      </w:r>
      <w:bookmarkStart w:id="6" w:name="CALCULATE—DSR—tAjDsrs_cLxdzSheng"/>
      <w:r>
        <w:rPr>
          <w:rFonts w:hint="eastAsia" w:ascii="仿宋_GB2312" w:hAnsi="仿宋_GB2312" w:eastAsia="仿宋_GB2312" w:cs="仿宋_GB2312"/>
          <w:b w:val="0"/>
          <w:color w:val="000000"/>
          <w:sz w:val="32"/>
          <w:szCs w:val="32"/>
          <w:u w:val="none" w:color="auto"/>
        </w:rPr>
        <w:t>广西壮族自治区柳州市融水县融水镇朝阳西路41号商贸城</w:t>
      </w:r>
      <w:bookmarkEnd w:id="6"/>
      <w:r>
        <w:rPr>
          <w:rFonts w:hint="eastAsia" w:ascii="仿宋_GB2312" w:hAnsi="仿宋_GB2312" w:eastAsia="仿宋_GB2312" w:cs="仿宋_GB2312"/>
          <w:b w:val="0"/>
          <w:color w:val="000000"/>
          <w:sz w:val="32"/>
          <w:szCs w:val="32"/>
          <w:u w:val="none" w:color="auto"/>
          <w:lang w:val="en-US" w:eastAsia="zh-CN"/>
        </w:rPr>
        <w:t>******</w:t>
      </w:r>
      <w:r>
        <w:rPr>
          <w:rFonts w:hint="eastAsia" w:ascii="仿宋_GB2312" w:hAnsi="仿宋_GB2312" w:eastAsia="仿宋_GB2312" w:cs="仿宋_GB2312"/>
          <w:b w:val="0"/>
          <w:bCs/>
          <w:color w:val="000000"/>
          <w:kern w:val="1"/>
          <w:sz w:val="32"/>
          <w:szCs w:val="32"/>
          <w:u w:val="none" w:color="auto"/>
        </w:rPr>
        <w:t xml:space="preserve">                                     </w:t>
      </w:r>
      <w:r>
        <w:rPr>
          <w:rFonts w:hint="eastAsia" w:ascii="仿宋_GB2312" w:hAnsi="仿宋_GB2312" w:eastAsia="仿宋_GB2312" w:cs="仿宋_GB2312"/>
          <w:b w:val="0"/>
          <w:bCs/>
          <w:color w:val="000000"/>
          <w:kern w:val="1"/>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right="0" w:rightChars="0" w:firstLine="0" w:firstLineChars="0"/>
        <w:jc w:val="both"/>
        <w:textAlignment w:val="auto"/>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eastAsia="zh-CN"/>
        </w:rPr>
        <w:t>经营者</w:t>
      </w:r>
      <w:r>
        <w:rPr>
          <w:rFonts w:hint="eastAsia" w:ascii="仿宋_GB2312" w:hAnsi="仿宋_GB2312" w:eastAsia="仿宋_GB2312" w:cs="仿宋_GB2312"/>
          <w:b w:val="0"/>
          <w:bCs/>
          <w:color w:val="000000"/>
          <w:kern w:val="1"/>
          <w:sz w:val="32"/>
          <w:szCs w:val="32"/>
          <w:u w:val="none" w:color="auto"/>
        </w:rPr>
        <w:t>：</w:t>
      </w:r>
      <w:bookmarkStart w:id="7" w:name="CALCULATE—DSR—tAjDsrs_cFddbr"/>
      <w:r>
        <w:rPr>
          <w:rFonts w:hint="eastAsia" w:ascii="仿宋_GB2312" w:hAnsi="仿宋_GB2312" w:eastAsia="仿宋_GB2312" w:cs="仿宋_GB2312"/>
          <w:b w:val="0"/>
          <w:color w:val="000000"/>
          <w:sz w:val="32"/>
          <w:szCs w:val="32"/>
          <w:u w:val="none" w:color="auto"/>
        </w:rPr>
        <w:t>潘局</w:t>
      </w:r>
      <w:bookmarkEnd w:id="7"/>
      <w:r>
        <w:rPr>
          <w:rFonts w:hint="eastAsia" w:ascii="仿宋_GB2312" w:hAnsi="仿宋_GB2312" w:eastAsia="仿宋_GB2312" w:cs="仿宋_GB2312"/>
          <w:b w:val="0"/>
          <w:bCs/>
          <w:color w:val="000000"/>
          <w:kern w:val="1"/>
          <w:sz w:val="32"/>
          <w:szCs w:val="32"/>
          <w:u w:val="none" w:color="auto"/>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right="0" w:rightChars="0" w:firstLine="0" w:firstLineChars="0"/>
        <w:jc w:val="both"/>
        <w:textAlignment w:val="auto"/>
        <w:rPr>
          <w:rFonts w:hint="default" w:ascii="Times New Roman" w:hAnsi="Times New Roman" w:eastAsia="仿宋_GB2312" w:cs="Mongolian Baiti"/>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身份证件号码：</w:t>
      </w:r>
      <w:bookmarkStart w:id="8" w:name="CALCULATE—DSR—tAjDsrs_cZjhm"/>
      <w:r>
        <w:rPr>
          <w:rFonts w:hint="eastAsia" w:ascii="仿宋_GB2312" w:hAnsi="仿宋_GB2312" w:eastAsia="仿宋_GB2312" w:cs="仿宋_GB2312"/>
          <w:b w:val="0"/>
          <w:color w:val="000000"/>
          <w:sz w:val="32"/>
          <w:szCs w:val="32"/>
          <w:u w:val="none" w:color="auto"/>
        </w:rPr>
        <w:t>450722198410</w:t>
      </w:r>
      <w:bookmarkEnd w:id="8"/>
      <w:r>
        <w:rPr>
          <w:rFonts w:hint="eastAsia" w:ascii="仿宋_GB2312" w:hAnsi="仿宋_GB2312" w:eastAsia="仿宋_GB2312" w:cs="仿宋_GB2312"/>
          <w:b w:val="0"/>
          <w:color w:val="000000"/>
          <w:sz w:val="32"/>
          <w:szCs w:val="32"/>
          <w:u w:val="none" w:color="auto"/>
          <w:lang w:val="en-US" w:eastAsia="zh-CN"/>
        </w:rPr>
        <w:t>******</w:t>
      </w:r>
      <w:r>
        <w:rPr>
          <w:rFonts w:hint="eastAsia" w:ascii="仿宋_GB2312" w:hAnsi="仿宋_GB2312" w:eastAsia="仿宋_GB2312" w:cs="仿宋_GB2312"/>
          <w:b w:val="0"/>
          <w:bCs/>
          <w:color w:val="000000"/>
          <w:kern w:val="1"/>
          <w:sz w:val="32"/>
          <w:szCs w:val="32"/>
          <w:u w:val="none" w:color="auto"/>
        </w:rPr>
        <w:t xml:space="preserve">                     </w:t>
      </w:r>
      <w:r>
        <w:rPr>
          <w:rFonts w:hint="eastAsia" w:ascii="Times New Roman" w:hAnsi="Times New Roman" w:eastAsia="仿宋_GB2312" w:cs="Mongolian Baiti"/>
          <w:b w:val="0"/>
          <w:bCs/>
          <w:color w:val="000000"/>
          <w:kern w:val="1"/>
          <w:sz w:val="32"/>
          <w:szCs w:val="32"/>
          <w:u w:val="none" w:color="auto"/>
        </w:rPr>
        <w:t xml:space="preserve">                 </w:t>
      </w:r>
    </w:p>
    <w:p>
      <w:pPr>
        <w:pStyle w:val="5"/>
        <w:keepNext w:val="0"/>
        <w:keepLines w:val="0"/>
        <w:pageBreakBefore w:val="0"/>
        <w:tabs>
          <w:tab w:val="left" w:pos="9060"/>
        </w:tabs>
        <w:kinsoku/>
        <w:wordWrap/>
        <w:overflowPunct/>
        <w:topLinePunct w:val="0"/>
        <w:bidi w:val="0"/>
        <w:spacing w:line="520" w:lineRule="exact"/>
        <w:ind w:left="0" w:right="0" w:rightChars="0" w:firstLine="640" w:firstLineChars="200"/>
        <w:jc w:val="both"/>
        <w:textAlignment w:val="auto"/>
        <w:rPr>
          <w:rFonts w:hint="eastAsia" w:ascii="仿宋_GB2312" w:hAnsi="方正仿宋_GBK" w:eastAsia="仿宋_GB2312"/>
          <w:b w:val="0"/>
          <w:bCs/>
          <w:color w:val="auto"/>
          <w:sz w:val="32"/>
          <w:szCs w:val="32"/>
          <w:u w:val="none" w:color="auto"/>
        </w:rPr>
      </w:pPr>
    </w:p>
    <w:p>
      <w:pPr>
        <w:pStyle w:val="5"/>
        <w:keepNext w:val="0"/>
        <w:keepLines w:val="0"/>
        <w:pageBreakBefore w:val="0"/>
        <w:tabs>
          <w:tab w:val="left" w:pos="9060"/>
        </w:tabs>
        <w:kinsoku/>
        <w:wordWrap/>
        <w:overflowPunct/>
        <w:topLinePunct w:val="0"/>
        <w:bidi w:val="0"/>
        <w:spacing w:line="520" w:lineRule="exact"/>
        <w:ind w:left="0" w:right="0" w:rightChars="0" w:firstLine="640" w:firstLineChars="200"/>
        <w:jc w:val="both"/>
        <w:textAlignment w:val="auto"/>
        <w:rPr>
          <w:rFonts w:hint="default" w:ascii="仿宋_GB2312" w:hAnsi="方正仿宋_GBK" w:eastAsia="仿宋_GB2312"/>
          <w:b w:val="0"/>
          <w:bCs/>
          <w:color w:val="auto"/>
          <w:sz w:val="32"/>
          <w:szCs w:val="32"/>
          <w:u w:val="none" w:color="auto"/>
          <w:lang w:val="en-US" w:eastAsia="zh-CN"/>
        </w:rPr>
      </w:pPr>
      <w:r>
        <w:rPr>
          <w:rFonts w:hint="eastAsia" w:ascii="仿宋_GB2312" w:hAnsi="仿宋_GB2312" w:eastAsia="仿宋_GB2312" w:cs="仿宋_GB2312"/>
          <w:color w:val="000000"/>
          <w:sz w:val="32"/>
          <w:szCs w:val="32"/>
          <w:u w:val="none" w:color="auto"/>
        </w:rPr>
        <w:t>2024年09月26日，广西壮族自治区产品质量检验研究院受柳州市市场监督管理局委托，对融水县融水镇小潘摩托车配件店的产品“高端智能电动车充电器”（生产单位：广东一电新能源有限公司，商标：泓鹰电气；生产日期：2024年6-8Y;等级：合格品）进行抽样</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2024年11月20日，我局收到《检验报告》（编号：J24-T01119）及《产品质量监督抽查结果通知书》（编号：J24-T01119），我局执法人员于2024年11月21日将</w:t>
      </w:r>
      <w:r>
        <w:rPr>
          <w:rFonts w:hint="eastAsia" w:ascii="仿宋_GB2312" w:hAnsi="仿宋_GB2312" w:eastAsia="仿宋_GB2312" w:cs="仿宋_GB2312"/>
          <w:color w:val="000000"/>
          <w:sz w:val="32"/>
          <w:szCs w:val="32"/>
          <w:u w:val="none" w:color="auto"/>
          <w:lang w:eastAsia="zh-CN"/>
        </w:rPr>
        <w:t>上述</w:t>
      </w:r>
      <w:r>
        <w:rPr>
          <w:rFonts w:hint="eastAsia" w:ascii="仿宋_GB2312" w:hAnsi="仿宋_GB2312" w:eastAsia="仿宋_GB2312" w:cs="仿宋_GB2312"/>
          <w:color w:val="000000"/>
          <w:sz w:val="32"/>
          <w:szCs w:val="32"/>
          <w:u w:val="none" w:color="auto"/>
        </w:rPr>
        <w:t>《检验报告</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及《产品质量监督抽查结果通知书》送达当事人，并于2024年11月26日对当事人涉嫌销售不符合国家标准的产品（高端智能电动车充电器）立案调查，执法人员在案件调查过程中对检验</w:t>
      </w:r>
      <w:r>
        <w:rPr>
          <w:rFonts w:hint="eastAsia" w:ascii="仿宋_GB2312" w:hAnsi="仿宋_GB2312" w:eastAsia="仿宋_GB2312" w:cs="仿宋_GB2312"/>
          <w:color w:val="000000"/>
          <w:sz w:val="32"/>
          <w:szCs w:val="32"/>
          <w:u w:val="none" w:color="auto"/>
          <w:lang w:eastAsia="zh-CN"/>
        </w:rPr>
        <w:t>机构</w:t>
      </w:r>
      <w:r>
        <w:rPr>
          <w:rFonts w:hint="eastAsia" w:ascii="仿宋_GB2312" w:hAnsi="仿宋_GB2312" w:eastAsia="仿宋_GB2312" w:cs="仿宋_GB2312"/>
          <w:color w:val="000000"/>
          <w:sz w:val="32"/>
          <w:szCs w:val="32"/>
          <w:u w:val="none" w:color="auto"/>
        </w:rPr>
        <w:t>签发的检验结论（依据柳市监发〔2024〕151号文中《2024 年柳州市电动自行车用充电器产品质量监督 抽查实施细则》要求，对所抽样品的8项目进行了检验，检验结果符合 QB/T2947-2008《电动自行车用蓄电池及充电器 第 1 部分 密封铅酸蓄电池及充电器》要求，综合判定：该产品本次监督抽查不合格。）有疑问，并及时向柳州市市场监督管理局提出，同时收回送达当事人的《检验报告》（编号：J24-T01119）及《产品质量监督抽查结果通知书》（编号：J24-T01119）。办案人员依据《市场监督管理行政处罚程序规定》第四十六条第一款第（五）项的规定，经</w:t>
      </w:r>
      <w:r>
        <w:rPr>
          <w:rFonts w:hint="eastAsia" w:ascii="仿宋_GB2312" w:hAnsi="仿宋_GB2312" w:eastAsia="仿宋_GB2312" w:cs="仿宋_GB2312"/>
          <w:color w:val="000000"/>
          <w:sz w:val="32"/>
          <w:szCs w:val="32"/>
          <w:u w:val="none" w:color="auto"/>
          <w:lang w:eastAsia="zh-CN"/>
        </w:rPr>
        <w:t>局</w:t>
      </w:r>
      <w:r>
        <w:rPr>
          <w:rFonts w:hint="eastAsia" w:ascii="仿宋_GB2312" w:hAnsi="仿宋_GB2312" w:eastAsia="仿宋_GB2312" w:cs="仿宋_GB2312"/>
          <w:color w:val="000000"/>
          <w:sz w:val="32"/>
          <w:szCs w:val="32"/>
          <w:u w:val="none" w:color="auto"/>
        </w:rPr>
        <w:t>领导审批同意于2024年11月26日中止对本案调查。2024年12月24日我局收到《检验报告》（编号：J24-T01119F），《检验报告》（编号：J24-T01119F）内容中备注本报告J24-T01119F代替J24-T01119，原报告因检验结论漏字，已作废；检验结论为：依据柳市监发〔2024〕151号文中《2024 年柳州市电动自行车用充电器产品质量监督抽查实施细则》要求，对所抽样品的8个项目进行了检验，其中输入功率和电流、空载直流输出电压项目的检验结果不符合 QB/T2947-2008《电动自行车用蓄电池及充电器 第 1 部分：密封铅酸蓄 电池及充电器》要求，综合判定：该产品本次监督抽查不合格。）</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2024年12月2</w:t>
      </w:r>
      <w:r>
        <w:rPr>
          <w:rFonts w:hint="eastAsia" w:ascii="仿宋_GB2312" w:hAnsi="仿宋_GB2312" w:eastAsia="仿宋_GB2312" w:cs="仿宋_GB2312"/>
          <w:color w:val="000000"/>
          <w:sz w:val="32"/>
          <w:szCs w:val="32"/>
          <w:u w:val="none" w:color="auto"/>
          <w:lang w:val="en-US" w:eastAsia="zh-CN"/>
        </w:rPr>
        <w:t>5</w:t>
      </w:r>
      <w:r>
        <w:rPr>
          <w:rFonts w:hint="eastAsia" w:ascii="仿宋_GB2312" w:hAnsi="仿宋_GB2312" w:eastAsia="仿宋_GB2312" w:cs="仿宋_GB2312"/>
          <w:color w:val="000000"/>
          <w:sz w:val="32"/>
          <w:szCs w:val="32"/>
          <w:u w:val="none" w:color="auto"/>
        </w:rPr>
        <w:t>日</w:t>
      </w:r>
      <w:r>
        <w:rPr>
          <w:rFonts w:hint="eastAsia" w:ascii="仿宋_GB2312" w:hAnsi="仿宋_GB2312" w:eastAsia="仿宋_GB2312" w:cs="仿宋_GB2312"/>
          <w:color w:val="000000"/>
          <w:sz w:val="32"/>
          <w:szCs w:val="32"/>
          <w:u w:val="none" w:color="auto"/>
          <w:lang w:eastAsia="zh-CN"/>
        </w:rPr>
        <w:t>办案人员</w:t>
      </w:r>
      <w:r>
        <w:rPr>
          <w:rFonts w:hint="eastAsia" w:ascii="仿宋_GB2312" w:hAnsi="仿宋_GB2312" w:eastAsia="仿宋_GB2312" w:cs="仿宋_GB2312"/>
          <w:color w:val="000000"/>
          <w:sz w:val="32"/>
          <w:szCs w:val="32"/>
          <w:u w:val="none" w:color="auto"/>
        </w:rPr>
        <w:t>依据《市场监督管理行政处罚程序规定》第四十六条第二款的规定，</w:t>
      </w:r>
      <w:r>
        <w:rPr>
          <w:rFonts w:hint="eastAsia" w:ascii="仿宋_GB2312" w:hAnsi="仿宋_GB2312" w:eastAsia="仿宋_GB2312" w:cs="仿宋_GB2312"/>
          <w:color w:val="000000"/>
          <w:sz w:val="32"/>
          <w:szCs w:val="32"/>
          <w:u w:val="none" w:color="auto"/>
          <w:lang w:eastAsia="zh-CN"/>
        </w:rPr>
        <w:t>经局领导审批同意</w:t>
      </w:r>
      <w:r>
        <w:rPr>
          <w:rFonts w:hint="eastAsia" w:ascii="仿宋_GB2312" w:hAnsi="仿宋_GB2312" w:eastAsia="仿宋_GB2312" w:cs="仿宋_GB2312"/>
          <w:color w:val="000000"/>
          <w:sz w:val="32"/>
          <w:szCs w:val="32"/>
          <w:u w:val="none" w:color="auto"/>
        </w:rPr>
        <w:t>对本案恢复调查</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lang w:val="en-US" w:eastAsia="zh-CN"/>
        </w:rPr>
        <w:t>2024年12月31日当事人经营者潘局到我局综合行政大队办公室接受询问调查，同时提交了</w:t>
      </w:r>
      <w:r>
        <w:rPr>
          <w:rFonts w:hint="eastAsia" w:ascii="仿宋_GB2312" w:hAnsi="仿宋_GB2312" w:eastAsia="仿宋_GB2312" w:cs="仿宋_GB2312"/>
          <w:color w:val="000000"/>
          <w:sz w:val="32"/>
          <w:szCs w:val="32"/>
          <w:u w:val="none" w:color="auto"/>
        </w:rPr>
        <w:t>《放弃复检权利的声明》</w:t>
      </w:r>
      <w:r>
        <w:rPr>
          <w:rFonts w:hint="eastAsia"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lang w:val="en-US" w:eastAsia="zh-CN"/>
        </w:rPr>
        <w:t>召回公告</w:t>
      </w:r>
      <w:r>
        <w:rPr>
          <w:rFonts w:hint="eastAsia" w:ascii="仿宋_GB2312" w:hAnsi="仿宋_GB2312" w:eastAsia="仿宋_GB2312" w:cs="仿宋_GB2312"/>
          <w:color w:val="000000"/>
          <w:sz w:val="32"/>
          <w:szCs w:val="32"/>
          <w:u w:val="none" w:color="auto"/>
          <w:lang w:eastAsia="zh-CN"/>
        </w:rPr>
        <w:t>》等材料</w:t>
      </w:r>
      <w:r>
        <w:rPr>
          <w:rFonts w:hint="eastAsia" w:ascii="仿宋_GB2312" w:hAnsi="仿宋_GB2312" w:eastAsia="仿宋_GB2312" w:cs="仿宋_GB2312"/>
          <w:color w:val="000000"/>
          <w:sz w:val="32"/>
          <w:szCs w:val="32"/>
          <w:u w:val="none" w:color="auto"/>
          <w:lang w:val="en-US" w:eastAsia="zh-CN"/>
        </w:rPr>
        <w:t>，潘局对</w:t>
      </w:r>
      <w:r>
        <w:rPr>
          <w:rFonts w:hint="eastAsia" w:ascii="仿宋_GB2312" w:hAnsi="仿宋_GB2312" w:eastAsia="仿宋_GB2312" w:cs="仿宋_GB2312"/>
          <w:color w:val="000000"/>
          <w:sz w:val="32"/>
          <w:szCs w:val="32"/>
          <w:u w:val="none" w:color="auto"/>
        </w:rPr>
        <w:t>抽检</w:t>
      </w:r>
      <w:r>
        <w:rPr>
          <w:rFonts w:hint="eastAsia" w:ascii="仿宋_GB2312" w:hAnsi="仿宋_GB2312" w:eastAsia="仿宋_GB2312" w:cs="仿宋_GB2312"/>
          <w:color w:val="000000"/>
          <w:sz w:val="32"/>
          <w:szCs w:val="32"/>
          <w:u w:val="none" w:color="auto"/>
          <w:lang w:eastAsia="zh-CN"/>
        </w:rPr>
        <w:t>过程和检验结果</w:t>
      </w:r>
      <w:r>
        <w:rPr>
          <w:rFonts w:hint="eastAsia" w:ascii="仿宋_GB2312" w:hAnsi="仿宋_GB2312" w:eastAsia="仿宋_GB2312" w:cs="仿宋_GB2312"/>
          <w:color w:val="000000"/>
          <w:sz w:val="32"/>
          <w:szCs w:val="32"/>
          <w:u w:val="none" w:color="auto"/>
          <w:lang w:val="en-US" w:eastAsia="zh-CN"/>
        </w:rPr>
        <w:t>予以认可，并在相关证据材料上签字确认。</w:t>
      </w:r>
    </w:p>
    <w:p>
      <w:pPr>
        <w:keepNext w:val="0"/>
        <w:keepLines w:val="0"/>
        <w:pageBreakBefore w:val="0"/>
        <w:kinsoku/>
        <w:wordWrap/>
        <w:overflowPunct/>
        <w:topLinePunct w:val="0"/>
        <w:bidi w:val="0"/>
        <w:spacing w:line="520" w:lineRule="exact"/>
        <w:ind w:left="0" w:right="0" w:rightChars="0" w:firstLine="640" w:firstLineChars="200"/>
        <w:jc w:val="both"/>
        <w:textAlignment w:val="auto"/>
        <w:rPr>
          <w:rFonts w:hint="eastAsia" w:ascii="仿宋_GB2312" w:hAnsi="仿宋_GB2312" w:eastAsia="仿宋_GB2312" w:cs="仿宋_GB2312"/>
          <w:sz w:val="32"/>
          <w:szCs w:val="32"/>
          <w:u w:val="none" w:color="auto"/>
          <w:lang w:eastAsia="zh-CN"/>
        </w:rPr>
      </w:pPr>
      <w:r>
        <w:rPr>
          <w:rFonts w:hint="eastAsia" w:ascii="仿宋_GB2312" w:hAnsi="仿宋_GB2312" w:eastAsia="仿宋_GB2312" w:cs="仿宋_GB2312"/>
          <w:color w:val="000000"/>
          <w:sz w:val="32"/>
          <w:szCs w:val="32"/>
          <w:u w:val="none" w:color="auto"/>
          <w:lang w:eastAsia="zh-CN"/>
        </w:rPr>
        <w:t>经查，当事人于2013年07月05日注册经营至今，现经营场所在广西柳州市融水县融水镇朝阳西路41号商贸城</w:t>
      </w:r>
      <w:r>
        <w:rPr>
          <w:rFonts w:hint="eastAsia" w:ascii="仿宋_GB2312" w:hAnsi="仿宋_GB2312" w:eastAsia="仿宋_GB2312" w:cs="仿宋_GB2312"/>
          <w:color w:val="000000"/>
          <w:sz w:val="32"/>
          <w:szCs w:val="32"/>
          <w:u w:val="none" w:color="auto"/>
          <w:lang w:val="en-US" w:eastAsia="zh-CN"/>
        </w:rPr>
        <w:t>******</w:t>
      </w:r>
      <w:bookmarkStart w:id="13" w:name="_GoBack"/>
      <w:bookmarkEnd w:id="13"/>
      <w:r>
        <w:rPr>
          <w:rFonts w:hint="eastAsia" w:ascii="仿宋_GB2312" w:hAnsi="仿宋_GB2312" w:eastAsia="仿宋_GB2312" w:cs="仿宋_GB2312"/>
          <w:color w:val="000000"/>
          <w:sz w:val="32"/>
          <w:szCs w:val="32"/>
          <w:u w:val="none" w:color="auto"/>
          <w:lang w:eastAsia="zh-CN"/>
        </w:rPr>
        <w:t>，经营范围一般项目是摩托车及零配件零售、助动自行车、代步车及零配件销售，电动自行车销售，润滑油销。(除依法须经批准的项目外，凭营业执照依法自主开展经营活动）。当事人销售的抽检不合格批次“高端智能电动车充电器”于2024年7月18日从东莞市泓鹰电器有限公司购进，一共购进了10个，进货单价是45元/个，销售单价是50元/个，截止收到《检验报告》之日，去除抽样2个（含备样1个），其余均已销售完。同时当事人自收到《检验报告》之日起公开《召回公告》，到现在未召回相关产品。</w:t>
      </w:r>
    </w:p>
    <w:p>
      <w:pPr>
        <w:keepNext w:val="0"/>
        <w:keepLines w:val="0"/>
        <w:pageBreakBefore w:val="0"/>
        <w:kinsoku/>
        <w:wordWrap/>
        <w:overflowPunct/>
        <w:topLinePunct w:val="0"/>
        <w:bidi w:val="0"/>
        <w:spacing w:line="520" w:lineRule="exact"/>
        <w:ind w:left="0" w:right="0" w:rightChars="0" w:firstLine="640" w:firstLineChars="200"/>
        <w:jc w:val="both"/>
        <w:textAlignment w:val="auto"/>
        <w:rPr>
          <w:rFonts w:hint="eastAsia" w:ascii="仿宋_GB2312" w:hAnsi="仿宋_GB2312" w:eastAsia="仿宋_GB2312" w:cs="仿宋_GB2312"/>
          <w:sz w:val="32"/>
          <w:szCs w:val="32"/>
          <w:u w:val="none" w:color="auto"/>
          <w:lang w:eastAsia="zh-CN"/>
        </w:rPr>
      </w:pPr>
      <w:r>
        <w:rPr>
          <w:rFonts w:hint="eastAsia" w:ascii="仿宋_GB2312" w:hAnsi="仿宋_GB2312" w:eastAsia="仿宋_GB2312" w:cs="仿宋_GB2312"/>
          <w:color w:val="000000"/>
          <w:sz w:val="32"/>
          <w:szCs w:val="32"/>
          <w:u w:val="none" w:color="auto"/>
          <w:lang w:eastAsia="zh-CN"/>
        </w:rPr>
        <w:t>经核实，当事人销售的抽检不合格批次“高端智能电动车充电器”的货值金额为10个×50元/个 =500元，销售所得利润为（50-45）元/吨×10个=50元，因此本案货值金额是500元，违法所得是50元。</w:t>
      </w:r>
    </w:p>
    <w:p>
      <w:pPr>
        <w:pStyle w:val="5"/>
        <w:keepNext w:val="0"/>
        <w:keepLines w:val="0"/>
        <w:pageBreakBefore w:val="0"/>
        <w:tabs>
          <w:tab w:val="left" w:pos="8285"/>
        </w:tabs>
        <w:kinsoku/>
        <w:wordWrap/>
        <w:overflowPunct/>
        <w:topLinePunct w:val="0"/>
        <w:bidi w:val="0"/>
        <w:spacing w:line="520" w:lineRule="exact"/>
        <w:ind w:left="0" w:right="0" w:rightChars="0" w:firstLine="640" w:firstLineChars="200"/>
        <w:jc w:val="both"/>
        <w:textAlignment w:val="auto"/>
        <w:rPr>
          <w:rFonts w:ascii="Times New Roman" w:eastAsia="仿宋_GB2312" w:cs="Mongolian Baiti"/>
          <w:b w:val="0"/>
          <w:bCs/>
          <w:color w:val="auto"/>
          <w:kern w:val="1"/>
          <w:sz w:val="32"/>
          <w:szCs w:val="32"/>
          <w:u w:val="none" w:color="auto"/>
        </w:rPr>
      </w:pPr>
      <w:r>
        <w:rPr>
          <w:rFonts w:ascii="Times New Roman" w:eastAsia="仿宋_GB2312" w:cs="Mongolian Baiti"/>
          <w:b w:val="0"/>
          <w:bCs/>
          <w:color w:val="000000"/>
          <w:kern w:val="1"/>
          <w:sz w:val="32"/>
          <w:szCs w:val="32"/>
          <w:u w:val="none" w:color="auto"/>
        </w:rPr>
        <w:t>上述事实，主要有以下证据证明：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right="0" w:rightChars="0" w:firstLine="640" w:firstLineChars="200"/>
        <w:jc w:val="both"/>
        <w:textAlignment w:val="auto"/>
        <w:rPr>
          <w:rFonts w:hint="eastAsia" w:ascii="仿宋_GB2312" w:hAnsi="仿宋_GB2312" w:eastAsia="仿宋_GB2312" w:cs="仿宋_GB2312"/>
          <w:sz w:val="32"/>
          <w:szCs w:val="32"/>
          <w:u w:val="none" w:color="auto"/>
          <w:lang w:eastAsia="zh-CN"/>
        </w:rPr>
      </w:pPr>
      <w:bookmarkStart w:id="9" w:name="CALCULATE—ZJCL—tajCltjes_zjclxx"/>
      <w:r>
        <w:rPr>
          <w:rFonts w:hint="eastAsia" w:ascii="仿宋_GB2312" w:hAnsi="仿宋_GB2312" w:eastAsia="仿宋_GB2312" w:cs="仿宋_GB2312"/>
          <w:color w:val="000000"/>
          <w:sz w:val="32"/>
          <w:szCs w:val="32"/>
          <w:u w:val="none" w:color="auto"/>
          <w:lang w:val="en-US" w:eastAsia="zh-CN"/>
        </w:rPr>
        <w:t>1.</w:t>
      </w:r>
      <w:r>
        <w:rPr>
          <w:rFonts w:hint="eastAsia" w:ascii="仿宋_GB2312" w:hAnsi="仿宋_GB2312" w:eastAsia="仿宋_GB2312" w:cs="仿宋_GB2312"/>
          <w:color w:val="000000"/>
          <w:sz w:val="32"/>
          <w:szCs w:val="32"/>
          <w:u w:val="none" w:color="auto"/>
          <w:lang w:eastAsia="zh-CN"/>
        </w:rPr>
        <w:t>《流通领域产品质量监督抽查抽样单》；</w:t>
      </w:r>
      <w:r>
        <w:rPr>
          <w:rFonts w:hint="eastAsia" w:ascii="仿宋_GB2312" w:hAnsi="仿宋_GB2312" w:eastAsia="仿宋_GB2312" w:cs="仿宋_GB2312"/>
          <w:color w:val="000000"/>
          <w:sz w:val="32"/>
          <w:szCs w:val="32"/>
          <w:u w:val="none" w:color="auto"/>
          <w:lang w:eastAsia="zh-CN"/>
        </w:rPr>
        <w:br w:type="textWrapping"/>
      </w:r>
      <w:r>
        <w:rPr>
          <w:rFonts w:hint="eastAsia" w:ascii="仿宋_GB2312" w:hAnsi="仿宋_GB2312" w:eastAsia="仿宋_GB2312" w:cs="仿宋_GB2312"/>
          <w:color w:val="000000"/>
          <w:sz w:val="32"/>
          <w:szCs w:val="32"/>
          <w:u w:val="none" w:color="auto"/>
          <w:lang w:eastAsia="zh-CN"/>
        </w:rPr>
        <w:t>　　2.《检验报告》、《产品质量监督抽查结果通知书》及送达回证；</w:t>
      </w:r>
      <w:r>
        <w:rPr>
          <w:rFonts w:hint="eastAsia" w:ascii="仿宋_GB2312" w:hAnsi="仿宋_GB2312" w:eastAsia="仿宋_GB2312" w:cs="仿宋_GB2312"/>
          <w:color w:val="000000"/>
          <w:sz w:val="32"/>
          <w:szCs w:val="32"/>
          <w:u w:val="none" w:color="auto"/>
          <w:lang w:eastAsia="zh-CN"/>
        </w:rPr>
        <w:br w:type="textWrapping"/>
      </w:r>
      <w:r>
        <w:rPr>
          <w:rFonts w:hint="eastAsia" w:ascii="仿宋_GB2312" w:hAnsi="仿宋_GB2312" w:eastAsia="仿宋_GB2312" w:cs="仿宋_GB2312"/>
          <w:color w:val="000000"/>
          <w:sz w:val="32"/>
          <w:szCs w:val="32"/>
          <w:u w:val="none" w:color="auto"/>
          <w:lang w:eastAsia="zh-CN"/>
        </w:rPr>
        <w:t>　　3.《现场检查笔录》；</w:t>
      </w:r>
      <w:r>
        <w:rPr>
          <w:rFonts w:hint="eastAsia" w:ascii="仿宋_GB2312" w:hAnsi="仿宋_GB2312" w:eastAsia="仿宋_GB2312" w:cs="仿宋_GB2312"/>
          <w:color w:val="000000"/>
          <w:sz w:val="32"/>
          <w:szCs w:val="32"/>
          <w:u w:val="none" w:color="auto"/>
          <w:lang w:eastAsia="zh-CN"/>
        </w:rPr>
        <w:br w:type="textWrapping"/>
      </w:r>
      <w:r>
        <w:rPr>
          <w:rFonts w:hint="eastAsia" w:ascii="仿宋_GB2312" w:hAnsi="仿宋_GB2312" w:eastAsia="仿宋_GB2312" w:cs="仿宋_GB2312"/>
          <w:color w:val="000000"/>
          <w:sz w:val="32"/>
          <w:szCs w:val="32"/>
          <w:u w:val="none" w:color="auto"/>
          <w:lang w:eastAsia="zh-CN"/>
        </w:rPr>
        <w:t>　　4.《当事人提供的放弃复检权利的声明》；</w:t>
      </w:r>
      <w:r>
        <w:rPr>
          <w:rFonts w:hint="eastAsia" w:ascii="仿宋_GB2312" w:hAnsi="仿宋_GB2312" w:eastAsia="仿宋_GB2312" w:cs="仿宋_GB2312"/>
          <w:color w:val="000000"/>
          <w:sz w:val="32"/>
          <w:szCs w:val="32"/>
          <w:u w:val="none" w:color="auto"/>
          <w:lang w:eastAsia="zh-CN"/>
        </w:rPr>
        <w:br w:type="textWrapping"/>
      </w:r>
      <w:r>
        <w:rPr>
          <w:rFonts w:hint="eastAsia" w:ascii="仿宋_GB2312" w:hAnsi="仿宋_GB2312" w:eastAsia="仿宋_GB2312" w:cs="仿宋_GB2312"/>
          <w:color w:val="000000"/>
          <w:sz w:val="32"/>
          <w:szCs w:val="32"/>
          <w:u w:val="none" w:color="auto"/>
          <w:lang w:eastAsia="zh-CN"/>
        </w:rPr>
        <w:t>　　5.《证据提取单（当事人主体资格证照）》；</w:t>
      </w:r>
      <w:r>
        <w:rPr>
          <w:rFonts w:hint="eastAsia" w:ascii="仿宋_GB2312" w:hAnsi="仿宋_GB2312" w:eastAsia="仿宋_GB2312" w:cs="仿宋_GB2312"/>
          <w:color w:val="000000"/>
          <w:sz w:val="32"/>
          <w:szCs w:val="32"/>
          <w:u w:val="none" w:color="auto"/>
          <w:lang w:eastAsia="zh-CN"/>
        </w:rPr>
        <w:br w:type="textWrapping"/>
      </w:r>
      <w:r>
        <w:rPr>
          <w:rFonts w:hint="eastAsia" w:ascii="仿宋_GB2312" w:hAnsi="仿宋_GB2312" w:eastAsia="仿宋_GB2312" w:cs="仿宋_GB2312"/>
          <w:color w:val="000000"/>
          <w:sz w:val="32"/>
          <w:szCs w:val="32"/>
          <w:u w:val="none" w:color="auto"/>
          <w:lang w:eastAsia="zh-CN"/>
        </w:rPr>
        <w:t>　　6.《证据提取单（后处置现场检查图片）》；</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right="0" w:rightChars="0" w:firstLine="640" w:firstLineChars="200"/>
        <w:jc w:val="both"/>
        <w:textAlignment w:val="auto"/>
        <w:rPr>
          <w:rFonts w:hint="eastAsia" w:ascii="仿宋_GB2312" w:hAnsi="仿宋_GB2312" w:eastAsia="仿宋_GB2312" w:cs="仿宋_GB2312"/>
          <w:sz w:val="32"/>
          <w:szCs w:val="32"/>
          <w:u w:val="none" w:color="auto"/>
          <w:lang w:eastAsia="zh-CN"/>
        </w:rPr>
      </w:pPr>
      <w:r>
        <w:rPr>
          <w:rFonts w:hint="eastAsia" w:ascii="仿宋_GB2312" w:hAnsi="仿宋_GB2312" w:eastAsia="仿宋_GB2312" w:cs="仿宋_GB2312"/>
          <w:color w:val="000000"/>
          <w:sz w:val="32"/>
          <w:szCs w:val="32"/>
          <w:u w:val="none" w:color="auto"/>
          <w:lang w:eastAsia="zh-CN"/>
        </w:rPr>
        <w:t>7.《证据提取单（当事人提供的监督抽查不合格产品供货商资质、购进票据）》；</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right="0" w:rightChars="0" w:firstLine="640" w:firstLineChars="200"/>
        <w:jc w:val="both"/>
        <w:textAlignment w:val="auto"/>
        <w:rPr>
          <w:rFonts w:hint="eastAsia" w:ascii="仿宋_GB2312" w:hAnsi="仿宋_GB2312" w:eastAsia="仿宋_GB2312" w:cs="仿宋_GB2312"/>
          <w:sz w:val="32"/>
          <w:szCs w:val="32"/>
          <w:u w:val="none" w:color="auto"/>
          <w:lang w:eastAsia="zh-CN"/>
        </w:rPr>
      </w:pPr>
      <w:r>
        <w:rPr>
          <w:rFonts w:hint="eastAsia" w:ascii="仿宋_GB2312" w:hAnsi="仿宋_GB2312" w:eastAsia="仿宋_GB2312" w:cs="仿宋_GB2312"/>
          <w:color w:val="000000"/>
          <w:sz w:val="32"/>
          <w:szCs w:val="32"/>
          <w:u w:val="none" w:color="auto"/>
          <w:lang w:eastAsia="zh-CN"/>
        </w:rPr>
        <w:t>8.《证据提取单（召回公告）》；</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right="0" w:rightChars="0" w:firstLine="640" w:firstLineChars="200"/>
        <w:jc w:val="both"/>
        <w:textAlignment w:val="auto"/>
        <w:rPr>
          <w:rFonts w:hint="eastAsia" w:ascii="仿宋_GB2312" w:hAnsi="仿宋_GB2312" w:eastAsia="仿宋_GB2312" w:cs="仿宋_GB2312"/>
          <w:sz w:val="32"/>
          <w:szCs w:val="32"/>
          <w:u w:val="none" w:color="auto"/>
          <w:lang w:eastAsia="zh-CN"/>
        </w:rPr>
      </w:pPr>
      <w:r>
        <w:rPr>
          <w:rFonts w:hint="eastAsia" w:ascii="仿宋_GB2312" w:hAnsi="仿宋_GB2312" w:eastAsia="仿宋_GB2312" w:cs="仿宋_GB2312"/>
          <w:color w:val="000000"/>
          <w:sz w:val="32"/>
          <w:szCs w:val="32"/>
          <w:u w:val="none" w:color="auto"/>
          <w:lang w:eastAsia="zh-CN"/>
        </w:rPr>
        <w:t>9.《询问笔录 》。</w:t>
      </w:r>
      <w:bookmarkEnd w:id="9"/>
    </w:p>
    <w:p>
      <w:pPr>
        <w:pStyle w:val="5"/>
        <w:keepNext w:val="0"/>
        <w:keepLines w:val="0"/>
        <w:pageBreakBefore w:val="0"/>
        <w:tabs>
          <w:tab w:val="left" w:pos="9060"/>
        </w:tabs>
        <w:kinsoku/>
        <w:wordWrap/>
        <w:overflowPunct/>
        <w:topLinePunct w:val="0"/>
        <w:bidi w:val="0"/>
        <w:spacing w:line="520" w:lineRule="exact"/>
        <w:ind w:left="0" w:right="0" w:rightChars="0" w:firstLine="640" w:firstLineChars="200"/>
        <w:jc w:val="both"/>
        <w:textAlignment w:val="auto"/>
        <w:rPr>
          <w:rFonts w:hint="default" w:ascii="Times New Roman" w:eastAsia="仿宋_GB2312" w:cs="仿宋_GB2312"/>
          <w:b w:val="0"/>
          <w:bCs/>
          <w:color w:val="auto"/>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2025年1月20日，我局向当事人送达《行政处罚告知书》（融水市监罚告〔2025〕8号），其在规定期限内没有提出陈述、申辩，视为放弃此权利。</w:t>
      </w:r>
    </w:p>
    <w:p>
      <w:pPr>
        <w:pStyle w:val="5"/>
        <w:keepNext w:val="0"/>
        <w:keepLines w:val="0"/>
        <w:pageBreakBefore w:val="0"/>
        <w:tabs>
          <w:tab w:val="left" w:pos="8405"/>
        </w:tabs>
        <w:kinsoku/>
        <w:wordWrap/>
        <w:overflowPunct/>
        <w:topLinePunct w:val="0"/>
        <w:bidi w:val="0"/>
        <w:spacing w:line="520" w:lineRule="exact"/>
        <w:ind w:left="0" w:right="0" w:rightChars="0" w:firstLine="640" w:firstLineChars="200"/>
        <w:jc w:val="both"/>
        <w:textAlignment w:val="auto"/>
        <w:rPr>
          <w:rFonts w:ascii="Times New Roman" w:eastAsia="仿宋_GB2312" w:cs="仿宋_GB2312"/>
          <w:b w:val="0"/>
          <w:bCs/>
          <w:color w:val="auto"/>
          <w:sz w:val="32"/>
          <w:szCs w:val="32"/>
          <w:u w:val="none" w:color="auto"/>
        </w:rPr>
      </w:pPr>
      <w:r>
        <w:rPr>
          <w:rFonts w:hint="eastAsia" w:ascii="仿宋_GB2312" w:eastAsia="仿宋_GB2312" w:cs="Mongolian Baiti"/>
          <w:b w:val="0"/>
          <w:bCs/>
          <w:color w:val="000000"/>
          <w:kern w:val="1"/>
          <w:sz w:val="32"/>
          <w:szCs w:val="32"/>
          <w:u w:val="none" w:color="auto"/>
        </w:rPr>
        <w:t>本局认为，</w:t>
      </w:r>
      <w:r>
        <w:rPr>
          <w:rFonts w:hint="eastAsia" w:ascii="仿宋_GB2312" w:hAnsi="仿宋_GB2312" w:eastAsia="仿宋_GB2312" w:cs="仿宋_GB2312"/>
          <w:color w:val="000000"/>
          <w:sz w:val="32"/>
          <w:szCs w:val="32"/>
          <w:u w:val="none" w:color="auto"/>
          <w:lang w:eastAsia="zh-CN"/>
        </w:rPr>
        <w:t>当事人销售抽查不合格“高端智能电动车充电器”的行为</w:t>
      </w:r>
      <w:r>
        <w:rPr>
          <w:rFonts w:hint="eastAsia"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color w:val="000000"/>
          <w:sz w:val="32"/>
          <w:szCs w:val="32"/>
          <w:u w:val="none" w:color="auto"/>
          <w:lang w:eastAsia="zh-CN"/>
        </w:rPr>
        <w:t>违反了《中华人民共和国产品质量法》第十三条第二款“禁止生产、销售不符合保障人体健康和人身、财产安全的标准和要求的工业产品。具体管理办法由国务院规定。”的规定，构成了销售不符合保障人体健康和人身、财产安全的标准和要求的工业产品</w:t>
      </w:r>
      <w:r>
        <w:rPr>
          <w:rFonts w:hint="eastAsia" w:ascii="仿宋_GB2312" w:hAnsi="仿宋_GB2312" w:eastAsia="仿宋_GB2312" w:cs="仿宋_GB2312"/>
          <w:color w:val="000000"/>
          <w:sz w:val="32"/>
          <w:szCs w:val="32"/>
          <w:u w:val="none" w:color="auto"/>
          <w:lang w:val="en-US" w:eastAsia="zh-CN"/>
        </w:rPr>
        <w:t>的</w:t>
      </w:r>
      <w:r>
        <w:rPr>
          <w:rFonts w:hint="eastAsia" w:ascii="仿宋_GB2312" w:hAnsi="仿宋_GB2312" w:eastAsia="仿宋_GB2312" w:cs="仿宋_GB2312"/>
          <w:color w:val="000000"/>
          <w:sz w:val="32"/>
          <w:szCs w:val="32"/>
          <w:u w:val="none" w:color="auto"/>
          <w:lang w:eastAsia="zh-CN"/>
        </w:rPr>
        <w:t>违法行为，应依据《中华人民共和国产品质量法》第四十九条“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r>
        <w:rPr>
          <w:rFonts w:hint="eastAsia" w:ascii="仿宋_GB2312" w:hAnsi="仿宋_GB2312" w:eastAsia="仿宋_GB2312" w:cs="仿宋_GB2312"/>
          <w:color w:val="000000"/>
          <w:sz w:val="32"/>
          <w:szCs w:val="32"/>
          <w:u w:val="none" w:color="auto"/>
          <w:lang w:val="en-US" w:eastAsia="zh-CN"/>
        </w:rPr>
        <w:t>的</w:t>
      </w:r>
      <w:r>
        <w:rPr>
          <w:rFonts w:hint="eastAsia" w:ascii="仿宋_GB2312" w:hAnsi="仿宋_GB2312" w:eastAsia="仿宋_GB2312" w:cs="仿宋_GB2312"/>
          <w:color w:val="000000"/>
          <w:sz w:val="32"/>
          <w:szCs w:val="32"/>
          <w:u w:val="none" w:color="auto"/>
          <w:lang w:eastAsia="zh-CN"/>
        </w:rPr>
        <w:t>规定予以行政处罚。</w:t>
      </w:r>
    </w:p>
    <w:p>
      <w:pPr>
        <w:pStyle w:val="5"/>
        <w:keepNext w:val="0"/>
        <w:keepLines w:val="0"/>
        <w:pageBreakBefore w:val="0"/>
        <w:kinsoku/>
        <w:wordWrap/>
        <w:overflowPunct/>
        <w:topLinePunct w:val="0"/>
        <w:bidi w:val="0"/>
        <w:spacing w:line="520" w:lineRule="exact"/>
        <w:ind w:left="0" w:right="0" w:rightChars="0" w:firstLine="640" w:firstLineChars="200"/>
        <w:jc w:val="both"/>
        <w:textAlignment w:val="auto"/>
        <w:rPr>
          <w:rFonts w:ascii="Droid Sans Fallback"/>
          <w:b w:val="0"/>
          <w:bCs/>
          <w:color w:val="auto"/>
          <w:sz w:val="32"/>
          <w:szCs w:val="32"/>
          <w:u w:val="none" w:color="auto"/>
        </w:rPr>
      </w:pPr>
      <w:r>
        <w:rPr>
          <w:rFonts w:hint="eastAsia" w:ascii="仿宋_GB2312" w:hAnsi="仿宋_GB2312" w:eastAsia="仿宋_GB2312" w:cs="仿宋_GB2312"/>
          <w:color w:val="000000"/>
          <w:sz w:val="32"/>
          <w:szCs w:val="32"/>
          <w:u w:val="none" w:color="auto"/>
          <w:lang w:eastAsia="zh-CN"/>
        </w:rPr>
        <w:t>鉴于当事人在购进</w:t>
      </w:r>
      <w:r>
        <w:rPr>
          <w:rFonts w:hint="eastAsia" w:ascii="仿宋_GB2312" w:hAnsi="仿宋_GB2312" w:eastAsia="仿宋_GB2312" w:cs="仿宋_GB2312"/>
          <w:color w:val="000000"/>
          <w:sz w:val="32"/>
          <w:szCs w:val="32"/>
          <w:u w:val="none" w:color="auto"/>
          <w:lang w:val="en-US" w:eastAsia="zh-CN"/>
        </w:rPr>
        <w:t>监督抽查不合格批次</w:t>
      </w:r>
      <w:r>
        <w:rPr>
          <w:rFonts w:hint="eastAsia" w:ascii="仿宋_GB2312" w:hAnsi="仿宋_GB2312" w:eastAsia="仿宋_GB2312" w:cs="仿宋_GB2312"/>
          <w:color w:val="000000"/>
          <w:sz w:val="32"/>
          <w:szCs w:val="32"/>
          <w:u w:val="none" w:color="auto"/>
          <w:lang w:eastAsia="zh-CN"/>
        </w:rPr>
        <w:t>“高端智能电动车充电器”时按要求查验了供货商资质及验明产品合格证明；同时在案件调查过程中积极配合调查，如实交代违法事实并主动提供证据材料，且截止目前本局未收到关于因购买上述</w:t>
      </w:r>
      <w:r>
        <w:rPr>
          <w:rFonts w:hint="eastAsia" w:ascii="仿宋_GB2312" w:hAnsi="仿宋_GB2312" w:eastAsia="仿宋_GB2312" w:cs="仿宋_GB2312"/>
          <w:color w:val="000000"/>
          <w:sz w:val="32"/>
          <w:szCs w:val="32"/>
          <w:u w:val="none" w:color="auto"/>
          <w:lang w:val="en-US" w:eastAsia="zh-CN"/>
        </w:rPr>
        <w:t>监督抽查不合格批次</w:t>
      </w:r>
      <w:r>
        <w:rPr>
          <w:rFonts w:hint="eastAsia" w:ascii="仿宋_GB2312" w:hAnsi="仿宋_GB2312" w:eastAsia="仿宋_GB2312" w:cs="仿宋_GB2312"/>
          <w:color w:val="000000"/>
          <w:sz w:val="32"/>
          <w:szCs w:val="32"/>
          <w:u w:val="none" w:color="auto"/>
          <w:lang w:eastAsia="zh-CN"/>
        </w:rPr>
        <w:t>“高端智能电动车充电器”使用后发生充电故障、漏电等不良事件的反映，未对社会造成严重危害后果。依据《中华人民共和国行政处罚法》第五条第二款“设定和实施行政处罚必须以事实为依据，与违法行为的事实、性质、情节以及社会危害程度相当。”、第六条“实施行政处罚，纠正违法行为，应当坚持处罚与教育相结合，教育公民、法人或者其他组织自觉守法。”的规定，当事人的违法行为符合《中华人民共和国产品质量法》第五十五条“销售者销售本法第四十九条至第五十三条规定禁止销售的产品，有充分证据证明其不知道该产品为禁止销售的产品并如实说明其进货来源的，可以从轻或者减轻处罚。”和《市场监管总局关于规范市场监督管理行政处罚裁量权的指导意见（2022）》第十四条第（二）、（三）项“有下列情形之一的，可以依法从轻或者减轻行政处罚： （二）积极配合市场监管部门调查并主动提供证据材料的；（三）违法行为轻微，社会危害性较小的；”规定的从轻处罚情形。</w:t>
      </w:r>
    </w:p>
    <w:p>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rPr>
          <w:rFonts w:hint="eastAsia" w:ascii="仿宋_GB2312" w:hAnsi="仿宋_GB2312" w:eastAsia="仿宋_GB2312" w:cs="仿宋_GB2312"/>
          <w:color w:val="000000"/>
          <w:sz w:val="32"/>
          <w:szCs w:val="32"/>
          <w:u w:val="none" w:color="auto"/>
          <w:lang w:eastAsia="zh-CN"/>
        </w:rPr>
      </w:pPr>
      <w:r>
        <w:rPr>
          <w:rFonts w:hint="eastAsia" w:ascii="Times New Roman" w:eastAsia="仿宋_GB2312" w:cs="Mongolian Baiti"/>
          <w:b w:val="0"/>
          <w:bCs/>
          <w:color w:val="000000"/>
          <w:kern w:val="1"/>
          <w:sz w:val="32"/>
          <w:szCs w:val="32"/>
          <w:u w:val="none" w:color="auto"/>
        </w:rPr>
        <w:t>综上，</w:t>
      </w:r>
      <w:bookmarkStart w:id="10" w:name="tAj_cAjmcZywfxw"/>
      <w:r>
        <w:rPr>
          <w:rFonts w:hint="eastAsia" w:ascii="仿宋_GB2312" w:hAnsi="仿宋_GB2312" w:eastAsia="仿宋_GB2312" w:cs="仿宋_GB2312"/>
          <w:color w:val="000000"/>
          <w:sz w:val="32"/>
          <w:szCs w:val="32"/>
          <w:u w:val="none" w:color="auto"/>
          <w:lang w:val="en-US" w:eastAsia="zh-CN"/>
        </w:rPr>
        <w:t>我局决定责令当事人</w:t>
      </w:r>
      <w:r>
        <w:rPr>
          <w:rFonts w:hint="eastAsia" w:ascii="仿宋_GB2312" w:hAnsi="仿宋_GB2312" w:eastAsia="仿宋_GB2312" w:cs="仿宋_GB2312"/>
          <w:color w:val="000000"/>
          <w:sz w:val="32"/>
          <w:szCs w:val="32"/>
          <w:u w:val="none" w:color="auto"/>
        </w:rPr>
        <w:t>立即</w:t>
      </w:r>
      <w:r>
        <w:rPr>
          <w:rFonts w:hint="eastAsia" w:ascii="仿宋_GB2312" w:hAnsi="仿宋_GB2312" w:eastAsia="仿宋_GB2312" w:cs="仿宋_GB2312"/>
          <w:color w:val="000000"/>
          <w:sz w:val="32"/>
          <w:szCs w:val="32"/>
          <w:u w:val="none" w:color="auto"/>
          <w:lang w:eastAsia="zh-CN"/>
        </w:rPr>
        <w:t>停止</w:t>
      </w:r>
      <w:r>
        <w:rPr>
          <w:rFonts w:hint="eastAsia" w:ascii="Times New Roman" w:hAnsi="Times New Roman" w:eastAsia="仿宋_GB2312" w:cs="仿宋"/>
          <w:b w:val="0"/>
          <w:color w:val="000000"/>
          <w:sz w:val="32"/>
          <w:szCs w:val="32"/>
          <w:u w:val="none" w:color="auto"/>
        </w:rPr>
        <w:t>销售不符合国家标准的产品（高端智能电动车充电器）</w:t>
      </w:r>
      <w:bookmarkEnd w:id="10"/>
      <w:r>
        <w:rPr>
          <w:rFonts w:hint="eastAsia" w:ascii="仿宋_GB2312" w:hAnsi="仿宋_GB2312" w:eastAsia="仿宋_GB2312" w:cs="仿宋_GB2312"/>
          <w:color w:val="000000"/>
          <w:sz w:val="32"/>
          <w:szCs w:val="32"/>
          <w:u w:val="none" w:color="auto"/>
          <w:lang w:eastAsia="zh-CN"/>
        </w:rPr>
        <w:t>的行为，</w:t>
      </w:r>
      <w:r>
        <w:rPr>
          <w:rFonts w:hint="eastAsia" w:ascii="仿宋_GB2312" w:hAnsi="仿宋_GB2312" w:eastAsia="仿宋_GB2312" w:cs="仿宋_GB2312"/>
          <w:color w:val="000000"/>
          <w:sz w:val="32"/>
          <w:szCs w:val="32"/>
          <w:u w:val="none" w:color="auto"/>
          <w:lang w:val="en-US" w:eastAsia="zh-CN"/>
        </w:rPr>
        <w:t>并对当事人</w:t>
      </w:r>
      <w:r>
        <w:rPr>
          <w:rFonts w:hint="eastAsia" w:ascii="仿宋_GB2312" w:hAnsi="仿宋_GB2312" w:eastAsia="仿宋_GB2312" w:cs="仿宋_GB2312"/>
          <w:color w:val="000000"/>
          <w:sz w:val="32"/>
          <w:szCs w:val="32"/>
          <w:u w:val="none" w:color="auto"/>
          <w:lang w:eastAsia="zh-CN"/>
        </w:rPr>
        <w:t>作出行政处罚如下：</w:t>
      </w:r>
    </w:p>
    <w:p>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000000"/>
          <w:sz w:val="32"/>
          <w:szCs w:val="32"/>
          <w:u w:val="none" w:color="auto"/>
          <w:lang w:val="en-US" w:eastAsia="zh-CN"/>
        </w:rPr>
        <w:t>1、没</w:t>
      </w:r>
      <w:r>
        <w:rPr>
          <w:rFonts w:hint="eastAsia" w:ascii="仿宋_GB2312" w:hAnsi="仿宋_GB2312" w:eastAsia="仿宋_GB2312" w:cs="仿宋_GB2312"/>
          <w:color w:val="000000"/>
          <w:sz w:val="32"/>
          <w:szCs w:val="32"/>
          <w:u w:val="none" w:color="auto"/>
          <w:lang w:eastAsia="zh-CN"/>
        </w:rPr>
        <w:t>收违法所得伍拾元整（¥：50元）；</w:t>
      </w:r>
    </w:p>
    <w:p>
      <w:pPr>
        <w:pStyle w:val="5"/>
        <w:keepNext w:val="0"/>
        <w:keepLines w:val="0"/>
        <w:pageBreakBefore w:val="0"/>
        <w:tabs>
          <w:tab w:val="left" w:pos="9060"/>
        </w:tabs>
        <w:kinsoku/>
        <w:wordWrap/>
        <w:overflowPunct/>
        <w:topLinePunct w:val="0"/>
        <w:bidi w:val="0"/>
        <w:spacing w:line="520" w:lineRule="exact"/>
        <w:ind w:left="0" w:right="0" w:rightChars="0" w:firstLine="640" w:firstLineChars="200"/>
        <w:jc w:val="both"/>
        <w:textAlignment w:val="auto"/>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000000"/>
          <w:sz w:val="32"/>
          <w:szCs w:val="32"/>
          <w:u w:val="none" w:color="auto"/>
          <w:lang w:eastAsia="zh-CN"/>
        </w:rPr>
        <w:t>2、处销售监督抽查不合格批次“高端智能电动车充电器”货值金额1.1倍的罚款，即罚款人民币伍佰伍拾元整（¥：550元）。</w:t>
      </w:r>
    </w:p>
    <w:p>
      <w:pPr>
        <w:pStyle w:val="5"/>
        <w:keepNext w:val="0"/>
        <w:keepLines w:val="0"/>
        <w:pageBreakBefore w:val="0"/>
        <w:tabs>
          <w:tab w:val="left" w:pos="9060"/>
        </w:tabs>
        <w:kinsoku/>
        <w:wordWrap/>
        <w:overflowPunct/>
        <w:topLinePunct w:val="0"/>
        <w:bidi w:val="0"/>
        <w:spacing w:line="520" w:lineRule="exact"/>
        <w:ind w:left="0" w:right="0" w:rightChars="0" w:firstLine="640" w:firstLineChars="200"/>
        <w:jc w:val="both"/>
        <w:textAlignment w:val="auto"/>
        <w:rPr>
          <w:rFonts w:hint="eastAsia" w:ascii="仿宋_GB2312" w:hAnsi="仿宋_GB2312" w:eastAsia="仿宋_GB2312" w:cs="仿宋_GB2312"/>
          <w:color w:val="000000"/>
          <w:sz w:val="32"/>
          <w:szCs w:val="32"/>
          <w:u w:val="none" w:color="auto"/>
        </w:rPr>
      </w:pPr>
      <w:r>
        <w:rPr>
          <w:rFonts w:hint="eastAsia" w:ascii="仿宋_GB2312" w:hAnsi="仿宋_GB2312" w:eastAsia="仿宋_GB2312" w:cs="仿宋_GB2312"/>
          <w:color w:val="000000"/>
          <w:sz w:val="32"/>
          <w:szCs w:val="32"/>
          <w:u w:val="none" w:color="auto"/>
        </w:rPr>
        <w:t>以上罚没款共计</w:t>
      </w:r>
      <w:r>
        <w:rPr>
          <w:rFonts w:hint="eastAsia" w:ascii="仿宋_GB2312" w:hAnsi="仿宋_GB2312" w:eastAsia="仿宋_GB2312" w:cs="仿宋_GB2312"/>
          <w:color w:val="000000"/>
          <w:sz w:val="32"/>
          <w:szCs w:val="32"/>
          <w:u w:val="none" w:color="auto"/>
          <w:lang w:eastAsia="zh-CN"/>
        </w:rPr>
        <w:t>陆佰元整（¥：</w:t>
      </w:r>
      <w:r>
        <w:rPr>
          <w:rFonts w:hint="eastAsia" w:ascii="仿宋_GB2312" w:hAnsi="仿宋_GB2312" w:eastAsia="仿宋_GB2312" w:cs="仿宋_GB2312"/>
          <w:color w:val="000000"/>
          <w:sz w:val="32"/>
          <w:szCs w:val="32"/>
          <w:u w:val="none" w:color="auto"/>
          <w:lang w:val="en-US" w:eastAsia="zh-CN"/>
        </w:rPr>
        <w:t>600</w:t>
      </w:r>
      <w:r>
        <w:rPr>
          <w:rFonts w:hint="eastAsia" w:ascii="仿宋_GB2312" w:hAnsi="仿宋_GB2312" w:eastAsia="仿宋_GB2312" w:cs="仿宋_GB2312"/>
          <w:color w:val="000000"/>
          <w:sz w:val="32"/>
          <w:szCs w:val="32"/>
          <w:u w:val="none" w:color="auto"/>
        </w:rPr>
        <w:t>元</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w:t>
      </w:r>
    </w:p>
    <w:p>
      <w:pPr>
        <w:keepNext w:val="0"/>
        <w:keepLines w:val="0"/>
        <w:pageBreakBefore w:val="0"/>
        <w:widowControl w:val="0"/>
        <w:kinsoku/>
        <w:wordWrap/>
        <w:overflowPunct/>
        <w:topLinePunct w:val="0"/>
        <w:bidi w:val="0"/>
        <w:snapToGrid/>
        <w:spacing w:line="520" w:lineRule="exact"/>
        <w:ind w:left="0" w:right="0" w:rightChars="0" w:firstLine="640" w:firstLineChars="200"/>
        <w:jc w:val="both"/>
        <w:textAlignment w:val="auto"/>
        <w:rPr>
          <w:rFonts w:hint="eastAsia" w:ascii="仿宋_GB2312" w:hAnsi="仿宋_GB2312" w:eastAsia="仿宋_GB2312" w:cs="仿宋_GB2312"/>
          <w:color w:val="000000"/>
          <w:sz w:val="32"/>
          <w:szCs w:val="32"/>
          <w:u w:val="none" w:color="auto"/>
          <w:lang w:val="en-US" w:eastAsia="zh-Hans"/>
        </w:rPr>
      </w:pPr>
      <w:r>
        <w:rPr>
          <w:rFonts w:hint="eastAsia" w:ascii="仿宋_GB2312" w:hAnsi="仿宋_GB2312" w:eastAsia="仿宋_GB2312" w:cs="仿宋_GB2312"/>
          <w:color w:val="000000"/>
          <w:sz w:val="32"/>
          <w:szCs w:val="32"/>
          <w:u w:val="none" w:color="auto"/>
          <w:lang w:val="en-US" w:eastAsia="zh-Hans"/>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pPr>
        <w:keepNext w:val="0"/>
        <w:keepLines w:val="0"/>
        <w:pageBreakBefore w:val="0"/>
        <w:widowControl/>
        <w:kinsoku/>
        <w:wordWrap/>
        <w:overflowPunct/>
        <w:topLinePunct w:val="0"/>
        <w:bidi w:val="0"/>
        <w:snapToGrid w:val="0"/>
        <w:spacing w:line="520" w:lineRule="exact"/>
        <w:ind w:left="0" w:right="0" w:rightChars="0" w:firstLine="640" w:firstLineChars="200"/>
        <w:jc w:val="both"/>
        <w:textAlignment w:val="auto"/>
        <w:rPr>
          <w:rFonts w:ascii="Times New Roman" w:hAnsi="Times New Roman" w:eastAsia="仿宋_GB2312" w:cs="仿宋_GB2312"/>
          <w:color w:val="auto"/>
          <w:sz w:val="32"/>
          <w:szCs w:val="32"/>
          <w:u w:val="none" w:color="auto"/>
        </w:rPr>
      </w:pPr>
      <w:r>
        <w:rPr>
          <w:rFonts w:hint="eastAsia" w:ascii="仿宋_GB2312" w:hAnsi="仿宋_GB2312" w:eastAsia="仿宋_GB2312" w:cs="仿宋_GB2312"/>
          <w:color w:val="000000"/>
          <w:sz w:val="32"/>
          <w:szCs w:val="32"/>
          <w:u w:val="none" w:color="auto"/>
          <w:lang w:val="en-US" w:eastAsia="zh-Hans"/>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pPr>
        <w:keepNext w:val="0"/>
        <w:keepLines w:val="0"/>
        <w:pageBreakBefore w:val="0"/>
        <w:widowControl/>
        <w:kinsoku/>
        <w:wordWrap/>
        <w:overflowPunct/>
        <w:topLinePunct w:val="0"/>
        <w:bidi w:val="0"/>
        <w:snapToGrid w:val="0"/>
        <w:spacing w:line="520" w:lineRule="exact"/>
        <w:ind w:left="0" w:right="0" w:rightChars="0" w:firstLine="640" w:firstLineChars="200"/>
        <w:jc w:val="both"/>
        <w:textAlignment w:val="auto"/>
        <w:rPr>
          <w:rFonts w:ascii="Times New Roman" w:hAnsi="Times New Roman" w:eastAsia="仿宋_GB2312" w:cs="仿宋_GB2312"/>
          <w:color w:val="auto"/>
          <w:sz w:val="32"/>
          <w:szCs w:val="32"/>
          <w:u w:val="none" w:color="auto"/>
        </w:rPr>
      </w:pPr>
    </w:p>
    <w:p>
      <w:pPr>
        <w:keepNext w:val="0"/>
        <w:keepLines w:val="0"/>
        <w:pageBreakBefore w:val="0"/>
        <w:widowControl/>
        <w:kinsoku/>
        <w:wordWrap/>
        <w:overflowPunct/>
        <w:topLinePunct w:val="0"/>
        <w:bidi w:val="0"/>
        <w:snapToGrid w:val="0"/>
        <w:spacing w:line="520" w:lineRule="exact"/>
        <w:ind w:left="0" w:right="0" w:rightChars="0" w:firstLine="640" w:firstLineChars="200"/>
        <w:jc w:val="both"/>
        <w:textAlignment w:val="auto"/>
        <w:rPr>
          <w:rFonts w:hint="eastAsia" w:ascii="Times New Roman" w:hAnsi="Times New Roman" w:eastAsia="仿宋_GB2312" w:cs="仿宋_GB2312"/>
          <w:color w:val="auto"/>
          <w:sz w:val="32"/>
          <w:szCs w:val="32"/>
          <w:u w:val="none" w:color="auto"/>
          <w:lang w:val="en-US" w:eastAsia="zh-Hans"/>
        </w:rPr>
      </w:pPr>
    </w:p>
    <w:p>
      <w:pPr>
        <w:keepNext w:val="0"/>
        <w:keepLines w:val="0"/>
        <w:pageBreakBefore w:val="0"/>
        <w:kinsoku/>
        <w:wordWrap/>
        <w:overflowPunct/>
        <w:topLinePunct w:val="0"/>
        <w:bidi w:val="0"/>
        <w:spacing w:line="520" w:lineRule="exact"/>
        <w:ind w:left="0" w:right="0" w:rightChars="0" w:firstLine="2880" w:firstLineChars="900"/>
        <w:jc w:val="both"/>
        <w:textAlignment w:val="auto"/>
        <w:rPr>
          <w:rFonts w:ascii="Times New Roman" w:hAnsi="Times New Roman" w:eastAsia="仿宋_GB2312" w:cs="仿宋"/>
          <w:color w:val="auto"/>
          <w:sz w:val="32"/>
          <w:szCs w:val="32"/>
          <w:u w:val="none" w:color="auto"/>
        </w:rPr>
      </w:pPr>
      <w:bookmarkStart w:id="11" w:name="DYNAMIC—DWXX—tAj_dwmc—2"/>
      <w:r>
        <w:rPr>
          <w:rFonts w:hint="eastAsia" w:ascii="Times New Roman" w:hAnsi="Times New Roman" w:eastAsia="仿宋_GB2312" w:cs="仿宋"/>
          <w:color w:val="000000"/>
          <w:sz w:val="32"/>
          <w:szCs w:val="32"/>
          <w:u w:val="none" w:color="auto"/>
        </w:rPr>
        <w:t>融水苗族自治县市场监督管理局</w:t>
      </w:r>
      <w:bookmarkEnd w:id="11"/>
      <w:r>
        <w:rPr>
          <w:rFonts w:hint="eastAsia" w:ascii="Times New Roman" w:hAnsi="Times New Roman" w:eastAsia="仿宋_GB2312" w:cs="仿宋"/>
          <w:color w:val="000000"/>
          <w:sz w:val="32"/>
          <w:szCs w:val="32"/>
          <w:u w:val="none" w:color="auto"/>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3840" w:firstLineChars="1200"/>
        <w:jc w:val="both"/>
        <w:textAlignment w:val="auto"/>
        <w:outlineLvl w:val="9"/>
        <w:rPr>
          <w:rFonts w:ascii="Times New Roman" w:hAnsi="Times New Roman" w:eastAsia="仿宋_GB2312" w:cs="仿宋_GB2312"/>
          <w:color w:val="auto"/>
          <w:sz w:val="32"/>
          <w:szCs w:val="32"/>
          <w:u w:val="none" w:color="auto"/>
        </w:rPr>
      </w:pPr>
      <w:bookmarkStart w:id="12" w:name="CALCULATE—TIME—NOW"/>
      <w:r>
        <w:rPr>
          <w:rFonts w:ascii="仿宋_GB2312" w:hAnsi="仿宋_GB2312" w:eastAsia="仿宋_GB2312" w:cs="仿宋_GB2312"/>
          <w:sz w:val="32"/>
        </w:rPr>
        <w:t>2025年01月27日</w:t>
      </w:r>
      <w:bookmarkEnd w:id="12"/>
      <w:r>
        <w:rPr>
          <w:rFonts w:hint="eastAsia" w:ascii="Times New Roman" w:hAnsi="Times New Roman" w:eastAsia="仿宋_GB2312" w:cs="仿宋_GB2312"/>
          <w:color w:val="000000"/>
          <w:sz w:val="32"/>
          <w:szCs w:val="32"/>
          <w:u w:val="none" w:color="auto"/>
        </w:rPr>
        <w:t xml:space="preserve">  </w:t>
      </w:r>
    </w:p>
    <w:p>
      <w:pPr>
        <w:widowControl/>
        <w:snapToGrid w:val="0"/>
        <w:spacing w:line="520" w:lineRule="exact"/>
        <w:jc w:val="right"/>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5"/>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pPr>
        <w:spacing w:line="500" w:lineRule="exact"/>
        <w:rPr>
          <w:color w:val="auto"/>
          <w:u w:val="none"/>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eastAsia="zh-CN"/>
        </w:rPr>
        <w:t>二</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方正仿宋_GBK">
    <w:altName w:val="微软雅黑"/>
    <w:panose1 w:val="03000509000000000000"/>
    <w:charset w:val="86"/>
    <w:family w:val="auto"/>
    <w:pitch w:val="default"/>
    <w:sig w:usb0="00000000" w:usb1="00000000" w:usb2="00000000" w:usb3="00000000" w:csb0="00040000" w:csb1="00000000"/>
  </w:font>
  <w:font w:name="Droid Sans Fallback">
    <w:altName w:val="MS UI Gothic"/>
    <w:panose1 w:val="020B0502000000000001"/>
    <w:charset w:val="80"/>
    <w:family w:val="modern"/>
    <w:pitch w:val="default"/>
    <w:sig w:usb0="00000000" w:usb1="00000000" w:usb2="00000016" w:usb3="00000000" w:csb0="001A0000" w:csb1="00000000"/>
  </w:font>
  <w:font w:name="MS UI 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GE3N2NkNGZmZWMyNGY0NTI5OWRiZjgyZWY3YzkifQ=="/>
  </w:docVars>
  <w:rsids>
    <w:rsidRoot w:val="5BA419F7"/>
    <w:rsid w:val="00193C35"/>
    <w:rsid w:val="0032134F"/>
    <w:rsid w:val="00E12589"/>
    <w:rsid w:val="02B83402"/>
    <w:rsid w:val="04433DAE"/>
    <w:rsid w:val="04CD463F"/>
    <w:rsid w:val="04FA4431"/>
    <w:rsid w:val="05BD787C"/>
    <w:rsid w:val="062E1218"/>
    <w:rsid w:val="06BAE61F"/>
    <w:rsid w:val="071C7669"/>
    <w:rsid w:val="0776795A"/>
    <w:rsid w:val="08365B64"/>
    <w:rsid w:val="08F23066"/>
    <w:rsid w:val="09F25D5F"/>
    <w:rsid w:val="0AA44133"/>
    <w:rsid w:val="0B22091D"/>
    <w:rsid w:val="0CF71776"/>
    <w:rsid w:val="0FFFE86C"/>
    <w:rsid w:val="103E22C5"/>
    <w:rsid w:val="1350279A"/>
    <w:rsid w:val="13E52432"/>
    <w:rsid w:val="14203063"/>
    <w:rsid w:val="143E1E38"/>
    <w:rsid w:val="152E563E"/>
    <w:rsid w:val="15B93156"/>
    <w:rsid w:val="16DE05EC"/>
    <w:rsid w:val="17B865FB"/>
    <w:rsid w:val="18325353"/>
    <w:rsid w:val="18B229B2"/>
    <w:rsid w:val="19FE4517"/>
    <w:rsid w:val="1A31281B"/>
    <w:rsid w:val="1BC65F68"/>
    <w:rsid w:val="1BCE322D"/>
    <w:rsid w:val="1C477673"/>
    <w:rsid w:val="1D623D91"/>
    <w:rsid w:val="1E2525B5"/>
    <w:rsid w:val="1F2B5D07"/>
    <w:rsid w:val="1FCB27B8"/>
    <w:rsid w:val="1FD31F15"/>
    <w:rsid w:val="24626694"/>
    <w:rsid w:val="24E75A37"/>
    <w:rsid w:val="257B138A"/>
    <w:rsid w:val="258D6CE0"/>
    <w:rsid w:val="2A0E7F0F"/>
    <w:rsid w:val="2A9F8649"/>
    <w:rsid w:val="2B1B3EFC"/>
    <w:rsid w:val="2CEA3815"/>
    <w:rsid w:val="2DE10173"/>
    <w:rsid w:val="2F327E79"/>
    <w:rsid w:val="2F7CE1EF"/>
    <w:rsid w:val="2FE8594F"/>
    <w:rsid w:val="30D653AF"/>
    <w:rsid w:val="30DB5683"/>
    <w:rsid w:val="31774C75"/>
    <w:rsid w:val="3585615B"/>
    <w:rsid w:val="35B24EFF"/>
    <w:rsid w:val="368E5656"/>
    <w:rsid w:val="36F16EB3"/>
    <w:rsid w:val="377FBB27"/>
    <w:rsid w:val="37F16547"/>
    <w:rsid w:val="38B63DA7"/>
    <w:rsid w:val="3A4E178D"/>
    <w:rsid w:val="3BF97ECA"/>
    <w:rsid w:val="3C2965F0"/>
    <w:rsid w:val="3F2604DF"/>
    <w:rsid w:val="3F6783E4"/>
    <w:rsid w:val="3FFF82D4"/>
    <w:rsid w:val="402E7C06"/>
    <w:rsid w:val="40CC265C"/>
    <w:rsid w:val="40FE5F8F"/>
    <w:rsid w:val="41AF1D77"/>
    <w:rsid w:val="423831F5"/>
    <w:rsid w:val="425049CE"/>
    <w:rsid w:val="427D7E24"/>
    <w:rsid w:val="47326B5E"/>
    <w:rsid w:val="48C10000"/>
    <w:rsid w:val="4AE96ACE"/>
    <w:rsid w:val="4B0A02C2"/>
    <w:rsid w:val="4BBE3774"/>
    <w:rsid w:val="4C02380F"/>
    <w:rsid w:val="4CC8271B"/>
    <w:rsid w:val="502D71CA"/>
    <w:rsid w:val="5438153A"/>
    <w:rsid w:val="552A59CF"/>
    <w:rsid w:val="57503162"/>
    <w:rsid w:val="58025EF8"/>
    <w:rsid w:val="58702637"/>
    <w:rsid w:val="591F0542"/>
    <w:rsid w:val="593773EE"/>
    <w:rsid w:val="5AF92E81"/>
    <w:rsid w:val="5BA419F7"/>
    <w:rsid w:val="5BF91583"/>
    <w:rsid w:val="5BFB2E57"/>
    <w:rsid w:val="5D972330"/>
    <w:rsid w:val="5DD7483B"/>
    <w:rsid w:val="5E5FAB03"/>
    <w:rsid w:val="5EA345D2"/>
    <w:rsid w:val="5F8C3B27"/>
    <w:rsid w:val="5F9FEDD5"/>
    <w:rsid w:val="5FBEF003"/>
    <w:rsid w:val="5FE33914"/>
    <w:rsid w:val="5FFA4D85"/>
    <w:rsid w:val="602422E6"/>
    <w:rsid w:val="612E7E8C"/>
    <w:rsid w:val="64D34D76"/>
    <w:rsid w:val="64E43803"/>
    <w:rsid w:val="65942C36"/>
    <w:rsid w:val="6AD7030F"/>
    <w:rsid w:val="6BCC1BB9"/>
    <w:rsid w:val="6D923254"/>
    <w:rsid w:val="6E04767D"/>
    <w:rsid w:val="6E6950E9"/>
    <w:rsid w:val="6E711D3F"/>
    <w:rsid w:val="6F62294C"/>
    <w:rsid w:val="6F732ABB"/>
    <w:rsid w:val="6FF58B64"/>
    <w:rsid w:val="6FF8F863"/>
    <w:rsid w:val="70CF02CA"/>
    <w:rsid w:val="71013020"/>
    <w:rsid w:val="7376089F"/>
    <w:rsid w:val="75B2DA43"/>
    <w:rsid w:val="75BD90DB"/>
    <w:rsid w:val="77DF8BD4"/>
    <w:rsid w:val="77EFD5CC"/>
    <w:rsid w:val="77FFADAC"/>
    <w:rsid w:val="7874060E"/>
    <w:rsid w:val="7BFD6076"/>
    <w:rsid w:val="7C8E43D6"/>
    <w:rsid w:val="7DA813EB"/>
    <w:rsid w:val="7DFF108F"/>
    <w:rsid w:val="7E6C6CF7"/>
    <w:rsid w:val="7EED8AE6"/>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paragraph" w:styleId="4">
    <w:name w:val="heading 3"/>
    <w:basedOn w:val="1"/>
    <w:next w:val="1"/>
    <w:unhideWhenUsed/>
    <w:qFormat/>
    <w:uiPriority w:val="0"/>
    <w:pPr>
      <w:keepNext/>
      <w:keepLines/>
      <w:spacing w:before="260" w:after="260" w:line="416" w:lineRule="auto"/>
      <w:outlineLvl w:val="2"/>
    </w:pPr>
    <w:rPr>
      <w:b/>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5">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6">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480</Words>
  <Characters>480</Characters>
  <Lines>0</Lines>
  <Paragraphs>0</Paragraphs>
  <TotalTime>25</TotalTime>
  <ScaleCrop>false</ScaleCrop>
  <LinksUpToDate>false</LinksUpToDate>
  <CharactersWithSpaces>1740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Administrator</cp:lastModifiedBy>
  <cp:lastPrinted>2025-01-27T01:34:00Z</cp:lastPrinted>
  <dcterms:modified xsi:type="dcterms:W3CDTF">2025-02-08T03:31:05Z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526F4C53292B48849053E71A59849707</vt:lpwstr>
  </property>
</Properties>
</file>