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融水苗族自治县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县域商业建设行动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专项资金管理办法</w:t>
      </w: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eastAsia="zh-CN"/>
        </w:rPr>
        <w:t>（试行）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为加强和规范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融水苗族自治县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县域商业建设行动专项资金（以下简称专项资金）管理，提高资金使用效益，根据《财政部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关于印发〈服务业发展资金管理办法〉的通知》（财建〔20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号）、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eastAsia="zh-CN"/>
        </w:rPr>
        <w:t>自治区商务厅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 xml:space="preserve"> 自治区财政厅 自治区乡村振兴局关于印发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《广西县域商业建设行动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eastAsia="zh-CN"/>
        </w:rPr>
        <w:t>试点县及项目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管理细则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eastAsia="zh-CN"/>
        </w:rPr>
        <w:t>（试行）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》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eastAsia="zh-CN"/>
        </w:rPr>
        <w:t>《广西县域商业建设行动资金管理细则（试行）》的通知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（桂商建发〔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202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2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〕</w:t>
      </w:r>
      <w:r>
        <w:rPr>
          <w:rFonts w:hint="eastAsia" w:ascii="Times New Roman" w:hAnsi="Times New Roman" w:cs="Times New Roman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  <w:lang w:val="en-US" w:eastAsia="zh-CN"/>
        </w:rPr>
        <w:t>48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1"/>
          <w:szCs w:val="31"/>
          <w:shd w:val="clear" w:color="auto" w:fill="FFFFFF"/>
        </w:rPr>
        <w:t>号）等文件精神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和《融水苗族自治县县域商业体系建设工作方案》等文件要求，制定本办法。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第一章  总 则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第一条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融水苗族自治县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县域商业建设行动专项资金是指中央财政通过一般公共预算安排，专项转移支付资金，主要用于支持县域商业建设行动的项目专项资金。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第二条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 专项资金实施期限原则上为2025年到期。到期后根据财政部、商务部、国家乡村振兴局相关安排进行下一步调整。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第三条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县科技工贸和信息化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局负责项目的业务指导、日常监管、绩效评价和验收项目，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财政局负责专项资金下达、拨付、协助绩效管理和监督检查，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乡村振兴局负责推动将县域建设行动纳入乡村振兴考核体系。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第四条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 鼓励有条件的地方通过贷款贴息、购买服务、以奖代补等方式撬动社会资本加快资金拨付进度，提高资金使用效益。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第五条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融水苗族自治县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人民政府应按照政府信息公开规定，健全项目和资金信息公开机制，主动接受社会和群众监督。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第二章  支持方向及标准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第六条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 县城商业资金支持的主要方向、内容如下：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（一）补齐县域商业基础设施短板。以人口相对聚集的乡镇为重点，支持升级改造一批商贸中心、大中型超市、集贸市场等，完善冷藏、陈列、 打包、结算、 食品加工等设施设备。 鼓励连锁商贸流通企业、电子商务平台等 下沉农村，加强数字赋能，发展连锁经营和电子商务，拓展消费新业态新场景，打造乡镇商业集聚区。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重点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支持新建或升级改造乡镇商贸中心、连锁超市、农贸市场、 集贸市场等。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（二）完善县乡村三级物流配送体系。发挥县城和乡镇 物流枢纽作用，支持建设改造一批县级物流配送中心和乡镇快递物流站点，完善仓储、分拣、包装、装卸、运输、配送等设施，增强对乡村的辐射能力。整合县域邮政、供销、快递、商贸等物流资源，发挥连锁商贸流通企业自建物流优势，开展日用消费品、农资下乡和农产品进城等物流快递共同配送服务，降低物流成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。重点支持新建或升级改造县级物流配送中心、乡镇快递物流站点、开展县乡村物流共同配送的仓储及有关设施、设备等。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（三）改善优化县域消费渠道。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引导大型流通企业下沉供应链，布局一批县域前置仓、物流仓储等设施，提供直供直销、集中采购、统一配送、库存管理等服务，让农民直购好产品、新产品。鼓励本地商贸流通企业组建联合采购平台，加大农村地区商品投放力度。发展购物、餐饮、亲子、娱乐、农资等多种业态，承接市民下乡和农民进城消费。重点支持大型流通企业建设县域前置仓、物流仓储及商贸流通企业多业态发展投入的设施、设备等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楷体_GB2312" w:hAnsi="楷体_GB2312" w:eastAsia="楷体_GB2312" w:cs="楷体_GB2312"/>
          <w:color w:val="auto"/>
          <w:sz w:val="32"/>
          <w:szCs w:val="32"/>
        </w:rPr>
        <w:t>（四）增强农村产品上行动能。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引导商贸、电商、快递、物流企业围绕农村产品上行，建设分拣、预冷、初加工、配送等商品化处理设施，加强标准和品牌应用，提高农村产品商品转化率。整合现有县乡村电子商务服务网点，统筹产品开发、设计、营销、品牌等服务，拓宽农村产品上行渠道，提高农村电子商务应用水平。重点支持新建或升级改造公益性农产品批发市场、农产品集配中心、产地交易市场、冷链物流设施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楷体_GB2312" w:hAnsi="楷体_GB2312" w:eastAsia="楷体_GB2312" w:cs="楷体_GB2312"/>
          <w:color w:val="auto"/>
          <w:sz w:val="32"/>
          <w:szCs w:val="32"/>
        </w:rPr>
        <w:t>（五）提高生活服务供给质量。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引导农村邮政、供销、电商、商贸流通企业从传统批发、零售向综合性服务转变，整合购物、订餐、家政、职介、租赁、同城配送等服务，提高社区、村镇生活服务的便捷性和服务质量。引导商贸流通、电子商务、生活服务与现代农业、乡村旅游、加工制造等特色产业跨界融合，增强服务业推动生产、促进流通、扩大消费的功能。重点支持商贸企业向综合性服务转型投入的设施、设备等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第七条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 主城区综合商贸服务中心、村级便民商店不列入中央财政支持方向，通过市场化手段推进建设改造。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第八条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 对于已获其他中央财政资金支持的项目，不得重复申请或安排支持。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具体支持内容详见附表《广西县域商业建设行动试点县建设项目列支范围情况表》。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第九条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域商业资金不得用于征地拆迁、购买流量、不动产购置；不得用于租赁费用、人员经费、水电费等经常性开支；不得用于支付罚款、捐款、赞助、投资、偿还债务以及提取工作经费；不得支持县城综合商贸服务中心、村级便民商店项目。对于巳获中央预算内基建投资、产地冷链设施、农产品供应链体系建设等中央财政资金支持的项目，不得重复安排支持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第三章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 xml:space="preserve">  支持方式、标准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第十条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 支持方式。县域商业资金按照”莱单式、全公开、可追溯、问绩效”方式管理，对符合要求的项目采用投资补助的方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式支持。</w:t>
      </w:r>
    </w:p>
    <w:p>
      <w:pPr>
        <w:keepNext w:val="0"/>
        <w:keepLines w:val="0"/>
        <w:pageBreakBefore w:val="0"/>
        <w:kinsoku/>
        <w:overflowPunct/>
        <w:topLinePunct w:val="0"/>
        <w:autoSpaceDN/>
        <w:bidi w:val="0"/>
        <w:adjustRightInd/>
        <w:snapToGrid/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kern w:val="0"/>
          <w:sz w:val="32"/>
          <w:szCs w:val="32"/>
          <w:lang w:val="en-US" w:eastAsia="zh-CN" w:bidi="ar"/>
        </w:rPr>
        <w:t>第十一条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0"/>
          <w:sz w:val="32"/>
          <w:szCs w:val="32"/>
          <w:lang w:val="en-US" w:eastAsia="zh-CN" w:bidi="ar"/>
        </w:rPr>
        <w:t>支持标准。按单个项目符合支持方向的有效投资金额计算，原则上支持比例不超过有效投资金额的30%。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由县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商务主管部门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，按照广西县域商业建设行动要求，以及项目管理细则、资金管理细则要求，可自行组织力量或委托第三方中介机构对建设项目进行初步验收，提出验收合格项目清单和项目补助金额意见，初步验收结果和相关材料报柳州市商务局审核验收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5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第十三条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收到自治区复核结果文件后，县科技工贸和信息化局提出资金拨付申请，县财政部门审核后及时向项目承担主体拨付补助资金。严格按照预算管理及国库集中支付制度等有关规定，加强专项资金支付管理，确保专项资金及时、有效、安全支付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章  资金及资产管理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条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融水苗族自治县商务主管部门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应加强项目的日常指导和监督检查，鼓励委托第三方机构开展全过程监管，并对日常监督检查、绩效评价、验收等发现的问题，建立问题清单，督促项目承接单位限期整改。专项资金的使用管理接受审计、纪检监察、财政等部门的监督检查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融水苗族自治县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商务主管部门应建立健全项目档案，对项目评审、建设、绩效评价、验收等各个环节的档案材料进行整理、归档，做到资料详实、手续齐备、程序合规。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融水苗族自治县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商务主管部门应建立专项资金台账，及时、准确记录资金使用情况。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 采用购买服务的项目应明确专项资金形成的资产权属，建立项目资产台账，强化固定资产管理。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 县商务、财政、乡村振兴主管部门，对项目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管理、资金拨付、项目初步验收、绩效自评等情况，要及时以正式文件向设区市商务、财政、乡村振兴主管部门报告。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八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 项目承接主体应建立严格的财务管理制度、健全财务管理机构、配备合格的财务管理人员，按照国家有关财务、会计制度的规定进行账务处理，严格按照规定使用资金，妥善保存支持项目的实际费用支出凭证和有关原始票据，积极配合主管部门的专项检查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章  绩效管理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九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 获批专项资金后，在通过公示后的5个工作日内自行根据实施方案、项目清单、预期目标制定绩效评价指标，经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柳州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市主管部门审核后报自治区商务厅备案。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二十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融水苗族自治县科技工贸和信息化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局负责组织开展绩效评价工作，于每年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月底对获批项目的当年全部子项目组织开展绩效评价工作，并将评价结果报财政、乡村振兴局进行备案。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第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</w:rPr>
        <w:t>章  附则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第二十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 对任何单位和个人滞留截留、挤占挪用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融水苗族自治县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县域商业专项资金，以及其他违反本办法规定的行为，按照《中华人民共和国预算法》、《财政违法行为处罚处分条例》等有关规定追究法律责任。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第二十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各试点县要加强项目资产监督管理，明确资产权属和管护主体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任，形成长效机制，获得资金补助的项目 建设</w:t>
      </w:r>
      <w:r>
        <w:rPr>
          <w:rFonts w:hint="default" w:ascii="Times New Roman" w:hAnsi="Times New Roman" w:eastAsia="仿宋_GB2312" w:cs="Times New Roman"/>
          <w:color w:val="auto"/>
          <w:spacing w:val="-6"/>
          <w:sz w:val="32"/>
          <w:szCs w:val="32"/>
        </w:rPr>
        <w:t>内容5年内不得改变其用途状态，严防国家资金支持项目资产流失。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第二十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 县域商业资金专款专用，对任何单位和个人以虚假、冒领等手段骗取和滞留截留、挤占、挪用资金的， 一经查实，将按规定追回巳拨付的资金，并按《财政违法行为处罚处分 条例》等有关规定严肃处理。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第二十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</w:rPr>
        <w:t>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 本办法自印发之日起施行，执行期限暂定至2025年12月31日。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本管理办法由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融水苗族自治县科技工贸和信息化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局负责解释。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5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 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</w:rPr>
        <w:t> </w:t>
      </w:r>
      <w:r>
        <w:rPr>
          <w:rFonts w:hint="eastAsia" w:ascii="Times New Roman" w:hAnsi="Times New Roman" w:eastAsia="仿宋_GB2312" w:cs="Times New Roman"/>
          <w:color w:val="auto"/>
          <w:spacing w:val="-11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pacing w:val="-11"/>
          <w:sz w:val="32"/>
          <w:szCs w:val="32"/>
        </w:rPr>
        <w:t>附表：广西县域商业建设行动试点县建设项目列支范围情况表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bookmarkStart w:id="0" w:name="_GoBack"/>
      <w:bookmarkEnd w:id="0"/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tbl>
      <w:tblPr>
        <w:tblStyle w:val="8"/>
        <w:tblW w:w="92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200"/>
        <w:gridCol w:w="4066"/>
        <w:gridCol w:w="1848"/>
        <w:gridCol w:w="9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92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广西县域商业建设行动试点县建设项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目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列支范围情况表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政策方向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建设方向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允许列支范围</w:t>
            </w:r>
          </w:p>
        </w:tc>
        <w:tc>
          <w:tcPr>
            <w:tcW w:w="1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不包括列支范围</w:t>
            </w:r>
          </w:p>
        </w:tc>
        <w:tc>
          <w:tcPr>
            <w:tcW w:w="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1" w:hRule="atLeast"/>
        </w:trPr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补齐县域商业基础设施短板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新建或升级改造乡镇商贸中心、 连锁超市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乡镇商贸中心、 大中型超市等改造升级：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1.设施建设与装修改造、强弱电、货架、收银、空调等投入；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 配备与娱乐、休闲、 临时停车位等相适应的设施设备；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3配备冷藏、 陈列、 打包、 结算、 食品加工设施、 线上线下购物相关设备。</w:t>
            </w:r>
          </w:p>
        </w:tc>
        <w:tc>
          <w:tcPr>
            <w:tcW w:w="18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1.县城综合商贸服务中心建设改造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2.村级便民店建设改造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3.征地拆迁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4.办公设施（办公楼）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5.员工宿舍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6.办公设备、电脑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7.人员工资、人工费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8.招待费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9.未来一两年的流动资金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10.租赁费用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11.技术服务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12.流批费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13.广告费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14.燃料费用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15.知识产权费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16.宣传费用（出版物）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17.项目管理费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18.利息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19.勘察设计费用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20.土地购买费用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21.罚款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22.捐款、 赞助费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23.投资费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24.偿还债务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25.冷链车、 物流配送车等</w:t>
            </w:r>
          </w:p>
        </w:tc>
        <w:tc>
          <w:tcPr>
            <w:tcW w:w="9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已获中央资金支持的项目不得重复支持。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新建或升级改造乡镇农贸市场、集贸市场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 水、电、暖、通讯、仓储、停车场、交易区、内部道路等建设改造；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2.配备交易设施、冷藏冷冻、加工配送、 电子结算、检验检测、安全监控、消防 设施等设施设备。</w:t>
            </w: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7" w:hRule="atLeast"/>
        </w:trPr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完善县乡村三级物流配送体系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新建或升级改造县级物流配送中心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1.设施建设与装修改造、强弱电、货架、仓库等投入；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2.配备冷藏冷冻设施；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3.建设自动化包装、 分拣、 装卸设备，加强条形码、射频识别技术、车载定位装置等终端信息化建设。</w:t>
            </w: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新建或升级改造乡镇快递物流站点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1.设施建设与装修改造、 强弱电改造、货架等投入；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2.建设自动化包装、 分拣、 装卸设备， 加强条形码、射频识别技术、车载定位装置等终端信息化建设。</w:t>
            </w: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县乡村物流共同配送设施、设备投入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建设共同配送相关仓库、 货架、 分拣、装卸等投入。</w:t>
            </w: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改善优化县域消费渠道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新建或升级改造大型流通企业布局县域前置仓、物流仓储等设施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1.设施建设与装修改造、强弱电、货架、仓库、 分拣、 包装、 装卸设备等投入；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2.配备冷藏冷冻设施。</w:t>
            </w: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传统商贸企业多业态发展投入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支待多业态发展相关投入，包括装修、强弱电、货架、仓储等投入。</w:t>
            </w: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11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增强农村产品上行功能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新建或升级改造公益性农产品批发市场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1.水、电、暖、通讯、仓储、停车场、交易区、内部道路、污水处理等建设改造；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2.配备交易设施、冷藏冷冻、加工配送、电子结算、检验检测、安全监控、消防设施等设施设备。</w:t>
            </w: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新建或升级改造农产品集配中心、产地交易市场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1.设施建设与装修改造、强弱电、货架等投入；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2.配备预冷库和消洗、分级、包装、烘干等商品化处理设施设备。</w:t>
            </w: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11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新建或升级改造冷链物流设施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1.建设改造预冷、贮藏保鲜等设施、设备；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2.建设改造冷链加工配送中心；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3.冷链标准化设施、设备。</w:t>
            </w: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9" w:hRule="atLeast"/>
        </w:trPr>
        <w:tc>
          <w:tcPr>
            <w:tcW w:w="1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提高生活服务供给质量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商贸企业综合性服务转型投入</w:t>
            </w:r>
          </w:p>
        </w:tc>
        <w:tc>
          <w:tcPr>
            <w:tcW w:w="40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整合购物、订餐、家政、职介、租赁、同城配送等服务增加的设备设施等。</w:t>
            </w:r>
          </w:p>
        </w:tc>
        <w:tc>
          <w:tcPr>
            <w:tcW w:w="18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N/>
              <w:bidi w:val="0"/>
              <w:adjustRightInd/>
              <w:snapToGrid/>
              <w:spacing w:line="240" w:lineRule="auto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>
      <w:pPr>
        <w:rPr>
          <w:color w:val="auto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panose1 w:val="020B0504020202030204"/>
    <w:charset w:val="00"/>
    <w:family w:val="auto"/>
    <w:pitch w:val="default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等线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eastAsia="等线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YzMDViMDhmYmU2ZjViNWUzMGM1MWFjMGI2MTVlM2UifQ=="/>
  </w:docVars>
  <w:rsids>
    <w:rsidRoot w:val="5E6026E2"/>
    <w:rsid w:val="02EB5557"/>
    <w:rsid w:val="069E11EB"/>
    <w:rsid w:val="08394F6C"/>
    <w:rsid w:val="09095DE2"/>
    <w:rsid w:val="10087807"/>
    <w:rsid w:val="109C3C4F"/>
    <w:rsid w:val="11627D07"/>
    <w:rsid w:val="116A55A1"/>
    <w:rsid w:val="12E00606"/>
    <w:rsid w:val="158028EF"/>
    <w:rsid w:val="1E264686"/>
    <w:rsid w:val="1EA529D6"/>
    <w:rsid w:val="1FC2792A"/>
    <w:rsid w:val="246E7F53"/>
    <w:rsid w:val="27E61D4F"/>
    <w:rsid w:val="281C1CDD"/>
    <w:rsid w:val="28F2772E"/>
    <w:rsid w:val="29DA5460"/>
    <w:rsid w:val="2AFF3114"/>
    <w:rsid w:val="2BCC1169"/>
    <w:rsid w:val="30F3371F"/>
    <w:rsid w:val="32022B15"/>
    <w:rsid w:val="347C3F2B"/>
    <w:rsid w:val="3A235A71"/>
    <w:rsid w:val="3F3D0DDF"/>
    <w:rsid w:val="3FAA4B03"/>
    <w:rsid w:val="4140041C"/>
    <w:rsid w:val="45EB2FC3"/>
    <w:rsid w:val="45EC0A45"/>
    <w:rsid w:val="4D4D0662"/>
    <w:rsid w:val="4FA9329B"/>
    <w:rsid w:val="513969B5"/>
    <w:rsid w:val="56850D7E"/>
    <w:rsid w:val="56CC4D76"/>
    <w:rsid w:val="57DB7132"/>
    <w:rsid w:val="5911172D"/>
    <w:rsid w:val="5B3F1D42"/>
    <w:rsid w:val="5DA1152C"/>
    <w:rsid w:val="5E6026E2"/>
    <w:rsid w:val="61FE3CB8"/>
    <w:rsid w:val="63EF4B04"/>
    <w:rsid w:val="669F0B6A"/>
    <w:rsid w:val="724F4299"/>
    <w:rsid w:val="7A6A7A61"/>
    <w:rsid w:val="7A8B7582"/>
    <w:rsid w:val="7C590591"/>
    <w:rsid w:val="7FED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outlineLvl w:val="0"/>
    </w:pPr>
    <w:rPr>
      <w:rFonts w:eastAsia="黑体"/>
    </w:rPr>
  </w:style>
  <w:style w:type="paragraph" w:styleId="3">
    <w:name w:val="heading 2"/>
    <w:basedOn w:val="4"/>
    <w:next w:val="1"/>
    <w:unhideWhenUsed/>
    <w:qFormat/>
    <w:uiPriority w:val="0"/>
    <w:pPr>
      <w:ind w:firstLine="632"/>
      <w:outlineLvl w:val="1"/>
    </w:pPr>
    <w:rPr>
      <w:rFonts w:eastAsia="楷体_GB2312"/>
    </w:rPr>
  </w:style>
  <w:style w:type="paragraph" w:styleId="2">
    <w:name w:val="heading 3"/>
    <w:basedOn w:val="3"/>
    <w:next w:val="1"/>
    <w:qFormat/>
    <w:uiPriority w:val="0"/>
    <w:pPr>
      <w:spacing w:before="100" w:beforeAutospacing="1" w:after="100" w:afterAutospacing="1"/>
      <w:jc w:val="left"/>
      <w:outlineLvl w:val="2"/>
    </w:pPr>
    <w:rPr>
      <w:rFonts w:ascii="宋体" w:hAnsi="宋体" w:eastAsia="微软雅黑"/>
      <w:b/>
      <w:kern w:val="0"/>
      <w:sz w:val="27"/>
      <w:szCs w:val="27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2022-12-13T00:55:00Z</dcterms:created>
  <dc:creator>LAREINA『燕』</dc:creator>
  <cp:lastModifiedBy>lenovo</cp:lastModifiedBy>
  <dcterms:modified xsi:type="dcterms:W3CDTF">2024-06-14T01:39:46Z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03AB778FE5AB4EF99FDFFD263A633866</vt:lpwstr>
  </property>
</Properties>
</file>