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融水苗族自治县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县域商业建设行动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专项资金管理办法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（试行）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为加强和规范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县域商业建设行动专项资金（以下简称专项资金）管理，提高资金使用效益，根据《财政部关于印发〈服务业发展资金管理办法〉的通知》（财建〔2019〕50号）、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自治区商务厅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自治区财政厅 自治区乡村振兴局关于印发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《广西县域商业建设行动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试点县及项目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管理细则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（试行）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《广西县域商业建设行动资金管理细则（试行）》的通知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（桂商建发〔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〕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48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号）等文件精神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和《融水苗族自治县县域商业体系建设工作方案》等文件要求，制定本办法。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第一章  总 则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县域商业建设行动专项资金是指中央财政通过一般公共预算安排，专项转移支付资金，主要用于支持县域商业建设行动的项目专项资金。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专项资金实施期限原则上为2025年到期。到期后根据财政部、商务部、国家乡村振兴局相关安排进行下一步调整。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局负责项目的业务指导、日常监管、绩效评价和验收项目，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财政局负责专项资金下达、拨付、协助绩效管理和监督检查，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乡村振兴局负责推动将县域建设行动纳入乡村振兴考核体系。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鼓励有条件的地方通过贷款贴息、购买服务、以奖代补等方式撬动社会资本加快资金拨付进度，提高资金使用效益。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人民政府应按照政府信息公开规定，健全项目和资金信息公开机制，主动接受社会和群众监督。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第二章  支持方向及标准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县城商业资金支持的主要方向、内容如下：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（一）补齐县域商业基础设施短板。以人口相对聚集的乡镇为重点，支持升级改造一批商贸中心、大中型超市、集贸市场等，完善冷藏、陈列、 打包、结算、 食品加工等设施设备。 鼓励连锁商贸流通企业、电子商务平台等 下沉农村，加强数字赋能，发展连锁经营和电子商务，拓展消费新业态新场景，打造乡镇商业集聚区。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支持新建或升级改造乡镇商贸中心、连锁超市、农贸市场、 集贸市场等。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（二）完善县乡村三级物流配送体系。发挥县城和乡镇 物流枢纽作用，支持建设改造一批县级物流配送中心和乡镇快递物流站点，完善仓储、分拣、包装、装卸、运输、配送等设施，增强对乡村的辐射能力。整合县域邮政、供销、快递、商贸等物流资源，发挥连锁商贸流通企业自建物流优势，开展日用消费品、农资下乡和农产品进城等物流快递共同配送服务，降低物流成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。重点支持新建或升级改造县级物流配送中心、乡镇快递物流站点、开展县乡村物流共同配送的仓储及有关设施、设备等。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（三）改善优化县域消费渠道。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大型流通企业下沉供应链，布局一批县域前置仓、物流仓储等设施，提供直供直销、集中采购、统一配送、库存管理等服务，让农民直购好产品、新产品。鼓励本地商贸流通企业组建联合采购平台，加大农村地区商品投放力度。发展购物、餐饮、亲子、娱乐、农资等多种业态，承接市民下乡和农民进城消费。重点支持大型流通企业建设县域前置仓、物流仓储及商贸流通企业多业态发展投入的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（四）增强农村产品上行动能。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商贸、电商、快递、物流企业围绕农村产品上行，建设分拣、预冷、初加工、配送等商品化处理设施，加强标准和品牌应用，提高农村产品商品转化率。整合现有县乡村电子商务服务网点，统筹产品开发、设计、营销、品牌等服务，拓宽农村产品上行渠道，提高农村电子商务应用水平。重点支持新建或升级改造公益性农产品批发市场、农产品集配中心、产地交易市场、冷链物流设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（五）提高生活服务供给质量。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农村邮政、供销、电商、商贸流通企业从传统批发、零售向综合性服务转变，整合购物、订餐、家政、职介、租赁、同城配送等服务，提高社区、村镇生活服务的便捷性和服务质量。引导商贸流通、电子商务、生活服务与现代农业、乡村旅游、加工制造等特色产业跨界融合，增强服务业推动生产、促进流通、扩大消费的功能。重点支持商贸企业向综合性服务转型投入的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主城区综合商贸服务中心、村级便民商店不列入中央财政支持方向，通过市场化手段推进建设改造。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对于已获其他中央财政资金支持的项目，不得重复申请或安排支持。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具体支持内容详见附表《广西县域商业建设行动试点县建设项目列支范围情况表》。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第九条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资金不得用于征地拆迁、购买流量、不动产购置；不得用于租赁费用、人员经费、水电费等经常性开支；不得用于支付罚款、捐款、赞助、投资、偿还债务以及提取工作经费；不得支持县城综合商贸服务中心、村级便民商店项目。对于巳获中央预算内基建投资、产地冷链设施、农产品供应链体系建设等中央财政资金支持的项目，不得重复安排支持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第三章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支持方式、标准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支持方式。县域商业资金按照”莱单式、全公开、可追溯、问绩效”方式管理，对符合要求的项目采用投资补助的方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式支持。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支持标准。按单个项目符合支持方向的有效投资金额计算，原则上支持比例不超过有效投资金额的30%。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按照广西县域商业建设行动要求，以及项目管理细则、资金管理细则要求，可自行组织力量或委托第三方中介机构对建设项目进行初步验收，提出验收合格项目清单和项目补助金额意见，初步验收结果和相关材料报柳州市商务局审核验收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收到自治区复核结果文件后，县科技工贸和信息化局提出资金拨付申请，县财政部门审核后及时向项目承担主体拨付补助资金。严格按照预算管理及国库集中支付制度等有关规定，加强专项资金支付管理，确保专项资金及时、有效、安全支付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资金及资产管理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融水苗族自治县商务主管部门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加强项目的日常指导和监督检查，鼓励委托第三方机构开展全过程监管，并对日常监督检查、绩效评价、验收等发现的问题，建立问题清单，督促项目承接单位限期整改。专项资金的使用管理接受审计、纪检监察、财政等部门的监督检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商务主管部门应建立健全项目档案，对项目评审、建设、绩效评价、验收等各个环节的档案材料进行整理、归档，做到资料详实、手续齐备、程序合规。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商务主管部门应建立专项资金台账，及时、准确记录资金使用情况。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采用购买服务的项目应明确专项资金形成的资产权属，建立项目资产台账，强化固定资产管理。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县商务、财政、乡村振兴主管部门，对项目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管理、资金拨付、项目初步验收、绩效自评等情况，要及时以正式文件向设区市商务、财政、乡村振兴主管部门报告。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项目承接主体应建立严格的财务管理制度、健全财务管理机构、配备合格的财务管理人员，按照国家有关财务、会计制度的规定进行账务处理，严格按照规定使用资金，妥善保存支持项目的实际费用支出凭证和有关原始票据，积极配合主管部门的专项检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绩效管理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获批专项资金后，在通过公示后的5个工作日内自行根据实施方案、项目清单、预期目标制定绩效评价指标，经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柳州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市主管部门审核后报自治区商务厅备案。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局负责组织开展绩效评价工作，于每年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月底对获批项目的当年全部子项目组织开展绩效评价工作，并将评价结果报财政、乡村振兴局进行备案。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附则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对任何单位和个人滞留截留、挤占挪用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县域商业专项资金，以及其他违反本办法规定的行为，按照《中华人民共和国预算法》、《财政违法行为处罚处分条例》等有关规定追究法律责任。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各试点县要加强项目资产监督管理，明确资产权属和管护主体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任，形成长效机制，获得资金补助的项目 建设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内容5年内不得改变其用途状态，严防国家资金支持项目资产流失。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县域商业资金专款专用，对任何单位和个人以虚假、冒领等手段骗取和滞留截留、挤占、挪用资金的， 一经查实，将按规定追回巳拨付的资金，并按《财政违法行为处罚处分 条例》等有关规定严肃处理。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本办法自印发之日起施行，执行期限暂定至2025年12月31日。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本管理办法由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局负责解释。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附表：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广西县域商业建设行动试点县建设项目列支范围情况表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8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00"/>
        <w:gridCol w:w="4066"/>
        <w:gridCol w:w="1848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广西县域商业建设行动试点县建设项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列支范围情况表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政策方向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建设方向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允许列支范围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不包括列支范围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新建或升级改造乡镇商贸中心、 连锁超市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乡镇商贸中心、 大中型超市等改造升级：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1.设施建设与装修改造、强弱电、货架、收银、空调等投入；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配备与娱乐、休闲、 临时停车位等相适应的设施设备；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3配备冷藏、 陈列、 打包、 结算、 食品加工设施、 线上线下购物相关设备。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1.县城综合商贸服务中心建设改造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2.村级便民店建设改造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3.征地拆迁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4.办公设施（办公楼）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5.员工宿舍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6.办公设备、电脑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7.人员工资、人工费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8.招待费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9.未来一两年的流动资金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10.租赁费用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11.技术服务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12.流批费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13.广告费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14.燃料费用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15.知识产权费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16.宣传费用（出版物）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17.项目管理费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18.利息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19.勘察设计费用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20.土地购买费用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21.罚款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22.捐款、 赞助费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23.投资费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24.偿还债务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25.冷链车、 物流配送车等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已获中央资金支持的项目不得重复支持。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新建或升级改造乡镇农贸市场、集贸市场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水、电、暖、通讯、仓储、停车场、交易区、内部道路等建设改造；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2.配备交易设施、冷藏冷冻、加工配送、 电子结算、检验检测、安全监控、消防 设施等设施设备。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完善县乡村三级物流配送体系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新建或升级改造县级物流配送中心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1.设施建设与装修改造、强弱电、货架、仓库等投入；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2.配备冷藏冷冻设施；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3.建设自动化包装、 分拣、 装卸设备，加强条形码、射频识别技术、车载定位装置等终端信息化建设。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新建或升级改造乡镇快递物流站点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 强弱电改造、货架等投入；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2.建设自动化包装、 分拣、 装卸设备， 加强条形码、射频识别技术、车载定位装置等终端信息化建设。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县乡村物流共同配送设施、设备投入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建设共同配送相关仓库、 货架、 分拣、装卸等投入。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改善优化县域消费渠道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新建或升级改造大型流通企业布局县域前置仓、物流仓储等设施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1.设施建设与装修改造、强弱电、货架、仓库、 分拣、 包装、 装卸设备等投入；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2.配备冷藏冷冻设施。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传统商贸企业多业态发展投入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支待多业态发展相关投入，包括装修、强弱电、货架、仓储等投入。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增强农村产品上行功能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新建或升级改造公益性农产品批发市场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1.水、电、暖、通讯、仓储、停车场、交易区、内部道路、污水处理等建设改造；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2.配备交易设施、冷藏冷冻、加工配送、电子结算、检验检测、安全监控、消防设施等设施设备。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新建或升级改造农产品集配中心、产地交易市场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2.配备预冷库和消洗、分级、包装、烘干等商品化处理设施设备。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新建或升级改造冷链物流设施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1.建设改造预冷、贮藏保鲜等设施、设备；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2.建设改造冷链加工配送中心；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3.冷链标准化设施、设备。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提高生活服务供给质量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商贸企业综合性服务转型投入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整合购物、订餐、家政、职介、租赁、同城配送等服务增加的设备设施等。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DViMDhmYmU2ZjViNWUzMGM1MWFjMGI2MTVlM2UifQ=="/>
  </w:docVars>
  <w:rsids>
    <w:rsidRoot w:val="5E6026E2"/>
    <w:rsid w:val="02EB5557"/>
    <w:rsid w:val="069E11EB"/>
    <w:rsid w:val="08394F6C"/>
    <w:rsid w:val="09095DE2"/>
    <w:rsid w:val="10087807"/>
    <w:rsid w:val="109C3C4F"/>
    <w:rsid w:val="116A55A1"/>
    <w:rsid w:val="12E00606"/>
    <w:rsid w:val="158028EF"/>
    <w:rsid w:val="1E264686"/>
    <w:rsid w:val="1EA529D6"/>
    <w:rsid w:val="1FC2792A"/>
    <w:rsid w:val="246E7F53"/>
    <w:rsid w:val="281C1CDD"/>
    <w:rsid w:val="28F2772E"/>
    <w:rsid w:val="29DA5460"/>
    <w:rsid w:val="2AFF3114"/>
    <w:rsid w:val="2BCC1169"/>
    <w:rsid w:val="30F3371F"/>
    <w:rsid w:val="347C3F2B"/>
    <w:rsid w:val="3A235A71"/>
    <w:rsid w:val="3F3D0DDF"/>
    <w:rsid w:val="3FAA4B03"/>
    <w:rsid w:val="4140041C"/>
    <w:rsid w:val="45EB2FC3"/>
    <w:rsid w:val="45EC0A45"/>
    <w:rsid w:val="4D4D0662"/>
    <w:rsid w:val="4FA9329B"/>
    <w:rsid w:val="513969B5"/>
    <w:rsid w:val="56850D7E"/>
    <w:rsid w:val="56CC4D76"/>
    <w:rsid w:val="57DB7132"/>
    <w:rsid w:val="5911172D"/>
    <w:rsid w:val="5B3F1D42"/>
    <w:rsid w:val="5DA1152C"/>
    <w:rsid w:val="5E6026E2"/>
    <w:rsid w:val="61FE3CB8"/>
    <w:rsid w:val="63EF4B04"/>
    <w:rsid w:val="669F0B6A"/>
    <w:rsid w:val="724F4299"/>
    <w:rsid w:val="7A6A7A61"/>
    <w:rsid w:val="7A8B7582"/>
    <w:rsid w:val="7C590591"/>
    <w:rsid w:val="7F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4"/>
    <w:next w:val="1"/>
    <w:autoRedefine/>
    <w:unhideWhenUsed/>
    <w:qFormat/>
    <w:uiPriority w:val="0"/>
    <w:pPr>
      <w:ind w:firstLine="632"/>
      <w:outlineLvl w:val="1"/>
    </w:pPr>
    <w:rPr>
      <w:rFonts w:eastAsia="楷体_GB2312"/>
    </w:rPr>
  </w:style>
  <w:style w:type="paragraph" w:styleId="2">
    <w:name w:val="heading 3"/>
    <w:basedOn w:val="3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微软雅黑"/>
      <w:b/>
      <w:kern w:val="0"/>
      <w:sz w:val="27"/>
      <w:szCs w:val="27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2022-12-13T00:55:00Z</dcterms:created>
  <dc:creator>LAREINA『燕』</dc:creator>
  <cp:lastModifiedBy>竹妍陳</cp:lastModifiedBy>
  <dcterms:modified xsi:type="dcterms:W3CDTF">2024-02-23T03:00:38Z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03AB778FE5AB4EF99FDFFD263A633866</vt:lpwstr>
  </property>
</Properties>
</file>