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融水苗族自治县科技工贸和信息化局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行政处罚内容</w:t>
      </w:r>
      <w:r>
        <w:rPr>
          <w:rFonts w:hint="eastAsia" w:ascii="方正小标宋简体" w:hAnsi="方正小标宋简体" w:eastAsia="方正小标宋简体" w:cs="方正小标宋简体"/>
          <w:sz w:val="44"/>
          <w:szCs w:val="44"/>
          <w:lang w:eastAsia="zh-CN"/>
        </w:rPr>
        <w:t>和依据</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一、</w:t>
      </w:r>
      <w:r>
        <w:rPr>
          <w:rFonts w:hint="eastAsia" w:ascii="黑体" w:hAnsi="黑体" w:eastAsia="黑体" w:cs="黑体"/>
          <w:sz w:val="32"/>
          <w:szCs w:val="32"/>
        </w:rPr>
        <w:t>行政</w:t>
      </w:r>
      <w:r>
        <w:rPr>
          <w:rFonts w:hint="eastAsia" w:ascii="黑体" w:hAnsi="黑体" w:eastAsia="黑体" w:cs="黑体"/>
          <w:sz w:val="32"/>
          <w:szCs w:val="32"/>
          <w:lang w:eastAsia="zh-CN"/>
        </w:rPr>
        <w:t>处罚内容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对阻碍、拒绝节能监察的行政处罚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对重点用能单位无正当理由拒不落实整改要求或者整改没有达到要求的处罚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3.对使用国家明令淘汰的用能设备或者生产工艺的处罚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4.对生产单位超过单位产品能耗限额标准用能的处罚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5.对重点用能单位未按照规定设立能源管理岗位的处</w:t>
      </w:r>
      <w:bookmarkStart w:id="0" w:name="_GoBack"/>
      <w:bookmarkEnd w:id="0"/>
      <w:r>
        <w:rPr>
          <w:rFonts w:hint="eastAsia" w:ascii="仿宋_GB2312" w:hAnsi="仿宋_GB2312" w:eastAsia="仿宋_GB2312" w:cs="仿宋_GB2312"/>
          <w:sz w:val="32"/>
          <w:szCs w:val="32"/>
        </w:rPr>
        <w:t>罚</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6.对无偿向本单位职工提供能源或者能源消费实行包费制的处罚</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7.对未按照规定报送能源利用状况报告或者报告内容不实的处罚</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8.对固定资产投资项目建设单位开工建设不符合强制性节能标准的项目或者将该项目投入生产、使用的处罚</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9.对节能服务机构提供虚假信息的处罚;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10.对使用国家明令淘汰的电力设备和技术进行电力建设项目的处罚。</w:t>
      </w:r>
    </w:p>
    <w:p>
      <w:pPr>
        <w:spacing w:line="4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二、行政执法依据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《中华人民共和国节约能源法》第十二条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管理节能工作的部门和有关部门应当在各自的职责范围内，加强对节能法律、法规和节能标准执行情况的监督检查，依法查处违法用能行为。《广西壮族自治区实施&lt;中华人民共和国节约能源法&gt;办法》第三十四条用能单位阻碍或者拒绝接受节能监督检查的，由县级以上人民政府有关节能监督管理部门按照职权予以警告，责令限期改正；逾期不改正的，可以处五千元以上五万元以下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《中华人民共和国节约能源法》第五十四条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管理节能工作的部门应当对重点用能单位报送的能源利用状况报告进行审查。对节能管理制度不健全、节能措施不落实、能源利用效率低的重点用能单位，管理节能工作的部门应当开展现场调查，组织实施用能设备能源效率检测，责令实施能源审计，并提出书面整改要求，限期整改。 第八十三条重点用能单位无正当理由拒不落实本法第五十四条规定的整改要求或者整改没有达到要求的，由管理节能工作的部门处十万元以上三十万元以下罚款。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 (1)</w:t>
      </w:r>
      <w:r>
        <w:rPr>
          <w:rFonts w:hint="eastAsia" w:ascii="仿宋_GB2312" w:hAnsi="仿宋_GB2312" w:eastAsia="仿宋_GB2312" w:cs="仿宋_GB2312"/>
          <w:sz w:val="32"/>
          <w:szCs w:val="32"/>
        </w:rPr>
        <w:t>《中华人民共和国节约能源法》第七十一条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使用国家明令淘汰的用能设备或者生产工艺的，由管理节能工作的部门责令停止使用，没收国家明令淘汰的用能设备；情节严重的，可以由管理节能工作的部门提出意见，报请本级人民政府按照国务院规定的权限责令停业整顿或者关闭。 </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《中华人民共和国循环经济促进法》第五十条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销售列入淘汰名录的产品、设备的，依照《中华人民共和国产品质量法》的规定处罚。使用列入淘汰名录的技术、工艺、设备、材料的，由县级以上地方人民政府循环经济发展综合管理部门责令停止使用，没收违法使用的设备、材料，并处五万元以上二十万元以下的罚款；情节严重的，由县级以上人民政府循环经济发展综合管理部门提出意见，报请本级人民政府按照国务院规定的权限责令停业或者关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《中华人民共和国节约能源法》第七十二条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生产单位超过单位产品能耗限额标准用能，情节严重，经限期治理逾期不治理或者没有达到治理要求的，可以由管理节能工作的部门提出意见，报请本级人民政府按照国务院规定的权限责令停业整顿或者关闭。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《中华人民共和国节约能源法》第八十四条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重点用能单位未按照本法规定设立能源管理岗位，聘任能源管理负责人，并报管理节能工作的部门和有关部门备案的，由管理节能工作的部门责令改正；拒不改正的，处一万元以上三万元以下罚款。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《中华人民共和国节约能源法》第七十七条 违反本法规定，无偿向本单位职工提供能源或者对能源消费实行包费制的，由管理节能工作的部门责令限期改正；逾期不改正的，处五万元以上二十万元以下罚款。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中华人民共和国节约能源法》第八十二条 重点用能单位未按照本法规定报送能源利用状况报告或者报告内容不实的，由管理节能工作的部门责令限期改正；逾期不改正的，处一万元以上五万元以下罚款。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8.《中华人民共和国节约能源法》第十五条 国家实行固定资产投资项目节能评估和审查制度。不符合强制性节能标准的项目，建设单位不得开工建设；已经建成的，不得投入生产、使用。政府投资项目不符合强制性节能标准的，依法负责项目审批的机关不得批准建设。具体办法由国务院管理节能工作的部门会同国务院有关部门制定。 第六十八条第二款 固定资产投资项目建设单位开工建设不符合强制性节能标准的项目或者将该项目投入生产、使用的，由管理节能工作的部门责令停止建设或者停止生产、使用，限期改造；不能改造或者逾期不改造的生产性项目，由管理节能工作的部门报请本级人民政府按照国务院规定的权限责令关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9.《中华人民共和国节约能源法》第七十六条 从事节能咨询、设计、评估、检测、审计、认证等服务的机构提供虚假信息的，由管理节能工作的部门责令改正，没收违法所得，并处五万元以上十万元以下罚款。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10.《中华人民共和国电力法》电力建设项目使用国家明令淘汰的电力设备和技术的，由电力管理部门责令停止使用，没收国家明令淘汰的电力设备，并处五万元以下的罚款。</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8D2729"/>
    <w:rsid w:val="0B9D3221"/>
    <w:rsid w:val="68A75871"/>
    <w:rsid w:val="738D2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2021-09-23T02:24:00Z</dcterms:created>
  <dc:creator>lenovo</dc:creator>
  <cp:lastModifiedBy>lenovo</cp:lastModifiedBy>
  <dcterms:modified xsi:type="dcterms:W3CDTF">2021-09-23T03:48:16Z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