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22"/>
        </w:rPr>
      </w:pPr>
      <w:bookmarkStart w:id="0" w:name="_GoBack"/>
      <w:bookmarkEnd w:id="0"/>
    </w:p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spacing w:before="1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eastAsia="zh-CN"/>
        </w:rPr>
        <w:t>融水县住房和城乡建设局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 xml:space="preserve"> 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融水县住建局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融水县住建局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（本单位无行政处罚职责）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部门（本部）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120" w:right="12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融水县住建局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融水县住建局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融水县住建局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融水县住建局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both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（本单位无行政征用职责）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both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融水县住建局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融水县住建局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both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7193"/>
    <w:rsid w:val="001833B5"/>
    <w:rsid w:val="002929AC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8EC4D4F"/>
    <w:rsid w:val="0A4D79B4"/>
    <w:rsid w:val="0D1A0209"/>
    <w:rsid w:val="0EBF40F9"/>
    <w:rsid w:val="10C04E65"/>
    <w:rsid w:val="1EC329BF"/>
    <w:rsid w:val="214373F2"/>
    <w:rsid w:val="25E75780"/>
    <w:rsid w:val="27534209"/>
    <w:rsid w:val="27861410"/>
    <w:rsid w:val="28EA0733"/>
    <w:rsid w:val="2BD94D30"/>
    <w:rsid w:val="2CBF30CC"/>
    <w:rsid w:val="2D2C15B5"/>
    <w:rsid w:val="31027193"/>
    <w:rsid w:val="361219D3"/>
    <w:rsid w:val="3D401FC6"/>
    <w:rsid w:val="40210BCD"/>
    <w:rsid w:val="42F97D73"/>
    <w:rsid w:val="469777F5"/>
    <w:rsid w:val="4B286018"/>
    <w:rsid w:val="4D8127D3"/>
    <w:rsid w:val="4F7D50AD"/>
    <w:rsid w:val="52CE15CA"/>
    <w:rsid w:val="55C36454"/>
    <w:rsid w:val="580A3866"/>
    <w:rsid w:val="5C93135C"/>
    <w:rsid w:val="640E00C0"/>
    <w:rsid w:val="66911D59"/>
    <w:rsid w:val="6C6B3569"/>
    <w:rsid w:val="6DA26887"/>
    <w:rsid w:val="78EA5C75"/>
    <w:rsid w:val="7D1007C1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2688</Words>
  <Characters>731</Characters>
  <Lines>6</Lines>
  <Paragraphs>6</Paragraphs>
  <TotalTime>2</TotalTime>
  <ScaleCrop>false</ScaleCrop>
  <LinksUpToDate>false</LinksUpToDate>
  <CharactersWithSpaces>3413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Administrator</cp:lastModifiedBy>
  <cp:lastPrinted>2021-01-04T03:08:00Z</cp:lastPrinted>
  <dcterms:modified xsi:type="dcterms:W3CDTF">2022-01-11T08:09:44Z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BF0C23E30A5F460B85E54E84B2DA9AFA</vt:lpwstr>
  </property>
</Properties>
</file>