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rPr>
          <w:rFonts w:ascii="Arial" w:hAnsi="Calibri"/>
          <w:color w:val="FF0000"/>
          <w:sz w:val="2"/>
          <w:szCs w:val="22"/>
          <w:lang w:val="en-US" w:eastAsia="en-US" w:bidi="ar-SA"/>
        </w:rPr>
      </w:pPr>
      <w:bookmarkStart w:id="0" w:name="br1"/>
      <w:bookmarkEnd w:id="0"/>
      <w:r>
        <w:rPr>
          <w:rFonts w:ascii="Arial" w:hAnsi="Calibri"/>
          <w:color w:val="FF0000"/>
          <w:sz w:val="2"/>
          <w:szCs w:val="22"/>
          <w:lang w:val="en-US" w:eastAsia="en-US" w:bidi="ar-SA"/>
        </w:rPr>
        <w:t xml:space="preserve"> </w:t>
      </w:r>
    </w:p>
    <w:p>
      <w:pPr>
        <w:framePr w:w="9360" w:wrap="auto" w:vAnchor="page" w:hAnchor="page" w:x="2093" w:y="4902"/>
        <w:widowControl w:val="0"/>
        <w:autoSpaceDE w:val="0"/>
        <w:autoSpaceDN w:val="0"/>
        <w:spacing w:line="480" w:lineRule="exact"/>
        <w:jc w:val="both"/>
        <w:rPr>
          <w:rFonts w:hAnsi="Calibri"/>
          <w:color w:val="000000"/>
          <w:sz w:val="48"/>
          <w:szCs w:val="22"/>
          <w:lang w:val="en-US" w:eastAsia="en-US" w:bidi="ar-SA"/>
        </w:rPr>
      </w:pPr>
      <w:r>
        <w:rPr>
          <w:rFonts w:hint="eastAsia" w:hAnsi="Calibri" w:eastAsia="宋体"/>
          <w:color w:val="FF0000"/>
          <w:spacing w:val="360"/>
          <w:sz w:val="48"/>
          <w:szCs w:val="22"/>
          <w:lang w:val="en-US" w:eastAsia="zh-CN" w:bidi="ar-SA"/>
        </w:rPr>
        <w:t xml:space="preserve">融 </w:t>
      </w:r>
      <w:r>
        <w:rPr>
          <w:rFonts w:hint="eastAsia" w:ascii="宋体" w:hAnsi="宋体" w:eastAsia="宋体" w:cs="宋体"/>
          <w:color w:val="FF0000"/>
          <w:sz w:val="48"/>
          <w:szCs w:val="22"/>
          <w:lang w:val="en-US" w:eastAsia="zh-CN" w:bidi="ar-SA"/>
        </w:rPr>
        <w:t xml:space="preserve">水 </w:t>
      </w:r>
      <w:r>
        <w:rPr>
          <w:rFonts w:hAnsi="Calibri"/>
          <w:color w:val="FF0000"/>
          <w:spacing w:val="360"/>
          <w:sz w:val="48"/>
          <w:szCs w:val="22"/>
          <w:lang w:val="en-US" w:eastAsia="en-US" w:bidi="ar-SA"/>
        </w:rPr>
        <w:t xml:space="preserve"> </w:t>
      </w:r>
      <w:r>
        <w:rPr>
          <w:rFonts w:hint="eastAsia" w:ascii="宋体" w:hAnsi="宋体" w:eastAsia="宋体" w:cs="宋体"/>
          <w:color w:val="FF0000"/>
          <w:sz w:val="48"/>
          <w:szCs w:val="22"/>
          <w:lang w:val="en-US" w:eastAsia="zh-CN" w:bidi="ar-SA"/>
        </w:rPr>
        <w:t xml:space="preserve">苗 </w:t>
      </w:r>
      <w:r>
        <w:rPr>
          <w:rFonts w:hAnsi="Calibri"/>
          <w:color w:val="FF0000"/>
          <w:spacing w:val="360"/>
          <w:sz w:val="48"/>
          <w:szCs w:val="22"/>
          <w:lang w:val="en-US" w:eastAsia="en-US" w:bidi="ar-SA"/>
        </w:rPr>
        <w:t xml:space="preserve"> </w:t>
      </w:r>
      <w:r>
        <w:rPr>
          <w:rFonts w:ascii="宋体" w:hAnsi="宋体" w:cs="宋体"/>
          <w:color w:val="FF0000"/>
          <w:sz w:val="48"/>
          <w:szCs w:val="22"/>
          <w:lang w:val="en-US" w:eastAsia="en-US" w:bidi="ar-SA"/>
        </w:rPr>
        <w:t>族</w:t>
      </w:r>
      <w:r>
        <w:rPr>
          <w:rFonts w:hint="eastAsia" w:ascii="宋体" w:hAnsi="宋体" w:eastAsia="宋体" w:cs="宋体"/>
          <w:color w:val="FF0000"/>
          <w:sz w:val="48"/>
          <w:szCs w:val="22"/>
          <w:lang w:val="en-US" w:eastAsia="zh-CN" w:bidi="ar-SA"/>
        </w:rPr>
        <w:t xml:space="preserve"> </w:t>
      </w:r>
      <w:r>
        <w:rPr>
          <w:rFonts w:hAnsi="Calibri"/>
          <w:color w:val="FF0000"/>
          <w:spacing w:val="360"/>
          <w:sz w:val="48"/>
          <w:szCs w:val="22"/>
          <w:lang w:val="en-US" w:eastAsia="en-US" w:bidi="ar-SA"/>
        </w:rPr>
        <w:t xml:space="preserve"> </w:t>
      </w:r>
      <w:r>
        <w:rPr>
          <w:rFonts w:ascii="宋体" w:hAnsi="宋体" w:cs="宋体"/>
          <w:color w:val="FF0000"/>
          <w:sz w:val="48"/>
          <w:szCs w:val="22"/>
          <w:lang w:val="en-US" w:eastAsia="en-US" w:bidi="ar-SA"/>
        </w:rPr>
        <w:t>自</w:t>
      </w:r>
      <w:r>
        <w:rPr>
          <w:rFonts w:hint="eastAsia" w:ascii="宋体" w:hAnsi="宋体" w:eastAsia="宋体" w:cs="宋体"/>
          <w:color w:val="FF0000"/>
          <w:sz w:val="48"/>
          <w:szCs w:val="22"/>
          <w:lang w:val="en-US" w:eastAsia="zh-CN" w:bidi="ar-SA"/>
        </w:rPr>
        <w:t xml:space="preserve"> </w:t>
      </w:r>
      <w:r>
        <w:rPr>
          <w:rFonts w:hAnsi="Calibri"/>
          <w:color w:val="FF0000"/>
          <w:spacing w:val="360"/>
          <w:sz w:val="48"/>
          <w:szCs w:val="22"/>
          <w:lang w:val="en-US" w:eastAsia="en-US" w:bidi="ar-SA"/>
        </w:rPr>
        <w:t xml:space="preserve"> </w:t>
      </w:r>
      <w:r>
        <w:rPr>
          <w:rFonts w:ascii="宋体" w:hAnsi="宋体" w:cs="宋体"/>
          <w:color w:val="FF0000"/>
          <w:sz w:val="48"/>
          <w:szCs w:val="22"/>
          <w:lang w:val="en-US" w:eastAsia="en-US" w:bidi="ar-SA"/>
        </w:rPr>
        <w:t>治</w:t>
      </w:r>
      <w:r>
        <w:rPr>
          <w:rFonts w:hint="eastAsia" w:ascii="宋体" w:hAnsi="宋体" w:eastAsia="宋体" w:cs="宋体"/>
          <w:color w:val="FF0000"/>
          <w:sz w:val="48"/>
          <w:szCs w:val="22"/>
          <w:lang w:val="en-US" w:eastAsia="zh-CN" w:bidi="ar-SA"/>
        </w:rPr>
        <w:t xml:space="preserve"> </w:t>
      </w:r>
      <w:r>
        <w:rPr>
          <w:rFonts w:hAnsi="Calibri"/>
          <w:color w:val="FF0000"/>
          <w:spacing w:val="360"/>
          <w:sz w:val="48"/>
          <w:szCs w:val="22"/>
          <w:lang w:val="en-US" w:eastAsia="en-US" w:bidi="ar-SA"/>
        </w:rPr>
        <w:t xml:space="preserve"> </w:t>
      </w:r>
      <w:r>
        <w:rPr>
          <w:rFonts w:hint="eastAsia" w:ascii="宋体" w:hAnsi="宋体" w:eastAsia="宋体" w:cs="宋体"/>
          <w:color w:val="FF0000"/>
          <w:sz w:val="48"/>
          <w:szCs w:val="22"/>
          <w:lang w:val="en-US" w:eastAsia="zh-CN" w:bidi="ar-SA"/>
        </w:rPr>
        <w:t>县</w:t>
      </w:r>
    </w:p>
    <w:p>
      <w:pPr>
        <w:framePr w:w="9067" w:wrap="auto" w:vAnchor="margin" w:hAnchor="text" w:x="1438" w:y="6605"/>
        <w:widowControl w:val="0"/>
        <w:autoSpaceDE w:val="0"/>
        <w:autoSpaceDN w:val="0"/>
        <w:spacing w:line="1301" w:lineRule="exact"/>
        <w:rPr>
          <w:rFonts w:hAnsi="Calibri"/>
          <w:color w:val="000000"/>
          <w:sz w:val="130"/>
          <w:szCs w:val="22"/>
          <w:lang w:val="en-US" w:eastAsia="en-US" w:bidi="ar-SA"/>
        </w:rPr>
      </w:pPr>
      <w:r>
        <w:rPr>
          <w:rFonts w:ascii="宋体" w:hAnsi="宋体" w:cs="宋体"/>
          <w:color w:val="FFFFFF"/>
          <w:sz w:val="130"/>
          <w:szCs w:val="22"/>
          <w:lang w:val="en-US" w:eastAsia="en-US" w:bidi="ar-SA"/>
        </w:rPr>
        <w:t>审</w:t>
      </w:r>
      <w:r>
        <w:rPr>
          <w:rFonts w:hAnsi="Calibri"/>
          <w:color w:val="FFFFFF"/>
          <w:spacing w:val="-120"/>
          <w:sz w:val="130"/>
          <w:szCs w:val="22"/>
          <w:lang w:val="en-US" w:eastAsia="en-US" w:bidi="ar-SA"/>
        </w:rPr>
        <w:t xml:space="preserve"> </w:t>
      </w:r>
      <w:r>
        <w:rPr>
          <w:rFonts w:ascii="宋体" w:hAnsi="宋体" w:cs="宋体"/>
          <w:color w:val="FFFFFF"/>
          <w:sz w:val="130"/>
          <w:szCs w:val="22"/>
          <w:lang w:val="en-US" w:eastAsia="en-US" w:bidi="ar-SA"/>
        </w:rPr>
        <w:t>计</w:t>
      </w:r>
      <w:r>
        <w:rPr>
          <w:rFonts w:hAnsi="Calibri"/>
          <w:color w:val="FFFFFF"/>
          <w:spacing w:val="-120"/>
          <w:sz w:val="130"/>
          <w:szCs w:val="22"/>
          <w:lang w:val="en-US" w:eastAsia="en-US" w:bidi="ar-SA"/>
        </w:rPr>
        <w:t xml:space="preserve"> </w:t>
      </w:r>
      <w:r>
        <w:rPr>
          <w:rFonts w:ascii="宋体" w:hAnsi="宋体" w:cs="宋体"/>
          <w:color w:val="FFFFFF"/>
          <w:sz w:val="130"/>
          <w:szCs w:val="22"/>
          <w:lang w:val="en-US" w:eastAsia="en-US" w:bidi="ar-SA"/>
        </w:rPr>
        <w:t>结</w:t>
      </w:r>
      <w:r>
        <w:rPr>
          <w:rFonts w:hAnsi="Calibri"/>
          <w:color w:val="FFFFFF"/>
          <w:spacing w:val="-120"/>
          <w:sz w:val="130"/>
          <w:szCs w:val="22"/>
          <w:lang w:val="en-US" w:eastAsia="en-US" w:bidi="ar-SA"/>
        </w:rPr>
        <w:t xml:space="preserve"> </w:t>
      </w:r>
      <w:r>
        <w:rPr>
          <w:rFonts w:ascii="宋体" w:hAnsi="宋体" w:cs="宋体"/>
          <w:color w:val="FFFFFF"/>
          <w:sz w:val="130"/>
          <w:szCs w:val="22"/>
          <w:lang w:val="en-US" w:eastAsia="en-US" w:bidi="ar-SA"/>
        </w:rPr>
        <w:t>果</w:t>
      </w:r>
      <w:r>
        <w:rPr>
          <w:rFonts w:hAnsi="Calibri"/>
          <w:color w:val="FFFFFF"/>
          <w:spacing w:val="-120"/>
          <w:sz w:val="130"/>
          <w:szCs w:val="22"/>
          <w:lang w:val="en-US" w:eastAsia="en-US" w:bidi="ar-SA"/>
        </w:rPr>
        <w:t xml:space="preserve"> </w:t>
      </w:r>
      <w:r>
        <w:rPr>
          <w:rFonts w:ascii="宋体" w:hAnsi="宋体" w:cs="宋体"/>
          <w:color w:val="FFFFFF"/>
          <w:sz w:val="130"/>
          <w:szCs w:val="22"/>
          <w:lang w:val="en-US" w:eastAsia="en-US" w:bidi="ar-SA"/>
        </w:rPr>
        <w:t>公</w:t>
      </w:r>
      <w:r>
        <w:rPr>
          <w:rFonts w:hAnsi="Calibri"/>
          <w:color w:val="FFFFFF"/>
          <w:spacing w:val="-118"/>
          <w:sz w:val="130"/>
          <w:szCs w:val="22"/>
          <w:lang w:val="en-US" w:eastAsia="en-US" w:bidi="ar-SA"/>
        </w:rPr>
        <w:t xml:space="preserve"> </w:t>
      </w:r>
      <w:r>
        <w:rPr>
          <w:rFonts w:ascii="宋体" w:hAnsi="宋体" w:cs="宋体"/>
          <w:color w:val="FFFFFF"/>
          <w:sz w:val="130"/>
          <w:szCs w:val="22"/>
          <w:lang w:val="en-US" w:eastAsia="en-US" w:bidi="ar-SA"/>
        </w:rPr>
        <w:t>告</w:t>
      </w:r>
    </w:p>
    <w:p>
      <w:pPr>
        <w:framePr w:w="2249" w:wrap="auto" w:vAnchor="margin" w:hAnchor="text" w:x="4951" w:y="9249"/>
        <w:widowControl w:val="0"/>
        <w:autoSpaceDE w:val="0"/>
        <w:autoSpaceDN w:val="0"/>
        <w:spacing w:line="319" w:lineRule="exact"/>
        <w:rPr>
          <w:rFonts w:hAnsi="Calibri"/>
          <w:color w:val="000000"/>
          <w:sz w:val="32"/>
          <w:szCs w:val="22"/>
          <w:lang w:val="en-US" w:eastAsia="en-US" w:bidi="ar-SA"/>
        </w:rPr>
      </w:pPr>
      <w:r>
        <w:rPr>
          <w:rFonts w:ascii="黑体" w:hAnsi="Calibri"/>
          <w:color w:val="000000"/>
          <w:spacing w:val="2"/>
          <w:sz w:val="32"/>
          <w:szCs w:val="22"/>
          <w:lang w:val="en-US" w:eastAsia="en-US" w:bidi="ar-SA"/>
        </w:rPr>
        <w:t>202</w:t>
      </w:r>
      <w:r>
        <w:rPr>
          <w:rFonts w:hint="eastAsia" w:ascii="黑体" w:hAnsi="Calibri" w:eastAsia="宋体"/>
          <w:color w:val="000000"/>
          <w:spacing w:val="2"/>
          <w:sz w:val="32"/>
          <w:szCs w:val="22"/>
          <w:lang w:val="en-US" w:eastAsia="zh-CN" w:bidi="ar-SA"/>
        </w:rPr>
        <w:t>3</w:t>
      </w:r>
      <w:r>
        <w:rPr>
          <w:rFonts w:hAnsi="Calibri"/>
          <w:color w:val="000000"/>
          <w:spacing w:val="-2"/>
          <w:sz w:val="32"/>
          <w:szCs w:val="22"/>
          <w:lang w:val="en-US" w:eastAsia="en-US" w:bidi="ar-SA"/>
        </w:rPr>
        <w:t xml:space="preserve"> </w:t>
      </w:r>
      <w:r>
        <w:rPr>
          <w:rFonts w:ascii="黑体" w:hAnsi="黑体" w:cs="黑体"/>
          <w:color w:val="000000"/>
          <w:spacing w:val="2"/>
          <w:sz w:val="32"/>
          <w:szCs w:val="22"/>
          <w:lang w:val="en-US" w:eastAsia="en-US" w:bidi="ar-SA"/>
        </w:rPr>
        <w:t>年第</w:t>
      </w:r>
      <w:r>
        <w:rPr>
          <w:rFonts w:hint="eastAsia" w:ascii="黑体" w:hAnsi="黑体" w:eastAsia="宋体" w:cs="黑体"/>
          <w:color w:val="000000"/>
          <w:spacing w:val="2"/>
          <w:sz w:val="32"/>
          <w:szCs w:val="22"/>
          <w:lang w:val="en-US" w:eastAsia="zh-CN" w:bidi="ar-SA"/>
        </w:rPr>
        <w:t xml:space="preserve"> </w:t>
      </w:r>
      <w:r>
        <w:rPr>
          <w:rFonts w:hint="eastAsia" w:hAnsi="Calibri" w:eastAsia="宋体"/>
          <w:color w:val="000000"/>
          <w:spacing w:val="-1"/>
          <w:sz w:val="32"/>
          <w:szCs w:val="22"/>
          <w:lang w:val="en-US" w:eastAsia="zh-CN" w:bidi="ar-SA"/>
        </w:rPr>
        <w:t xml:space="preserve">2 </w:t>
      </w:r>
      <w:r>
        <w:rPr>
          <w:rFonts w:ascii="黑体" w:hAnsi="黑体" w:cs="黑体"/>
          <w:color w:val="000000"/>
          <w:sz w:val="32"/>
          <w:szCs w:val="22"/>
          <w:lang w:val="en-US" w:eastAsia="en-US" w:bidi="ar-SA"/>
        </w:rPr>
        <w:t>号</w:t>
      </w:r>
    </w:p>
    <w:p>
      <w:pPr>
        <w:framePr w:w="5378" w:wrap="auto" w:vAnchor="margin" w:hAnchor="text" w:x="3384" w:y="13845"/>
        <w:widowControl w:val="0"/>
        <w:autoSpaceDE w:val="0"/>
        <w:autoSpaceDN w:val="0"/>
        <w:spacing w:line="319" w:lineRule="exact"/>
        <w:ind w:firstLine="644" w:firstLineChars="200"/>
        <w:jc w:val="both"/>
        <w:rPr>
          <w:rFonts w:hAnsi="Calibri"/>
          <w:color w:val="000000"/>
          <w:sz w:val="32"/>
          <w:szCs w:val="22"/>
          <w:lang w:val="en-US" w:eastAsia="en-US" w:bidi="ar-SA"/>
        </w:rPr>
      </w:pPr>
      <w:r>
        <w:rPr>
          <w:rFonts w:hint="eastAsia" w:ascii="宋体" w:hAnsi="宋体" w:eastAsia="宋体" w:cs="宋体"/>
          <w:color w:val="000000"/>
          <w:spacing w:val="1"/>
          <w:sz w:val="32"/>
          <w:szCs w:val="22"/>
          <w:lang w:val="en-US" w:eastAsia="zh-CN" w:bidi="ar-SA"/>
        </w:rPr>
        <w:t>融水苗族自治县</w:t>
      </w:r>
      <w:r>
        <w:rPr>
          <w:rFonts w:ascii="宋体" w:hAnsi="宋体" w:cs="宋体"/>
          <w:color w:val="000000"/>
          <w:spacing w:val="1"/>
          <w:sz w:val="32"/>
          <w:szCs w:val="22"/>
          <w:lang w:val="en-US" w:eastAsia="en-US" w:bidi="ar-SA"/>
        </w:rPr>
        <w:t>审计局办公室</w:t>
      </w:r>
    </w:p>
    <w:p>
      <w:pPr>
        <w:spacing w:line="0" w:lineRule="atLeast"/>
        <w:rPr>
          <w:rFonts w:ascii="Arial" w:hAnsi="Calibri"/>
          <w:color w:val="FF0000"/>
          <w:sz w:val="2"/>
          <w:szCs w:val="22"/>
          <w:lang w:val="en-US" w:eastAsia="en-US" w:bidi="ar-SA"/>
        </w:rPr>
        <w:sectPr>
          <w:pgSz w:w="11900" w:h="16820"/>
          <w:pgMar w:top="0" w:right="0" w:bottom="0" w:left="0" w:header="720" w:footer="720" w:gutter="0"/>
          <w:pgNumType w:start="1"/>
          <w:cols w:space="720" w:num="1"/>
          <w:docGrid w:linePitch="1" w:charSpace="0"/>
        </w:sectPr>
      </w:pPr>
      <w:r>
        <w:drawing>
          <wp:anchor distT="0" distB="0" distL="114300" distR="114300" simplePos="0" relativeHeight="251666432" behindDoc="1" locked="0" layoutInCell="1" allowOverlap="1">
            <wp:simplePos x="0" y="0"/>
            <wp:positionH relativeFrom="page">
              <wp:posOffset>-12700</wp:posOffset>
            </wp:positionH>
            <wp:positionV relativeFrom="page">
              <wp:posOffset>1424940</wp:posOffset>
            </wp:positionV>
            <wp:extent cx="7581900" cy="2192655"/>
            <wp:effectExtent l="0" t="0" r="0" b="17145"/>
            <wp:wrapNone/>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4"/>
                    <a:stretch>
                      <a:fillRect/>
                    </a:stretch>
                  </pic:blipFill>
                  <pic:spPr>
                    <a:xfrm>
                      <a:off x="0" y="0"/>
                      <a:ext cx="7581900" cy="2192655"/>
                    </a:xfrm>
                    <a:prstGeom prst="rect">
                      <a:avLst/>
                    </a:prstGeom>
                    <a:noFill/>
                    <a:ln>
                      <a:noFill/>
                    </a:ln>
                  </pic:spPr>
                </pic:pic>
              </a:graphicData>
            </a:graphic>
          </wp:anchor>
        </w:drawing>
      </w:r>
      <w:r>
        <w:drawing>
          <wp:anchor distT="0" distB="0" distL="114300" distR="114300" simplePos="0" relativeHeight="251665408" behindDoc="1" locked="0" layoutInCell="1" allowOverlap="1">
            <wp:simplePos x="0" y="0"/>
            <wp:positionH relativeFrom="page">
              <wp:posOffset>-12700</wp:posOffset>
            </wp:positionH>
            <wp:positionV relativeFrom="page">
              <wp:posOffset>8635365</wp:posOffset>
            </wp:positionV>
            <wp:extent cx="7581900" cy="513080"/>
            <wp:effectExtent l="0" t="0" r="0" b="1270"/>
            <wp:wrapNone/>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5"/>
                    <a:stretch>
                      <a:fillRect/>
                    </a:stretch>
                  </pic:blipFill>
                  <pic:spPr>
                    <a:xfrm>
                      <a:off x="0" y="0"/>
                      <a:ext cx="7581900" cy="513080"/>
                    </a:xfrm>
                    <a:prstGeom prst="rect">
                      <a:avLst/>
                    </a:prstGeom>
                    <a:noFill/>
                    <a:ln>
                      <a:noFill/>
                    </a:ln>
                  </pic:spPr>
                </pic:pic>
              </a:graphicData>
            </a:graphic>
          </wp:anchor>
        </w:drawing>
      </w:r>
      <w:r>
        <w:drawing>
          <wp:anchor distT="0" distB="0" distL="114300" distR="114300" simplePos="0" relativeHeight="251663360" behindDoc="1" locked="0" layoutInCell="1" allowOverlap="1">
            <wp:simplePos x="0" y="0"/>
            <wp:positionH relativeFrom="page">
              <wp:posOffset>-12700</wp:posOffset>
            </wp:positionH>
            <wp:positionV relativeFrom="page">
              <wp:posOffset>3647440</wp:posOffset>
            </wp:positionV>
            <wp:extent cx="7581900" cy="1785620"/>
            <wp:effectExtent l="0" t="0" r="0" b="5080"/>
            <wp:wrapNone/>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6"/>
                    <a:stretch>
                      <a:fillRect/>
                    </a:stretch>
                  </pic:blipFill>
                  <pic:spPr>
                    <a:xfrm>
                      <a:off x="0" y="0"/>
                      <a:ext cx="7581900" cy="1785620"/>
                    </a:xfrm>
                    <a:prstGeom prst="rect">
                      <a:avLst/>
                    </a:prstGeom>
                    <a:noFill/>
                    <a:ln>
                      <a:noFill/>
                    </a:ln>
                  </pic:spPr>
                </pic:pic>
              </a:graphicData>
            </a:graphic>
          </wp:anchor>
        </w:drawing>
      </w:r>
      <w:r>
        <w:drawing>
          <wp:anchor distT="0" distB="0" distL="114300" distR="114300" simplePos="0" relativeHeight="251661312" behindDoc="1" locked="0" layoutInCell="1" allowOverlap="1">
            <wp:simplePos x="0" y="0"/>
            <wp:positionH relativeFrom="page">
              <wp:posOffset>-9525</wp:posOffset>
            </wp:positionH>
            <wp:positionV relativeFrom="page">
              <wp:posOffset>5718175</wp:posOffset>
            </wp:positionV>
            <wp:extent cx="7581900" cy="513080"/>
            <wp:effectExtent l="0" t="0" r="0" b="1270"/>
            <wp:wrapNone/>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5"/>
                    <a:stretch>
                      <a:fillRect/>
                    </a:stretch>
                  </pic:blipFill>
                  <pic:spPr>
                    <a:xfrm>
                      <a:off x="0" y="0"/>
                      <a:ext cx="7581900" cy="513080"/>
                    </a:xfrm>
                    <a:prstGeom prst="rect">
                      <a:avLst/>
                    </a:prstGeom>
                    <a:noFill/>
                    <a:ln>
                      <a:noFill/>
                    </a:ln>
                  </pic:spPr>
                </pic:pic>
              </a:graphicData>
            </a:graphic>
          </wp:anchor>
        </w:drawing>
      </w:r>
      <w:r>
        <w:drawing>
          <wp:anchor distT="0" distB="0" distL="114300" distR="114300" simplePos="0" relativeHeight="251659264" behindDoc="1" locked="0" layoutInCell="1" allowOverlap="1">
            <wp:simplePos x="0" y="0"/>
            <wp:positionH relativeFrom="page">
              <wp:posOffset>5762625</wp:posOffset>
            </wp:positionH>
            <wp:positionV relativeFrom="page">
              <wp:posOffset>9742170</wp:posOffset>
            </wp:positionV>
            <wp:extent cx="1123950" cy="295275"/>
            <wp:effectExtent l="0" t="0" r="0" b="9525"/>
            <wp:wrapNone/>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7"/>
                    <a:stretch>
                      <a:fillRect/>
                    </a:stretch>
                  </pic:blipFill>
                  <pic:spPr>
                    <a:xfrm>
                      <a:off x="0" y="0"/>
                      <a:ext cx="1123950" cy="295275"/>
                    </a:xfrm>
                    <a:prstGeom prst="rect">
                      <a:avLst/>
                    </a:prstGeom>
                    <a:noFill/>
                    <a:ln>
                      <a:noFill/>
                    </a:ln>
                  </pic:spPr>
                </pic:pic>
              </a:graphicData>
            </a:graphic>
          </wp:anchor>
        </w:drawing>
      </w:r>
    </w:p>
    <w:p>
      <w:pPr>
        <w:spacing w:line="0" w:lineRule="atLeast"/>
        <w:rPr>
          <w:rFonts w:ascii="Arial" w:hAnsiTheme="minorHAnsi" w:eastAsiaTheme="minorEastAsia" w:cstheme="minorBidi"/>
          <w:color w:val="FF0000"/>
          <w:sz w:val="2"/>
          <w:szCs w:val="22"/>
          <w:lang w:val="en-US" w:eastAsia="en-US" w:bidi="ar-SA"/>
        </w:rPr>
      </w:pPr>
      <w:bookmarkStart w:id="1" w:name="br1_0"/>
      <w:bookmarkEnd w:id="1"/>
      <w:r>
        <w:rPr>
          <w:rFonts w:ascii="Arial" w:hAnsiTheme="minorHAnsi" w:eastAsiaTheme="minorEastAsia" w:cstheme="minorBidi"/>
          <w:color w:val="FF0000"/>
          <w:sz w:val="2"/>
          <w:szCs w:val="22"/>
          <w:lang w:val="en-US" w:eastAsia="en-US" w:bidi="ar-SA"/>
        </w:rPr>
        <w:t xml:space="preserve"> </w:t>
      </w:r>
    </w:p>
    <w:p>
      <w:pPr>
        <w:framePr w:w="1222" w:wrap="auto" w:vAnchor="margin" w:hAnchor="text" w:x="9451" w:y="15505"/>
        <w:widowControl w:val="0"/>
        <w:autoSpaceDE w:val="0"/>
        <w:autoSpaceDN w:val="0"/>
        <w:spacing w:line="281" w:lineRule="exact"/>
        <w:rPr>
          <w:rFonts w:hAnsiTheme="minorHAnsi" w:eastAsiaTheme="minorEastAsia" w:cstheme="minorBidi"/>
          <w:color w:val="000000"/>
          <w:sz w:val="28"/>
          <w:szCs w:val="22"/>
          <w:lang w:val="en-US" w:eastAsia="en-US" w:bidi="ar-SA"/>
        </w:rPr>
      </w:pPr>
      <w:r>
        <w:rPr>
          <w:rFonts w:ascii="宋体" w:hAnsi="宋体" w:cs="宋体" w:eastAsiaTheme="minorEastAsia"/>
          <w:color w:val="000000"/>
          <w:sz w:val="28"/>
          <w:szCs w:val="22"/>
          <w:lang w:val="en-US" w:eastAsia="en-US" w:bidi="ar-SA"/>
        </w:rPr>
        <w:t>—</w:t>
      </w:r>
      <w:r>
        <w:rPr>
          <w:rFonts w:hAnsiTheme="minorHAnsi" w:eastAsiaTheme="minorEastAsia" w:cstheme="minorBidi"/>
          <w:color w:val="000000"/>
          <w:spacing w:val="70"/>
          <w:sz w:val="28"/>
          <w:szCs w:val="22"/>
          <w:lang w:val="en-US" w:eastAsia="en-US" w:bidi="ar-SA"/>
        </w:rPr>
        <w:t xml:space="preserve"> </w:t>
      </w:r>
      <w:r>
        <w:rPr>
          <w:rFonts w:ascii="宋体" w:hAnsiTheme="minorHAnsi" w:eastAsiaTheme="minorEastAsia" w:cstheme="minorBidi"/>
          <w:color w:val="000000"/>
          <w:sz w:val="28"/>
          <w:szCs w:val="22"/>
          <w:lang w:val="en-US" w:eastAsia="en-US" w:bidi="ar-SA"/>
        </w:rPr>
        <w:t>4</w:t>
      </w:r>
      <w:r>
        <w:rPr>
          <w:rFonts w:hAnsiTheme="minorHAnsi" w:eastAsiaTheme="minorEastAsia" w:cstheme="minorBidi"/>
          <w:color w:val="000000"/>
          <w:spacing w:val="71"/>
          <w:sz w:val="28"/>
          <w:szCs w:val="22"/>
          <w:lang w:val="en-US" w:eastAsia="en-US" w:bidi="ar-SA"/>
        </w:rPr>
        <w:t xml:space="preserve"> </w:t>
      </w:r>
      <w:r>
        <w:rPr>
          <w:rFonts w:ascii="宋体" w:hAnsi="宋体" w:cs="宋体" w:eastAsiaTheme="minorEastAsia"/>
          <w:color w:val="000000"/>
          <w:sz w:val="28"/>
          <w:szCs w:val="22"/>
          <w:lang w:val="en-US" w:eastAsia="en-US" w:bidi="ar-SA"/>
        </w:rPr>
        <w:t>—</w:t>
      </w:r>
    </w:p>
    <w:p>
      <w:pPr>
        <w:spacing w:line="0" w:lineRule="atLeast"/>
        <w:rPr>
          <w:rFonts w:ascii="Arial" w:hAnsiTheme="minorHAnsi" w:eastAsiaTheme="minorEastAsia" w:cstheme="minorBidi"/>
          <w:color w:val="FF0000"/>
          <w:sz w:val="2"/>
          <w:szCs w:val="22"/>
          <w:lang w:val="en-US" w:eastAsia="en-US" w:bidi="ar-SA"/>
        </w:rPr>
      </w:pPr>
    </w:p>
    <w:p>
      <w:pPr>
        <w:spacing w:line="0" w:lineRule="atLeast"/>
        <w:rPr>
          <w:rFonts w:ascii="Arial" w:hAnsiTheme="minorHAnsi" w:eastAsiaTheme="minorEastAsia" w:cstheme="minorBidi"/>
          <w:color w:val="FF0000"/>
          <w:sz w:val="2"/>
          <w:szCs w:val="22"/>
          <w:lang w:val="en-US" w:eastAsia="en-US" w:bidi="ar-SA"/>
        </w:rPr>
      </w:pPr>
    </w:p>
    <w:p>
      <w:pPr>
        <w:spacing w:line="0" w:lineRule="atLeast"/>
        <w:rPr>
          <w:rFonts w:ascii="Arial" w:hAnsiTheme="minorHAnsi" w:eastAsiaTheme="minorEastAsia" w:cstheme="minorBidi"/>
          <w:color w:val="FF0000"/>
          <w:sz w:val="2"/>
          <w:szCs w:val="22"/>
          <w:lang w:val="en-US" w:eastAsia="en-US" w:bidi="ar-SA"/>
        </w:rPr>
      </w:pPr>
    </w:p>
    <w:p>
      <w:pPr>
        <w:bidi w:val="0"/>
        <w:jc w:val="center"/>
        <w:rPr>
          <w:rFonts w:hint="eastAsia" w:ascii="楷体" w:hAnsi="楷体" w:eastAsia="楷体" w:cs="楷体"/>
          <w:b w:val="0"/>
          <w:bCs w:val="0"/>
          <w:sz w:val="28"/>
          <w:szCs w:val="28"/>
          <w:lang w:val="en-US" w:eastAsia="zh-CN" w:bidi="ar-SA"/>
        </w:rPr>
      </w:pPr>
      <w:bookmarkStart w:id="3" w:name="_GoBack"/>
      <w:r>
        <w:rPr>
          <w:rFonts w:hint="eastAsia" w:ascii="方正小标宋简体" w:hAnsi="方正小标宋简体" w:eastAsia="方正小标宋简体" w:cs="方正小标宋简体"/>
          <w:sz w:val="44"/>
          <w:szCs w:val="44"/>
          <w:lang w:val="en-US" w:eastAsia="zh-CN"/>
        </w:rPr>
        <w:t>融水县基础教育工程结算情况专项审计调查</w:t>
      </w:r>
      <w:bookmarkEnd w:id="3"/>
      <w:r>
        <w:rPr>
          <w:rFonts w:hint="eastAsia" w:ascii="楷体" w:hAnsi="楷体" w:eastAsia="楷体" w:cs="楷体"/>
          <w:b w:val="0"/>
          <w:bCs w:val="0"/>
          <w:sz w:val="28"/>
          <w:szCs w:val="28"/>
          <w:lang w:val="en-US" w:eastAsia="zh-CN" w:bidi="ar-SA"/>
        </w:rPr>
        <w:t>（2023年5月18日公告）</w:t>
      </w:r>
    </w:p>
    <w:p>
      <w:pPr>
        <w:bidi w:val="0"/>
        <w:jc w:val="center"/>
        <w:rPr>
          <w:rFonts w:ascii="仿宋_GB2312" w:hAnsi="宋体" w:eastAsia="仿宋_GB2312"/>
          <w:color w:val="0C0C0C"/>
          <w:sz w:val="32"/>
          <w:szCs w:val="32"/>
        </w:rPr>
      </w:pPr>
      <w:r>
        <w:rPr>
          <w:rFonts w:hint="eastAsia" w:ascii="仿宋_GB2312" w:hAnsi="宋体" w:eastAsia="仿宋_GB2312" w:cs="宋体"/>
          <w:color w:val="0C0C0C"/>
          <w:sz w:val="32"/>
          <w:szCs w:val="32"/>
        </w:rPr>
        <w:t xml:space="preserve">                                              </w:t>
      </w:r>
      <w:r>
        <w:rPr>
          <w:rFonts w:hint="eastAsia" w:ascii="仿宋_GB2312" w:eastAsia="仿宋_GB2312"/>
          <w:color w:val="0C0C0C"/>
          <w:sz w:val="32"/>
          <w:szCs w:val="32"/>
        </w:rPr>
        <w:t xml:space="preserve">                              </w:t>
      </w:r>
    </w:p>
    <w:p>
      <w:pPr>
        <w:keepNext w:val="0"/>
        <w:keepLines w:val="0"/>
        <w:pageBreakBefore w:val="0"/>
        <w:kinsoku/>
        <w:wordWrap/>
        <w:overflowPunct/>
        <w:topLinePunct w:val="0"/>
        <w:autoSpaceDE/>
        <w:autoSpaceDN/>
        <w:bidi w:val="0"/>
        <w:adjustRightInd w:val="0"/>
        <w:snapToGrid w:val="0"/>
        <w:spacing w:beforeAutospacing="0" w:afterAutospacing="0" w:line="500" w:lineRule="exact"/>
        <w:textAlignment w:val="baseline"/>
        <w:rPr>
          <w:rFonts w:hint="eastAsia" w:ascii="仿宋" w:hAnsi="仿宋" w:eastAsia="仿宋" w:cs="仿宋"/>
          <w:kern w:val="0"/>
          <w:sz w:val="32"/>
          <w:szCs w:val="32"/>
          <w:lang w:val="en-US" w:eastAsia="zh-CN" w:bidi="ar-SA"/>
        </w:rPr>
      </w:pPr>
      <w:r>
        <w:rPr>
          <w:rFonts w:hint="eastAsia" w:ascii="仿宋_GB2312"/>
          <w:lang w:val="en-US" w:eastAsia="zh-CN"/>
        </w:rPr>
        <w:t xml:space="preserve">  </w:t>
      </w:r>
      <w:r>
        <w:rPr>
          <w:rFonts w:hint="eastAsia" w:ascii="仿宋" w:hAnsi="仿宋" w:eastAsia="仿宋" w:cs="仿宋"/>
          <w:kern w:val="0"/>
          <w:sz w:val="32"/>
          <w:szCs w:val="32"/>
          <w:lang w:val="en-US" w:eastAsia="zh-CN" w:bidi="ar-SA"/>
        </w:rPr>
        <w:t xml:space="preserve">  根据《中华人民共和国审计法》第二十八条的规定，融水苗族自治县审计局派出审计组，自2022年9月14日至2023年3月20日，对融水苗族自治县教育局（以下简称自治县教育局）组织实施的基础教育工程结算情况进行了专项审计调查，对政府相关部门出台的结算政策执行、建设单位结算审核组织管理机制、结算审核工作现状及人员情况、项目结算审核质量方面、国家重大政策落实及项目资金管理情况方面等方面，对重要事项进行了必要的延伸和追溯。自治县教育局及有关单位对其提供的财务会计资料以及其他相关资料的真实性和完整性负责。融水苗族自治县审计局的责任是依法独立实施专项审计调查并出具专项审计调查报告。</w:t>
      </w:r>
    </w:p>
    <w:p>
      <w:pPr>
        <w:keepNext w:val="0"/>
        <w:keepLines w:val="0"/>
        <w:pageBreakBefore w:val="0"/>
        <w:kinsoku/>
        <w:wordWrap/>
        <w:overflowPunct/>
        <w:topLinePunct w:val="0"/>
        <w:autoSpaceDE/>
        <w:autoSpaceDN/>
        <w:bidi w:val="0"/>
        <w:adjustRightInd w:val="0"/>
        <w:snapToGrid w:val="0"/>
        <w:spacing w:beforeAutospacing="0" w:afterAutospacing="0" w:line="500" w:lineRule="exact"/>
        <w:ind w:left="0" w:firstLine="640"/>
        <w:textAlignment w:val="baseline"/>
        <w:rPr>
          <w:rFonts w:hint="eastAsia" w:ascii="黑体" w:hAnsi="黑体" w:eastAsia="黑体" w:cs="黑体"/>
          <w:sz w:val="32"/>
          <w:szCs w:val="32"/>
        </w:rPr>
      </w:pPr>
      <w:r>
        <w:rPr>
          <w:rFonts w:hint="eastAsia" w:ascii="黑体" w:hAnsi="黑体" w:eastAsia="黑体" w:cs="黑体"/>
          <w:sz w:val="32"/>
          <w:szCs w:val="32"/>
        </w:rPr>
        <w:t>一、被调查事项的基本情况</w:t>
      </w:r>
    </w:p>
    <w:p>
      <w:pPr>
        <w:pStyle w:val="3"/>
        <w:keepNext w:val="0"/>
        <w:keepLines w:val="0"/>
        <w:pageBreakBefore w:val="0"/>
        <w:widowControl/>
        <w:suppressLineNumbers w:val="0"/>
        <w:kinsoku/>
        <w:wordWrap/>
        <w:overflowPunct/>
        <w:topLinePunct w:val="0"/>
        <w:autoSpaceDE/>
        <w:autoSpaceDN/>
        <w:bidi w:val="0"/>
        <w:adjustRightInd w:val="0"/>
        <w:spacing w:beforeAutospacing="0" w:afterAutospacing="0" w:line="500" w:lineRule="exact"/>
        <w:ind w:left="0" w:right="0" w:firstLine="640" w:firstLineChars="200"/>
        <w:textAlignment w:val="baseline"/>
        <w:rPr>
          <w:rFonts w:hint="eastAsia" w:ascii="仿宋" w:hAnsi="仿宋" w:eastAsia="仿宋" w:cs="仿宋"/>
          <w:sz w:val="32"/>
          <w:szCs w:val="32"/>
          <w:lang w:val="en-US" w:eastAsia="zh-CN" w:bidi="ar-SA"/>
        </w:rPr>
      </w:pPr>
      <w:r>
        <w:rPr>
          <w:rFonts w:hint="eastAsia" w:ascii="仿宋" w:hAnsi="仿宋" w:eastAsia="仿宋" w:cs="仿宋"/>
          <w:sz w:val="32"/>
          <w:szCs w:val="32"/>
          <w:lang w:val="en-US" w:eastAsia="zh-CN" w:bidi="ar-SA"/>
        </w:rPr>
        <w:t>自治县教育局负责全县学校基本建设项目的规划、实施和投资；指导全县教育系统校舍建设和改善办学条件的工作；指导各类学校校舍建设、校园管理工作，做好重点建设项目的全程管理工作，具体事务由基建股负责。其中，项目结算审核环节的工作交由县财政评审中心或委托第三方造价咨询机构审核。自治县教育局基建股目前共有6人，1名股长，2名副股长，3名工作人员。</w:t>
      </w:r>
    </w:p>
    <w:p>
      <w:pPr>
        <w:pStyle w:val="3"/>
        <w:keepNext w:val="0"/>
        <w:keepLines w:val="0"/>
        <w:pageBreakBefore w:val="0"/>
        <w:widowControl/>
        <w:suppressLineNumbers w:val="0"/>
        <w:kinsoku/>
        <w:wordWrap/>
        <w:overflowPunct/>
        <w:topLinePunct w:val="0"/>
        <w:autoSpaceDE/>
        <w:autoSpaceDN/>
        <w:bidi w:val="0"/>
        <w:adjustRightInd w:val="0"/>
        <w:spacing w:beforeAutospacing="0" w:afterAutospacing="0" w:line="500" w:lineRule="exact"/>
        <w:ind w:left="0" w:right="0"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bidi="ar-SA"/>
        </w:rPr>
        <w:t>2017年8月以来，自治县教育局</w:t>
      </w:r>
      <w:r>
        <w:rPr>
          <w:rFonts w:hint="eastAsia" w:ascii="仿宋" w:hAnsi="仿宋" w:eastAsia="仿宋" w:cs="仿宋"/>
          <w:sz w:val="32"/>
          <w:szCs w:val="32"/>
          <w:lang w:val="en-US" w:eastAsia="zh-CN"/>
        </w:rPr>
        <w:t>实施基础教育建设项目共计281个</w:t>
      </w:r>
      <w:r>
        <w:rPr>
          <w:rFonts w:hint="eastAsia" w:ascii="仿宋" w:hAnsi="仿宋" w:eastAsia="仿宋" w:cs="仿宋"/>
          <w:sz w:val="32"/>
          <w:szCs w:val="32"/>
          <w:lang w:val="en-US" w:eastAsia="zh-CN" w:bidi="ar-SA"/>
        </w:rPr>
        <w:t>，</w:t>
      </w:r>
      <w:r>
        <w:rPr>
          <w:rFonts w:hint="eastAsia" w:ascii="仿宋" w:hAnsi="仿宋" w:eastAsia="仿宋" w:cs="仿宋"/>
          <w:sz w:val="32"/>
          <w:szCs w:val="32"/>
          <w:lang w:val="en-US" w:eastAsia="zh-CN"/>
        </w:rPr>
        <w:t>涉及合同金额33,093.98万元。2017年至2022年8月，自治县教育局建设项目完成结算审计共计153项，送审总价31,085.93万元，审定总价28,366.27万元，核减总金额2,719.67万元。</w:t>
      </w:r>
    </w:p>
    <w:p>
      <w:pPr>
        <w:pStyle w:val="3"/>
        <w:keepNext w:val="0"/>
        <w:keepLines w:val="0"/>
        <w:pageBreakBefore w:val="0"/>
        <w:widowControl/>
        <w:suppressLineNumbers w:val="0"/>
        <w:kinsoku/>
        <w:wordWrap/>
        <w:overflowPunct/>
        <w:topLinePunct w:val="0"/>
        <w:autoSpaceDE/>
        <w:autoSpaceDN/>
        <w:bidi w:val="0"/>
        <w:adjustRightInd w:val="0"/>
        <w:spacing w:beforeAutospacing="0" w:afterAutospacing="0" w:line="500" w:lineRule="exact"/>
        <w:ind w:left="0" w:right="0" w:firstLine="640" w:firstLineChars="200"/>
        <w:textAlignment w:val="baseline"/>
        <w:rPr>
          <w:rFonts w:hint="eastAsia" w:ascii="仿宋" w:hAnsi="仿宋" w:eastAsia="仿宋" w:cs="仿宋"/>
          <w:sz w:val="32"/>
          <w:szCs w:val="32"/>
          <w:lang w:val="en-US" w:eastAsia="zh-CN" w:bidi="ar-SA"/>
        </w:rPr>
      </w:pPr>
      <w:r>
        <w:rPr>
          <w:rFonts w:hint="eastAsia" w:ascii="仿宋" w:hAnsi="仿宋" w:eastAsia="仿宋" w:cs="仿宋"/>
          <w:sz w:val="32"/>
          <w:szCs w:val="32"/>
          <w:lang w:val="en-US" w:eastAsia="zh-CN"/>
        </w:rPr>
        <w:t>2019年起，根据县人民政府出台的《融水苗族自治县人民政府投资建设项目代建制管理办法（试行）》的通知精神，使用财政性建设资金或政府融资性建设资金200万以上（不含200万元）的政府投资项目原则上实行代建制，县教育局将符合条件的建设项目委托给平台公司代建，实行分阶段代建方式。具体到项目代建公司由县教育局与融水县城市建设投资有限公司、融水县元笙旅游发展有限公司商议确定，每个项目均签订有《建设项目委托代建协议书》。</w:t>
      </w:r>
    </w:p>
    <w:p>
      <w:pPr>
        <w:keepNext w:val="0"/>
        <w:keepLines w:val="0"/>
        <w:pageBreakBefore w:val="0"/>
        <w:kinsoku/>
        <w:wordWrap/>
        <w:overflowPunct/>
        <w:topLinePunct w:val="0"/>
        <w:autoSpaceDE/>
        <w:autoSpaceDN/>
        <w:bidi w:val="0"/>
        <w:adjustRightInd w:val="0"/>
        <w:snapToGrid w:val="0"/>
        <w:spacing w:beforeAutospacing="0" w:afterAutospacing="0" w:line="500" w:lineRule="exact"/>
        <w:ind w:left="0" w:firstLine="630"/>
        <w:textAlignment w:val="baseline"/>
        <w:rPr>
          <w:rFonts w:hint="eastAsia" w:ascii="黑体" w:hAnsi="黑体" w:eastAsia="黑体" w:cs="黑体"/>
          <w:sz w:val="32"/>
          <w:szCs w:val="32"/>
        </w:rPr>
      </w:pPr>
      <w:r>
        <w:rPr>
          <w:rFonts w:hint="eastAsia" w:ascii="黑体" w:hAnsi="黑体" w:eastAsia="黑体" w:cs="黑体"/>
          <w:sz w:val="32"/>
          <w:szCs w:val="32"/>
        </w:rPr>
        <w:t>二、审计调查评价意见</w:t>
      </w:r>
    </w:p>
    <w:p>
      <w:pPr>
        <w:keepNext w:val="0"/>
        <w:keepLines w:val="0"/>
        <w:pageBreakBefore w:val="0"/>
        <w:kinsoku/>
        <w:wordWrap/>
        <w:overflowPunct/>
        <w:topLinePunct w:val="0"/>
        <w:autoSpaceDE/>
        <w:autoSpaceDN/>
        <w:bidi w:val="0"/>
        <w:adjustRightInd w:val="0"/>
        <w:snapToGrid w:val="0"/>
        <w:spacing w:beforeAutospacing="0" w:afterAutospacing="0" w:line="500" w:lineRule="exact"/>
        <w:ind w:left="0" w:firstLine="640" w:firstLineChars="200"/>
        <w:textAlignment w:val="baseline"/>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审计调查结果表明，自治县教育局在县委、县政府的高度重视和领导下，组织实施的教育基础建设项目，能按照建设项目相关规定执行，并出台了《融水苗族自治县教育基建项目管理办法（试行）》、《融水苗族自治县教育系统工程项目建设管理制度》，进一步规范管理行为，使教育项目在实施过程能进一步完善和强化，促进了我县教育事业发展。但审计调查也发现，建设项目结算审核工作中仍存在一些问题。</w:t>
      </w:r>
    </w:p>
    <w:p>
      <w:pPr>
        <w:keepNext w:val="0"/>
        <w:keepLines w:val="0"/>
        <w:pageBreakBefore w:val="0"/>
        <w:kinsoku/>
        <w:wordWrap/>
        <w:overflowPunct/>
        <w:topLinePunct w:val="0"/>
        <w:autoSpaceDE/>
        <w:autoSpaceDN/>
        <w:bidi w:val="0"/>
        <w:adjustRightInd w:val="0"/>
        <w:snapToGrid w:val="0"/>
        <w:spacing w:beforeAutospacing="0" w:afterAutospacing="0" w:line="500" w:lineRule="exact"/>
        <w:ind w:left="0" w:firstLine="630"/>
        <w:textAlignment w:val="baseline"/>
        <w:rPr>
          <w:rFonts w:hint="eastAsia" w:ascii="黑体" w:hAnsi="黑体" w:eastAsia="黑体" w:cs="黑体"/>
          <w:sz w:val="32"/>
          <w:szCs w:val="32"/>
        </w:rPr>
      </w:pPr>
      <w:r>
        <w:rPr>
          <w:rFonts w:hint="eastAsia" w:ascii="黑体" w:hAnsi="黑体" w:eastAsia="黑体" w:cs="黑体"/>
          <w:sz w:val="32"/>
          <w:szCs w:val="32"/>
        </w:rPr>
        <w:t>三、审计调查发现的主要问题</w:t>
      </w:r>
    </w:p>
    <w:p>
      <w:pPr>
        <w:keepNext w:val="0"/>
        <w:keepLines w:val="0"/>
        <w:pageBreakBefore w:val="0"/>
        <w:kinsoku/>
        <w:wordWrap/>
        <w:overflowPunct/>
        <w:topLinePunct w:val="0"/>
        <w:autoSpaceDE/>
        <w:autoSpaceDN/>
        <w:bidi w:val="0"/>
        <w:adjustRightInd w:val="0"/>
        <w:snapToGrid w:val="0"/>
        <w:spacing w:beforeAutospacing="0" w:afterAutospacing="0" w:line="500" w:lineRule="exact"/>
        <w:ind w:left="0" w:firstLine="640" w:firstLineChars="200"/>
        <w:textAlignment w:val="baseline"/>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部分工程项目竣工验收后未及时送审结算。经抽查2017-2022年竣工验收完成项目，发现81个项目存在未及时送审结算，涉及项目合同总金额6344.04万元。项目未送审原因为施工单位未及时整理项目资料形成结算送审材料报送自治县教育局。</w:t>
      </w:r>
    </w:p>
    <w:p>
      <w:pPr>
        <w:keepNext w:val="0"/>
        <w:keepLines w:val="0"/>
        <w:pageBreakBefore w:val="0"/>
        <w:kinsoku/>
        <w:wordWrap/>
        <w:overflowPunct/>
        <w:topLinePunct w:val="0"/>
        <w:autoSpaceDE/>
        <w:autoSpaceDN/>
        <w:bidi w:val="0"/>
        <w:adjustRightInd w:val="0"/>
        <w:snapToGrid w:val="0"/>
        <w:spacing w:beforeAutospacing="0" w:afterAutospacing="0" w:line="500" w:lineRule="exact"/>
        <w:ind w:left="0" w:firstLine="640" w:firstLineChars="200"/>
        <w:textAlignment w:val="baseline"/>
        <w:rPr>
          <w:rFonts w:hint="eastAsia" w:ascii="仿宋" w:hAnsi="仿宋" w:eastAsia="仿宋" w:cs="仿宋"/>
          <w:sz w:val="32"/>
          <w:szCs w:val="22"/>
          <w:lang w:val="en-US" w:eastAsia="zh-CN" w:bidi="ar-SA"/>
        </w:rPr>
      </w:pPr>
      <w:r>
        <w:rPr>
          <w:rFonts w:hint="eastAsia" w:ascii="仿宋" w:hAnsi="仿宋" w:eastAsia="仿宋" w:cs="仿宋"/>
          <w:kern w:val="0"/>
          <w:sz w:val="32"/>
          <w:szCs w:val="32"/>
          <w:lang w:val="en-US" w:eastAsia="zh-CN" w:bidi="ar-SA"/>
        </w:rPr>
        <w:t>上述做法不符合财政部《基本建设财务规则》（中华人民</w:t>
      </w:r>
      <w:r>
        <w:rPr>
          <w:rFonts w:hint="eastAsia" w:ascii="仿宋" w:hAnsi="仿宋" w:eastAsia="仿宋" w:cs="仿宋"/>
          <w:sz w:val="32"/>
          <w:szCs w:val="22"/>
          <w:lang w:val="en-US" w:eastAsia="zh-CN" w:bidi="ar-SA"/>
        </w:rPr>
        <w:t>共和国财政部令第81号）第二十八条“项目建设单位应当严格按照合同约定和工程价款结算程序支付工程款。竣工价款结算一般应当在项目竣工验收后2个月内完成，大型项目一般不得超过3个月。”和《建设工程价款结算暂行办法》(财建〔2004〕369号)第二十一条“工程竣工后，发、承包双方应及时办清工程竣工结算”的规定，自治县教育局应督促施工单位及时整理项目资料递交竣工结算报告及完整的结算资料。</w:t>
      </w:r>
    </w:p>
    <w:p>
      <w:pPr>
        <w:keepNext w:val="0"/>
        <w:keepLines w:val="0"/>
        <w:pageBreakBefore w:val="0"/>
        <w:kinsoku/>
        <w:wordWrap/>
        <w:overflowPunct/>
        <w:topLinePunct w:val="0"/>
        <w:autoSpaceDE/>
        <w:autoSpaceDN/>
        <w:bidi w:val="0"/>
        <w:adjustRightInd w:val="0"/>
        <w:snapToGrid w:val="0"/>
        <w:spacing w:beforeAutospacing="0" w:afterAutospacing="0" w:line="500" w:lineRule="exact"/>
        <w:ind w:left="0" w:firstLine="640"/>
        <w:textAlignment w:val="baseline"/>
        <w:rPr>
          <w:rFonts w:hint="eastAsia" w:ascii="黑体" w:hAnsi="黑体" w:eastAsia="黑体" w:cs="黑体"/>
          <w:sz w:val="32"/>
          <w:szCs w:val="32"/>
        </w:rPr>
      </w:pPr>
      <w:r>
        <w:rPr>
          <w:rFonts w:hint="eastAsia" w:ascii="黑体" w:hAnsi="黑体" w:eastAsia="黑体" w:cs="黑体"/>
          <w:sz w:val="32"/>
          <w:szCs w:val="32"/>
        </w:rPr>
        <w:t>四、审计调查建议</w:t>
      </w:r>
    </w:p>
    <w:p>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firstLine="640"/>
        <w:textAlignment w:val="baseline"/>
        <w:rPr>
          <w:rFonts w:hint="eastAsia" w:ascii="仿宋" w:hAnsi="仿宋" w:eastAsia="仿宋" w:cs="仿宋"/>
          <w:sz w:val="32"/>
          <w:szCs w:val="22"/>
          <w:lang w:val="en-US" w:eastAsia="zh-CN" w:bidi="ar-SA"/>
        </w:rPr>
      </w:pPr>
      <w:r>
        <w:rPr>
          <w:rFonts w:hint="eastAsia" w:ascii="仿宋" w:hAnsi="仿宋" w:eastAsia="仿宋" w:cs="仿宋"/>
          <w:sz w:val="32"/>
          <w:szCs w:val="22"/>
          <w:lang w:val="en-US" w:eastAsia="zh-CN" w:bidi="ar-SA"/>
        </w:rPr>
        <w:t>自治县教育局应加强施工过程管理，督促施工单位及时整理项目资料并编制工程结算报告递交自治县教育局。</w:t>
      </w:r>
    </w:p>
    <w:p>
      <w:pPr>
        <w:keepNext w:val="0"/>
        <w:keepLines w:val="0"/>
        <w:pageBreakBefore w:val="0"/>
        <w:widowControl w:val="0"/>
        <w:kinsoku/>
        <w:wordWrap/>
        <w:overflowPunct/>
        <w:topLinePunct w:val="0"/>
        <w:autoSpaceDE/>
        <w:autoSpaceDN/>
        <w:bidi w:val="0"/>
        <w:adjustRightInd w:val="0"/>
        <w:spacing w:beforeAutospacing="0" w:afterAutospacing="0" w:line="500" w:lineRule="exact"/>
        <w:ind w:left="0"/>
        <w:textAlignment w:val="baseline"/>
        <w:rPr>
          <w:rFonts w:hint="eastAsia" w:ascii="仿宋" w:hAnsi="仿宋" w:eastAsia="仿宋" w:cs="仿宋"/>
          <w:sz w:val="32"/>
          <w:szCs w:val="22"/>
          <w:lang w:val="en-US" w:eastAsia="zh-CN" w:bidi="ar-SA"/>
        </w:rPr>
      </w:pPr>
      <w:r>
        <w:rPr>
          <w:rFonts w:hint="eastAsia" w:ascii="仿宋" w:hAnsi="仿宋" w:eastAsia="仿宋" w:cs="仿宋"/>
          <w:sz w:val="32"/>
          <w:szCs w:val="22"/>
          <w:lang w:val="en-US" w:eastAsia="zh-CN" w:bidi="ar-SA"/>
        </w:rPr>
        <w:t xml:space="preserve">    本报告融水苗族自治县审计局将依法向社会公告。</w:t>
      </w:r>
    </w:p>
    <w:p>
      <w:pPr>
        <w:keepNext w:val="0"/>
        <w:keepLines w:val="0"/>
        <w:pageBreakBefore w:val="0"/>
        <w:widowControl w:val="0"/>
        <w:kinsoku/>
        <w:wordWrap/>
        <w:overflowPunct/>
        <w:topLinePunct w:val="0"/>
        <w:autoSpaceDE/>
        <w:autoSpaceDN/>
        <w:bidi w:val="0"/>
        <w:adjustRightInd w:val="0"/>
        <w:spacing w:beforeAutospacing="0" w:afterAutospacing="0" w:line="500" w:lineRule="exact"/>
        <w:ind w:firstLine="640" w:firstLineChars="200"/>
        <w:textAlignment w:val="baseline"/>
        <w:rPr>
          <w:rFonts w:hint="eastAsia" w:ascii="仿宋_GB2312"/>
        </w:rPr>
      </w:pPr>
      <w:r>
        <w:rPr>
          <w:rFonts w:hint="eastAsia" w:ascii="仿宋" w:hAnsi="仿宋" w:eastAsia="仿宋" w:cs="仿宋"/>
          <w:sz w:val="32"/>
          <w:szCs w:val="22"/>
          <w:lang w:val="en-US" w:eastAsia="zh-CN" w:bidi="ar-SA"/>
        </w:rPr>
        <w:t>对本报告指出的问题，请自治县教育局自收到本报告之日起60日内整改完毕。请自治县教育局在整改期限截止后依法向社会公告整改结果，并将整改结果书面报告融水苗族自治县审计局。融水苗族自治县审计局将对整改结果进行检查，并将检查情况向社会公告。</w:t>
      </w:r>
    </w:p>
    <w:p>
      <w:pPr>
        <w:keepNext w:val="0"/>
        <w:keepLines w:val="0"/>
        <w:pageBreakBefore w:val="0"/>
        <w:kinsoku/>
        <w:wordWrap w:val="0"/>
        <w:overflowPunct/>
        <w:topLinePunct w:val="0"/>
        <w:autoSpaceDE/>
        <w:autoSpaceDN/>
        <w:bidi w:val="0"/>
        <w:adjustRightInd w:val="0"/>
        <w:snapToGrid w:val="0"/>
        <w:spacing w:beforeAutospacing="0" w:afterAutospacing="0" w:line="560" w:lineRule="exact"/>
        <w:jc w:val="right"/>
        <w:textAlignment w:val="baseline"/>
        <w:rPr>
          <w:rFonts w:hint="eastAsia" w:ascii="仿宋_GB2312"/>
          <w:i w:val="0"/>
          <w:iCs/>
          <w:lang w:val="en-US" w:eastAsia="zh-CN"/>
        </w:rPr>
      </w:pPr>
      <w:r>
        <w:rPr>
          <w:rFonts w:hint="eastAsia" w:ascii="仿宋_GB2312"/>
          <w:i w:val="0"/>
          <w:iCs/>
          <w:lang w:val="en-US" w:eastAsia="zh-CN"/>
        </w:rPr>
        <w:t xml:space="preserve">                                  </w:t>
      </w:r>
    </w:p>
    <w:p>
      <w:pPr>
        <w:keepNext w:val="0"/>
        <w:keepLines w:val="0"/>
        <w:pageBreakBefore w:val="0"/>
        <w:widowControl w:val="0"/>
        <w:kinsoku/>
        <w:wordWrap/>
        <w:overflowPunct/>
        <w:topLinePunct w:val="0"/>
        <w:autoSpaceDE/>
        <w:autoSpaceDN/>
        <w:bidi w:val="0"/>
        <w:adjustRightInd w:val="0"/>
        <w:spacing w:beforeAutospacing="0" w:afterAutospacing="0" w:line="560" w:lineRule="exact"/>
        <w:ind w:firstLine="5440" w:firstLineChars="1700"/>
        <w:textAlignment w:val="baseline"/>
        <w:rPr>
          <w:rFonts w:hint="eastAsia" w:ascii="仿宋" w:hAnsi="仿宋" w:eastAsia="仿宋" w:cs="仿宋"/>
          <w:sz w:val="32"/>
          <w:szCs w:val="22"/>
          <w:lang w:val="en-US" w:eastAsia="zh-CN" w:bidi="ar-SA"/>
        </w:rPr>
      </w:pPr>
      <w:r>
        <w:rPr>
          <w:rFonts w:hint="eastAsia" w:ascii="仿宋" w:hAnsi="仿宋" w:eastAsia="仿宋" w:cs="仿宋"/>
          <w:sz w:val="32"/>
          <w:szCs w:val="22"/>
          <w:lang w:val="en-US" w:eastAsia="zh-CN" w:bidi="ar-SA"/>
        </w:rPr>
        <w:t>融水苗族自治县审计局</w:t>
      </w:r>
    </w:p>
    <w:p>
      <w:pPr>
        <w:keepNext w:val="0"/>
        <w:keepLines w:val="0"/>
        <w:pageBreakBefore w:val="0"/>
        <w:widowControl w:val="0"/>
        <w:kinsoku/>
        <w:wordWrap/>
        <w:overflowPunct/>
        <w:topLinePunct w:val="0"/>
        <w:autoSpaceDE/>
        <w:autoSpaceDN/>
        <w:bidi w:val="0"/>
        <w:adjustRightInd w:val="0"/>
        <w:spacing w:beforeAutospacing="0" w:afterAutospacing="0" w:line="560" w:lineRule="exact"/>
        <w:ind w:firstLine="640" w:firstLineChars="200"/>
        <w:textAlignment w:val="baseline"/>
        <w:rPr>
          <w:rFonts w:hint="eastAsia" w:ascii="仿宋" w:hAnsi="仿宋" w:eastAsia="仿宋" w:cs="仿宋"/>
          <w:sz w:val="32"/>
          <w:szCs w:val="22"/>
          <w:lang w:val="en-US" w:eastAsia="zh-CN" w:bidi="ar-SA"/>
        </w:rPr>
      </w:pPr>
      <w:r>
        <w:rPr>
          <w:rFonts w:hint="eastAsia" w:ascii="仿宋" w:hAnsi="仿宋" w:eastAsia="仿宋" w:cs="仿宋"/>
          <w:sz w:val="32"/>
          <w:szCs w:val="22"/>
          <w:lang w:val="en-US" w:eastAsia="zh-CN" w:bidi="ar-SA"/>
        </w:rPr>
        <w:t xml:space="preserve">                                 2023年3月20日  </w:t>
      </w:r>
    </w:p>
    <w:p>
      <w:pPr>
        <w:keepNext w:val="0"/>
        <w:keepLines w:val="0"/>
        <w:pageBreakBefore w:val="0"/>
        <w:widowControl w:val="0"/>
        <w:kinsoku/>
        <w:wordWrap/>
        <w:overflowPunct/>
        <w:topLinePunct w:val="0"/>
        <w:autoSpaceDE/>
        <w:autoSpaceDN/>
        <w:bidi w:val="0"/>
        <w:adjustRightInd w:val="0"/>
        <w:spacing w:beforeAutospacing="0" w:afterAutospacing="0" w:line="560" w:lineRule="exact"/>
        <w:ind w:firstLine="640" w:firstLineChars="200"/>
        <w:textAlignment w:val="baseline"/>
        <w:rPr>
          <w:rFonts w:hint="eastAsia" w:ascii="仿宋" w:hAnsi="仿宋" w:eastAsia="仿宋" w:cs="仿宋"/>
          <w:sz w:val="32"/>
          <w:szCs w:val="22"/>
          <w:lang w:val="en-US" w:eastAsia="zh-CN" w:bidi="ar-SA"/>
        </w:rPr>
      </w:pPr>
    </w:p>
    <w:p>
      <w:pPr>
        <w:keepNext w:val="0"/>
        <w:keepLines w:val="0"/>
        <w:pageBreakBefore w:val="0"/>
        <w:widowControl w:val="0"/>
        <w:kinsoku/>
        <w:wordWrap/>
        <w:overflowPunct/>
        <w:topLinePunct w:val="0"/>
        <w:autoSpaceDE/>
        <w:autoSpaceDN/>
        <w:bidi w:val="0"/>
        <w:adjustRightInd w:val="0"/>
        <w:spacing w:beforeAutospacing="0" w:afterAutospacing="0" w:line="560" w:lineRule="exact"/>
        <w:ind w:firstLine="640" w:firstLineChars="200"/>
        <w:textAlignment w:val="baseline"/>
        <w:rPr>
          <w:rFonts w:hint="eastAsia" w:ascii="仿宋" w:hAnsi="仿宋" w:eastAsia="仿宋" w:cs="仿宋"/>
          <w:sz w:val="32"/>
          <w:szCs w:val="22"/>
          <w:lang w:val="en-US" w:eastAsia="zh-CN" w:bidi="ar-SA"/>
        </w:rPr>
        <w:sectPr>
          <w:pgSz w:w="11900" w:h="16820"/>
          <w:pgMar w:top="1984" w:right="1417" w:bottom="1587" w:left="1701" w:header="720" w:footer="720" w:gutter="0"/>
          <w:pgNumType w:start="1"/>
          <w:cols w:space="720" w:num="1"/>
          <w:docGrid w:linePitch="1" w:charSpace="0"/>
        </w:sectPr>
      </w:pPr>
    </w:p>
    <w:p>
      <w:pPr>
        <w:spacing w:line="0" w:lineRule="atLeast"/>
        <w:rPr>
          <w:rFonts w:ascii="Arial" w:hAnsiTheme="minorHAnsi" w:eastAsiaTheme="minorEastAsia" w:cstheme="minorBidi"/>
          <w:color w:val="FF0000"/>
          <w:sz w:val="2"/>
          <w:szCs w:val="22"/>
          <w:lang w:val="en-US" w:eastAsia="en-US" w:bidi="ar-SA"/>
        </w:rPr>
      </w:pPr>
      <w:bookmarkStart w:id="2" w:name="br1_3"/>
      <w:bookmarkEnd w:id="2"/>
      <w:r>
        <w:rPr>
          <w:rFonts w:ascii="Arial" w:hAnsiTheme="minorHAnsi" w:eastAsiaTheme="minorEastAsia" w:cstheme="minorBidi"/>
          <w:color w:val="FF0000"/>
          <w:sz w:val="2"/>
          <w:szCs w:val="22"/>
          <w:lang w:val="en-US" w:eastAsia="en-US" w:bidi="ar-SA"/>
        </w:rPr>
        <w:t xml:space="preserve"> </w:t>
      </w:r>
    </w:p>
    <w:p>
      <w:pPr>
        <w:framePr w:w="6981" w:wrap="auto" w:vAnchor="margin" w:hAnchor="text" w:x="1267" w:y="12467"/>
        <w:widowControl w:val="0"/>
        <w:autoSpaceDE w:val="0"/>
        <w:autoSpaceDN w:val="0"/>
        <w:spacing w:line="319" w:lineRule="exact"/>
        <w:rPr>
          <w:rFonts w:hint="eastAsia" w:hAnsiTheme="minorHAnsi" w:eastAsiaTheme="minorEastAsia" w:cstheme="minorBidi"/>
          <w:color w:val="000000"/>
          <w:sz w:val="32"/>
          <w:szCs w:val="22"/>
          <w:lang w:val="en-US" w:eastAsia="zh-CN" w:bidi="ar-SA"/>
        </w:rPr>
      </w:pPr>
      <w:r>
        <w:rPr>
          <w:rFonts w:ascii="宋体" w:hAnsi="宋体" w:cs="宋体" w:eastAsiaTheme="minorEastAsia"/>
          <w:color w:val="000000"/>
          <w:spacing w:val="1"/>
          <w:sz w:val="32"/>
          <w:szCs w:val="22"/>
          <w:lang w:val="en-US" w:eastAsia="en-US" w:bidi="ar-SA"/>
        </w:rPr>
        <w:t>主办单位：</w:t>
      </w:r>
      <w:r>
        <w:rPr>
          <w:rFonts w:hint="eastAsia" w:ascii="宋体" w:hAnsi="宋体" w:cs="宋体" w:eastAsiaTheme="minorEastAsia"/>
          <w:color w:val="000000"/>
          <w:spacing w:val="1"/>
          <w:sz w:val="32"/>
          <w:szCs w:val="22"/>
          <w:lang w:val="en-US" w:eastAsia="zh-CN" w:bidi="ar-SA"/>
        </w:rPr>
        <w:t>融水苗族自治县审计局</w:t>
      </w:r>
    </w:p>
    <w:p>
      <w:pPr>
        <w:framePr w:w="6981" w:wrap="auto" w:vAnchor="margin" w:hAnchor="text" w:x="1267" w:y="12467"/>
        <w:widowControl w:val="0"/>
        <w:autoSpaceDE w:val="0"/>
        <w:autoSpaceDN w:val="0"/>
        <w:spacing w:before="305" w:line="319" w:lineRule="exact"/>
        <w:rPr>
          <w:rFonts w:hAnsiTheme="minorHAnsi" w:eastAsiaTheme="minorEastAsia" w:cstheme="minorBidi"/>
          <w:color w:val="000000"/>
          <w:sz w:val="32"/>
          <w:szCs w:val="22"/>
          <w:lang w:val="en-US" w:eastAsia="en-US" w:bidi="ar-SA"/>
        </w:rPr>
      </w:pPr>
      <w:r>
        <w:rPr>
          <w:rFonts w:ascii="宋体" w:hAnsi="宋体" w:cs="宋体" w:eastAsiaTheme="minorEastAsia"/>
          <w:color w:val="000000"/>
          <w:sz w:val="32"/>
          <w:szCs w:val="22"/>
          <w:lang w:val="en-US" w:eastAsia="en-US" w:bidi="ar-SA"/>
        </w:rPr>
        <w:t>编</w:t>
      </w:r>
      <w:r>
        <w:rPr>
          <w:rFonts w:hAnsiTheme="minorHAnsi" w:eastAsiaTheme="minorEastAsia" w:cstheme="minorBidi"/>
          <w:color w:val="000000"/>
          <w:spacing w:val="560"/>
          <w:sz w:val="32"/>
          <w:szCs w:val="22"/>
          <w:lang w:val="en-US" w:eastAsia="en-US" w:bidi="ar-SA"/>
        </w:rPr>
        <w:t xml:space="preserve"> </w:t>
      </w:r>
      <w:r>
        <w:rPr>
          <w:rFonts w:ascii="宋体" w:hAnsi="宋体" w:cs="宋体" w:eastAsiaTheme="minorEastAsia"/>
          <w:color w:val="000000"/>
          <w:spacing w:val="1"/>
          <w:sz w:val="32"/>
          <w:szCs w:val="22"/>
          <w:lang w:val="en-US" w:eastAsia="en-US" w:bidi="ar-SA"/>
        </w:rPr>
        <w:t>制：</w:t>
      </w:r>
      <w:r>
        <w:rPr>
          <w:rFonts w:hint="eastAsia" w:ascii="宋体" w:hAnsi="宋体" w:cs="宋体" w:eastAsiaTheme="minorEastAsia"/>
          <w:color w:val="000000"/>
          <w:spacing w:val="1"/>
          <w:sz w:val="32"/>
          <w:szCs w:val="22"/>
          <w:lang w:val="en-US" w:eastAsia="zh-CN" w:bidi="ar-SA"/>
        </w:rPr>
        <w:t>融水苗族自治县</w:t>
      </w:r>
      <w:r>
        <w:rPr>
          <w:rFonts w:ascii="宋体" w:hAnsi="宋体" w:cs="宋体" w:eastAsiaTheme="minorEastAsia"/>
          <w:color w:val="000000"/>
          <w:spacing w:val="1"/>
          <w:sz w:val="32"/>
          <w:szCs w:val="22"/>
          <w:lang w:val="en-US" w:eastAsia="en-US" w:bidi="ar-SA"/>
        </w:rPr>
        <w:t>审计局办公室</w:t>
      </w:r>
    </w:p>
    <w:p>
      <w:pPr>
        <w:spacing w:line="0" w:lineRule="atLeast"/>
        <w:rPr>
          <w:rFonts w:ascii="Arial" w:hAnsiTheme="minorHAnsi" w:eastAsiaTheme="minorEastAsia" w:cstheme="minorBidi"/>
          <w:color w:val="FF0000"/>
          <w:sz w:val="2"/>
          <w:szCs w:val="22"/>
          <w:lang w:val="en-US" w:eastAsia="en-US" w:bidi="ar-SA"/>
        </w:rPr>
      </w:pPr>
      <w:r>
        <w:drawing>
          <wp:anchor distT="0" distB="0" distL="114300" distR="114300" simplePos="0" relativeHeight="251664384" behindDoc="1" locked="0" layoutInCell="1" allowOverlap="1">
            <wp:simplePos x="0" y="0"/>
            <wp:positionH relativeFrom="page">
              <wp:posOffset>-11430</wp:posOffset>
            </wp:positionH>
            <wp:positionV relativeFrom="page">
              <wp:posOffset>7760335</wp:posOffset>
            </wp:positionV>
            <wp:extent cx="7581900" cy="909320"/>
            <wp:effectExtent l="0" t="0" r="0" b="508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8"/>
                    <a:stretch>
                      <a:fillRect/>
                    </a:stretch>
                  </pic:blipFill>
                  <pic:spPr>
                    <a:xfrm>
                      <a:off x="0" y="0"/>
                      <a:ext cx="7581900" cy="909320"/>
                    </a:xfrm>
                    <a:prstGeom prst="rect">
                      <a:avLst/>
                    </a:prstGeom>
                    <a:noFill/>
                    <a:ln>
                      <a:noFill/>
                    </a:ln>
                  </pic:spPr>
                </pic:pic>
              </a:graphicData>
            </a:graphic>
          </wp:anchor>
        </w:drawing>
      </w:r>
      <w:r>
        <w:drawing>
          <wp:anchor distT="0" distB="0" distL="114300" distR="114300" simplePos="0" relativeHeight="251662336" behindDoc="1" locked="0" layoutInCell="1" allowOverlap="1">
            <wp:simplePos x="0" y="0"/>
            <wp:positionH relativeFrom="page">
              <wp:posOffset>-12700</wp:posOffset>
            </wp:positionH>
            <wp:positionV relativeFrom="page">
              <wp:posOffset>3046730</wp:posOffset>
            </wp:positionV>
            <wp:extent cx="7581900" cy="1785620"/>
            <wp:effectExtent l="0" t="0" r="0" b="5080"/>
            <wp:wrapNone/>
            <wp:docPr id="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7"/>
                    <pic:cNvPicPr>
                      <a:picLocks noChangeAspect="1"/>
                    </pic:cNvPicPr>
                  </pic:nvPicPr>
                  <pic:blipFill>
                    <a:blip r:embed="rId9"/>
                    <a:stretch>
                      <a:fillRect/>
                    </a:stretch>
                  </pic:blipFill>
                  <pic:spPr>
                    <a:xfrm>
                      <a:off x="0" y="0"/>
                      <a:ext cx="7581900" cy="1785620"/>
                    </a:xfrm>
                    <a:prstGeom prst="rect">
                      <a:avLst/>
                    </a:prstGeom>
                    <a:noFill/>
                    <a:ln>
                      <a:noFill/>
                    </a:ln>
                  </pic:spPr>
                </pic:pic>
              </a:graphicData>
            </a:graphic>
          </wp:anchor>
        </w:drawing>
      </w:r>
      <w:r>
        <w:drawing>
          <wp:anchor distT="0" distB="0" distL="114300" distR="114300" simplePos="0" relativeHeight="251660288" behindDoc="1" locked="0" layoutInCell="1" allowOverlap="1">
            <wp:simplePos x="0" y="0"/>
            <wp:positionH relativeFrom="page">
              <wp:posOffset>781050</wp:posOffset>
            </wp:positionH>
            <wp:positionV relativeFrom="page">
              <wp:posOffset>9761220</wp:posOffset>
            </wp:positionV>
            <wp:extent cx="1076325" cy="257175"/>
            <wp:effectExtent l="0" t="0" r="9525" b="9525"/>
            <wp:wrapNone/>
            <wp:docPr id="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
                    <pic:cNvPicPr>
                      <a:picLocks noChangeAspect="1"/>
                    </pic:cNvPicPr>
                  </pic:nvPicPr>
                  <pic:blipFill>
                    <a:blip r:embed="rId10"/>
                    <a:stretch>
                      <a:fillRect/>
                    </a:stretch>
                  </pic:blipFill>
                  <pic:spPr>
                    <a:xfrm>
                      <a:off x="0" y="0"/>
                      <a:ext cx="1076325" cy="257175"/>
                    </a:xfrm>
                    <a:prstGeom prst="rect">
                      <a:avLst/>
                    </a:prstGeom>
                    <a:noFill/>
                    <a:ln>
                      <a:noFill/>
                    </a:ln>
                  </pic:spPr>
                </pic:pic>
              </a:graphicData>
            </a:graphic>
          </wp:anchor>
        </w:drawing>
      </w:r>
    </w:p>
    <w:sectPr>
      <w:pgSz w:w="11900" w:h="16820"/>
      <w:pgMar w:top="0" w:right="0" w:bottom="0" w:left="0" w:header="720" w:footer="720" w:gutter="0"/>
      <w:pgNumType w:start="1"/>
      <w:cols w:space="720" w:num="1"/>
      <w:docGrid w:linePitch="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noPunctuationKerning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A77B3E"/>
    <w:rsid w:val="00CA2A55"/>
    <w:rsid w:val="159D5775"/>
    <w:rsid w:val="26601A6B"/>
    <w:rsid w:val="62A64414"/>
    <w:rsid w:val="7D4B306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Times New Roman" w:cs="Times New Roman"/>
      <w:sz w:val="24"/>
      <w:szCs w:val="24"/>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99"/>
    <w:pPr>
      <w:snapToGrid w:val="0"/>
      <w:jc w:val="left"/>
    </w:pPr>
    <w:rPr>
      <w:rFonts w:ascii="Times New Roman" w:hAnsi="Times New Roman"/>
      <w:sz w:val="18"/>
      <w:szCs w:val="18"/>
    </w:r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6">
    <w:name w:val="Hyperlink"/>
    <w:basedOn w:val="5"/>
    <w:unhideWhenUsed/>
    <w:qFormat/>
    <w:uiPriority w:val="99"/>
    <w:rPr>
      <w:color w:val="0000FF"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Pages>1</Pages>
  <Words>0</Words>
  <Characters>0</Characters>
  <Lines>1</Lines>
  <Paragraphs>1</Paragraphs>
  <TotalTime>3</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2022-12-12T02:03:00Z</dcterms:created>
  <dc:creator>Administrator</dc:creator>
  <cp:lastModifiedBy>珍</cp:lastModifiedBy>
  <dcterms:modified xsi:type="dcterms:W3CDTF">2023-05-18T07:47:00Z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56C5962912634465A51F33EE3232441A</vt:lpwstr>
  </property>
</Properties>
</file>