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eastAsia="方正小标宋_GBK"/>
          <w:color w:val="000000"/>
          <w:spacing w:val="-1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32"/>
          <w:szCs w:val="32"/>
        </w:rPr>
        <w:t>行政权力事项实施清单</w:t>
      </w:r>
    </w:p>
    <w:p>
      <w:pPr>
        <w:adjustRightInd w:val="0"/>
        <w:snapToGrid w:val="0"/>
        <w:spacing w:line="540" w:lineRule="exact"/>
        <w:jc w:val="center"/>
        <w:rPr>
          <w:rFonts w:ascii="方正小标宋_GBK" w:eastAsia="方正小标宋_GBK"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spacing w:val="-10"/>
          <w:sz w:val="44"/>
          <w:szCs w:val="44"/>
          <w:shd w:val="clear" w:color="auto" w:fill="FFFFFF"/>
        </w:rPr>
        <w:t>对基层法律服务所违规行为的行政处罚</w:t>
      </w:r>
    </w:p>
    <w:tbl>
      <w:tblPr>
        <w:tblStyle w:val="4"/>
        <w:tblW w:w="907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1204"/>
        <w:gridCol w:w="1302"/>
        <w:gridCol w:w="60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事项类型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行政处罚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2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基本编码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3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实施编码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4</w:t>
            </w:r>
          </w:p>
        </w:tc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事项名称</w:t>
            </w: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主项名称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对基层法律服务所违规行为的行政处罚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2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子项名称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5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实施主体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融水县司法局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6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实施主体性质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8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法定机关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7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承办机构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  <w:t>融水县司法局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  <w:lang w:eastAsia="zh-CN"/>
              </w:rPr>
              <w:t>调解纠纷与处理</w:t>
            </w:r>
            <w:r>
              <w:rPr>
                <w:rFonts w:hint="eastAsia" w:ascii="仿宋" w:hAnsi="仿宋" w:eastAsia="仿宋" w:cs="仿宋"/>
                <w:kern w:val="1"/>
                <w:sz w:val="21"/>
                <w:szCs w:val="21"/>
                <w:u w:val="single"/>
              </w:rPr>
              <w:t>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8</w:t>
            </w:r>
          </w:p>
        </w:tc>
        <w:tc>
          <w:tcPr>
            <w:tcW w:w="12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咨询及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监督电话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咨询电话</w:t>
            </w:r>
          </w:p>
        </w:tc>
        <w:tc>
          <w:tcPr>
            <w:tcW w:w="603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default" w:ascii="仿宋" w:hAnsi="仿宋" w:eastAsia="仿宋" w:cs="仿宋"/>
                <w:sz w:val="21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0772-51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26240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204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监督电话</w:t>
            </w:r>
          </w:p>
        </w:tc>
        <w:tc>
          <w:tcPr>
            <w:tcW w:w="603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0772-5122515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设定依据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《基层法律服务所管理办法》（司法部令第59号）第四十二条  基层法律服务所有下列行为之一的，由住所地县级司法行政机关予以警告；有违法所得的，按照法律、法规的规定没收违法所得，并由地级司法行政机关处以违法所得三倍以下的罚款，但罚款数额最高不得超过三万元：（一）超越业务范围的；（二）违反业务收费管理规定，擅自提高收费标准，自立名目乱收费的；（三）以贬损他人、抬高自己、虚假承诺或者支付介绍费等不正当手段争揽业务的；（四）伪造、涂改、抵押、出租、出借本所执业证书的；（五）未经核准登记变更本所名称、法定代表人、执业场所和章程，擅自分立、合并或者设立业务接待站（点）的；（六）不按规定接受年度检查，采用弄虚作假手段骗取通过年度检查的；（七）违反财务管理规定，私分、挪用或者以其他方式非法处置本所资产的；（八） 聘用不具备执业资格的人员以基层法律服务工作者名义承办业务的；（九）放纵、包庇本所基层法律服务工作者的违法违纪行为的；（十）内部管理混乱，导致无法正常开展业务的；（十一）法律、法规、规章规定应予处罚的其他行为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实施对象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292" w:lineRule="exact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违反《基层法律服务工作者管理办法》第四十二条规定行为的基层法律服务所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11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行使层级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县、市分级管理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12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权限划分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《基层法律服务所管理办法》（司法部令第59号）第四十二条  基层法律服务所有下列行为之一的，由住所地县级司法行政机关予以警告；有违法所得的，按照法律、法规的规定没收违法所得，并由地级司法行政机关处以违法所得三倍以下的罚款，但罚款数额最高不得超过三万元：（一）超越业务范围的；（二）违反业务收费管理规定，擅自提高收费标准，自立名目乱收费的；（三）以贬损他人、抬高自己、虚假承诺或者支付介绍费等不正当手段争揽业务的；（四）伪造、涂改、抵押、出租、出借本所执业证书的；（五）未经核准登记变更本所名称、法定代表人、执业场所和章程，擅自分立、合并或者设立业务接待站（点）的；（六）不按规定接受年度检查，采用弄虚作假手段骗取通过年度检查的；（七）违反财务管理规定，私分、挪用或者以其他方式非法处置本所资产的；（八） 聘用不具备执业资格的人员以基层法律服务工作者名义承办业务的；（九）放纵、包庇本所基层法律服务工作者的违法违纪行为的；（十）内部管理混乱，导致无法正常开展业务的；（十一）法律、法规、规章规定应予处罚的其他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行使内容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《基层法律服务所管理办法》（司法部令第59号）第四十二条  基层法律服务所有下列行为之一的，由住所地县级司法行政机关予以警告；有违法所得的，按照法律、法规的规定没收违法所得，并由地级司法行政机关处以违法所得三倍以下的罚款，但罚款数额最高不得超过三万元：（一）超越业务范围的；（二）违反业务收费管理规定，擅自提高收费标准，自立名目乱收费的；（三）以贬损他人、抬高自己、虚假承诺或者支付介绍费等不正当手段争揽业务的；（四）伪造、涂改、抵押、出租、出借本所执业证书的；（五）未经核准登记变更本所名称、法定代表人、执业场所和章程，擅自分立、合并或者设立业务接待站（点）的；（六）不按规定接受年度检查，采用弄虚作假手段骗取通过年度检查的；（七）违反财务管理规定，私分、挪用或者以其他方式非法处置本所资产的；（八） 聘用不具备执业资格的人员以基层法律服务工作者名义承办业务的；（九）放纵、包庇本所基层法律服务工作者的违法违纪行为的；（十）内部管理混乱，导致无法正常开展业务的；（十一）法律、法规、规章规定应予处罚的其他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法定办结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时限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60日。经本机关负责人批准，可以延长30日。需要继续延长的，报上一级行政主管机关批准。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处罚流程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详见附件1。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16</w:t>
            </w:r>
          </w:p>
        </w:tc>
        <w:tc>
          <w:tcPr>
            <w:tcW w:w="1204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结果名称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处罚决定书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17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运行系统</w:t>
            </w:r>
          </w:p>
        </w:tc>
        <w:tc>
          <w:tcPr>
            <w:tcW w:w="73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18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责任事项</w:t>
            </w:r>
          </w:p>
        </w:tc>
        <w:tc>
          <w:tcPr>
            <w:tcW w:w="733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1.立案责任：对涉嫌违法行为的信息来源进行审查、记录，属本部门受理的进行审核，决定是否立案调查。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2.调查取证责任：对立案的案件，指定专人负责，及时组织调查取证，与当事人有直接利害关系的回避。执法人员不得少于两人，调查时应出示执法证件，允许当事人辩解陈述，执法人员应保守有关秘密，客观公正的进行取证，并做好记录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3.审核责任：审理案件调查报告，对案件违法事实、证据、调查取证程序、法律适用、处罚种类和幅度、当事人陈述和申辩理由等方面进行审查，提出处理意见（主要证据不足时，以适当的方式补充调查），提出处理意见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4.告知责任：行政处罚决定前，应制作《行政处罚告知书》送达当事人，告知其违法事实和享有的陈述申辩、听证等权利。符合听证规定的，制作并送达《行政处罚听证告知书》。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5.决定责任：制作行政处罚决定书，载明行政处罚告知、当事人陈述申辩或者听证情况等内容。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6.送达责任：行政处罚决定书按法律规定的方式送达当事人。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7.执行责任：依照生效的行政处罚责任，监督当事人履行，当事人不履行的申请法院强制执行，构成犯罪的移交司法机关。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8.其他法律法规规章文件规定应履行的责任。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19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追责情形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 因不履行或不正确履行行政职责，有下列情形的行政机关及相关工作人员应承担相应的责任：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1.实施行政处罚，没有法定的行政处罚依据的；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2.实施行政处罚，擅自改变行政处罚种类、幅度的；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3.实施行政处罚，违反法定的行政处罚程序的；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4.行政机关实施行政处罚，违反《行政处罚法》第十八条关于委托处罚的规定的；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5.对当事人进行处罚不使用罚款、没收财物单据或者使用非法定部门制发的罚款、没收财物单据的；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6.违反《行政处罚法》第四十六条的规定自行收缴罚款的；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7.将罚款、没收的违法所得或者财物截留、私分或者变相私分的；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8.执法人员利用职务上的便利，索取或者收受他人财物、收缴罚款据为己有；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9.使用或者损毁扣押的财物，对当事人造成损失的；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10.违法实行检查措施或者执行措施，给公民人身或者财产造成损害、给法人或者其他组织造成损失的；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 xml:space="preserve">11.为牟取本单位私利，对应当依法移交司法机关追究刑事责任的不移交，以行政处罚代替刑罚； 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12.执法人员玩忽职守，对应当予以制止和处罚的违法行为不予制止、处罚，致使公民、法人或者其他组织的合法权益、公共利益和社会秩序遭受损害的；</w:t>
            </w:r>
          </w:p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13.其他违反法律法规等规定的行为。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20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1"/>
                <w:sz w:val="21"/>
                <w:szCs w:val="21"/>
              </w:rPr>
              <w:t>备注</w:t>
            </w:r>
          </w:p>
        </w:tc>
        <w:tc>
          <w:tcPr>
            <w:tcW w:w="7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57" w:type="dxa"/>
              <w:bottom w:w="57" w:type="dxa"/>
            </w:tcMar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  <w:r>
        <w:rPr>
          <w:rFonts w:hint="eastAsia" w:ascii="方正小标宋_GBK" w:eastAsia="方正小标宋_GBK"/>
          <w:bCs/>
          <w:sz w:val="44"/>
          <w:szCs w:val="44"/>
          <w:shd w:val="clear" w:color="auto" w:fill="FFFFFF"/>
        </w:rPr>
        <w:t>廉政风险点</w:t>
      </w:r>
    </w:p>
    <w:p>
      <w:pPr>
        <w:adjustRightInd w:val="0"/>
        <w:snapToGrid w:val="0"/>
        <w:spacing w:line="590" w:lineRule="exact"/>
        <w:jc w:val="center"/>
        <w:rPr>
          <w:rFonts w:ascii="方正小标宋_GBK" w:eastAsia="方正小标宋_GBK"/>
          <w:bCs/>
          <w:sz w:val="44"/>
          <w:szCs w:val="44"/>
          <w:shd w:val="clear" w:color="auto" w:fill="FFFFFF"/>
        </w:rPr>
      </w:pPr>
    </w:p>
    <w:tbl>
      <w:tblPr>
        <w:tblStyle w:val="4"/>
        <w:tblW w:w="1046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0"/>
        <w:gridCol w:w="4500"/>
        <w:gridCol w:w="560"/>
        <w:gridCol w:w="3080"/>
        <w:gridCol w:w="128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风险点</w:t>
            </w:r>
            <w:r>
              <w:rPr>
                <w:rFonts w:ascii="黑体" w:hAnsi="黑体" w:eastAsia="黑体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数量</w:t>
            </w:r>
          </w:p>
        </w:tc>
        <w:tc>
          <w:tcPr>
            <w:tcW w:w="4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表现形式</w:t>
            </w:r>
          </w:p>
        </w:tc>
        <w:tc>
          <w:tcPr>
            <w:tcW w:w="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3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防控措施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责任人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立案风险：立案程序不规范，徇私舞弊不立案或应立案而不立案。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ascii="仿宋_GB2312" w:eastAsia="仿宋_GB2312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、严格执行《行政处罚法》，加强对执法工作人员的培训，提升执法水平。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、加强党风党廉政建设，不接受当事人请托，秉公办案，不徇私枉法。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3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、进一步规范办案程序，严格落实立案制度、听证制度、重大案件讨论制度，层层审批制度。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t>4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、强化执行情况监督，落实好对处罚当事人的回访制度，加大案件核查力度。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调查风险：接受当事人请托，不按法定程序取证，未指定两名以上执法人员负责，调查走马观花，不深入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不履行法定的告知内容和义务，符合听证条件，未接受当事人申请，组织听证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低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案件承办人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10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决定风险：案件定性错误，违反案件处罚程序，该集体研究没有上会研究，涉嫌构成犯罪的未按规定移送司法机关。</w:t>
            </w:r>
          </w:p>
        </w:tc>
        <w:tc>
          <w:tcPr>
            <w:tcW w:w="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中</w:t>
            </w:r>
          </w:p>
        </w:tc>
        <w:tc>
          <w:tcPr>
            <w:tcW w:w="3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融水县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司法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eastAsia="zh-CN"/>
              </w:rPr>
              <w:t>局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分管领导、案件承办人</w:t>
            </w:r>
          </w:p>
        </w:tc>
      </w:tr>
    </w:tbl>
    <w:p/>
    <w:p>
      <w:pPr>
        <w:spacing w:line="590" w:lineRule="exact"/>
        <w:rPr>
          <w:rFonts w:ascii="方正黑体_GBK" w:hAnsi="黑体" w:eastAsia="方正黑体_GBK"/>
          <w:sz w:val="32"/>
          <w:szCs w:val="32"/>
        </w:rPr>
      </w:pPr>
      <w:r>
        <w:rPr>
          <w:rFonts w:eastAsia="方正仿宋_GBK"/>
          <w:snapToGrid w:val="0"/>
          <w:color w:val="000000"/>
          <w:sz w:val="32"/>
          <w:szCs w:val="32"/>
        </w:rPr>
        <w:br w:type="page"/>
      </w:r>
      <w:r>
        <w:rPr>
          <w:rFonts w:hint="eastAsia" w:ascii="方正黑体_GBK" w:hAnsi="黑体" w:eastAsia="方正黑体_GBK"/>
          <w:sz w:val="32"/>
          <w:szCs w:val="32"/>
        </w:rPr>
        <w:t>附件</w:t>
      </w:r>
      <w:r>
        <w:rPr>
          <w:rFonts w:ascii="方正黑体_GBK" w:hAnsi="黑体" w:eastAsia="方正黑体_GBK"/>
          <w:sz w:val="32"/>
          <w:szCs w:val="32"/>
        </w:rPr>
        <w:t>1</w:t>
      </w:r>
    </w:p>
    <w:p>
      <w:pPr>
        <w:spacing w:line="560" w:lineRule="exact"/>
        <w:jc w:val="center"/>
        <w:rPr>
          <w:rFonts w:ascii="宋体" w:cs="宋体"/>
          <w:b/>
          <w:sz w:val="32"/>
          <w:szCs w:val="32"/>
        </w:rPr>
      </w:pPr>
      <w:r>
        <w:rPr>
          <w:rFonts w:hint="eastAsia" w:ascii="宋体" w:hAnsi="宋体" w:cs="Arial"/>
          <w:b/>
          <w:color w:val="000000"/>
          <w:sz w:val="32"/>
          <w:szCs w:val="32"/>
        </w:rPr>
        <w:t>行政处罚</w:t>
      </w:r>
      <w:r>
        <w:rPr>
          <w:rFonts w:hint="eastAsia" w:ascii="宋体" w:hAnsi="宋体" w:cs="宋体"/>
          <w:b/>
          <w:sz w:val="32"/>
          <w:szCs w:val="32"/>
        </w:rPr>
        <w:t>流程图</w:t>
      </w:r>
    </w:p>
    <w:p>
      <w:pPr>
        <w:tabs>
          <w:tab w:val="center" w:pos="4153"/>
        </w:tabs>
        <w:rPr>
          <w:rFonts w:ascii="宋体"/>
          <w:szCs w:val="21"/>
        </w:rPr>
      </w:pPr>
      <w:r>
        <w:pict>
          <v:shape id="Rectangle 306" o:spid="_x0000_s1026" o:spt="176" type="#_x0000_t176" style="position:absolute;left:0pt;margin-left:188.95pt;margin-top:20.5pt;height:23.4pt;width:108pt;z-index:2516398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发现涉嫌违法行为</w:t>
                  </w:r>
                </w:p>
              </w:txbxContent>
            </v:textbox>
          </v:shape>
        </w:pict>
      </w:r>
    </w:p>
    <w:p>
      <w:pPr>
        <w:tabs>
          <w:tab w:val="center" w:pos="4153"/>
        </w:tabs>
        <w:rPr>
          <w:rFonts w:ascii="宋体"/>
          <w:szCs w:val="21"/>
        </w:rPr>
      </w:pPr>
      <w:r>
        <w:pict>
          <v:line id="Line 307" o:spid="_x0000_s1027" o:spt="20" style="position:absolute;left:0pt;flip:x;margin-left:239.95pt;margin-top:18.9pt;height:20.7pt;width:0pt;z-index:251640832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spacing w:line="320" w:lineRule="exact"/>
        <w:jc w:val="center"/>
        <w:rPr>
          <w:rFonts w:ascii="宋体"/>
          <w:szCs w:val="21"/>
        </w:rPr>
      </w:pPr>
      <w:r>
        <w:pict>
          <v:shape id="Rectangle 308" o:spid="_x0000_s1028" o:spt="176" type="#_x0000_t176" style="position:absolute;left:0pt;margin-left:126pt;margin-top:14.6pt;height:23.4pt;width:252pt;z-index:2516418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立案审查（发现或者收到材料起</w:t>
                  </w:r>
                  <w:r>
                    <w:rPr>
                      <w:sz w:val="18"/>
                      <w:szCs w:val="18"/>
                    </w:rPr>
                    <w:t>7</w:t>
                  </w:r>
                  <w:r>
                    <w:rPr>
                      <w:rFonts w:hint="eastAsia"/>
                      <w:sz w:val="18"/>
                      <w:szCs w:val="18"/>
                    </w:rPr>
                    <w:t>日内）</w:t>
                  </w:r>
                </w:p>
              </w:txbxContent>
            </v:textbox>
          </v:shape>
        </w:pict>
      </w:r>
    </w:p>
    <w:p>
      <w:pPr>
        <w:spacing w:line="320" w:lineRule="exact"/>
        <w:jc w:val="center"/>
        <w:rPr>
          <w:rFonts w:ascii="宋体"/>
          <w:b/>
          <w:bCs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Line 309" o:spid="_x0000_s1029" o:spt="20" style="position:absolute;left:0pt;margin-left:239.95pt;margin-top:6pt;height:10.5pt;width:0.05pt;z-index:2516428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10" o:spid="_x0000_s1030" o:spt="176" type="#_x0000_t176" style="position:absolute;left:0pt;margin-left:36pt;margin-top:0.5pt;height:39pt;width:414pt;z-index:2516439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rPr>
                      <w:rFonts w:ascii="宋体"/>
                      <w:sz w:val="18"/>
                      <w:szCs w:val="18"/>
                    </w:rPr>
                  </w:pPr>
                  <w:r>
                    <w:rPr>
                      <w:rFonts w:hint="eastAsia" w:ascii="宋体" w:hAnsi="宋体"/>
                      <w:sz w:val="18"/>
                      <w:szCs w:val="18"/>
                    </w:rPr>
                    <w:t>调查取证，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1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、两名以上执法人员向当事人出示执法证；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2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、收集证据，现场勘验，制作《勘验检查笔录》；</w:t>
                  </w:r>
                  <w:r>
                    <w:rPr>
                      <w:rFonts w:ascii="宋体" w:hAnsi="宋体"/>
                      <w:sz w:val="18"/>
                      <w:szCs w:val="18"/>
                    </w:rPr>
                    <w:t>3</w:t>
                  </w:r>
                  <w:r>
                    <w:rPr>
                      <w:rFonts w:hint="eastAsia" w:ascii="宋体" w:hAnsi="宋体"/>
                      <w:sz w:val="18"/>
                      <w:szCs w:val="18"/>
                    </w:rPr>
                    <w:t>、询问当事人，制作《询问笔录》等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_x0000_s1031" o:spid="_x0000_s1031" o:spt="20" style="position:absolute;left:0pt;margin-left:240pt;margin-top:7.5pt;height:15.6pt;width:0.05pt;z-index:25164492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_x0000_s1032" o:spid="_x0000_s1032" o:spt="176" type="#_x0000_t176" style="position:absolute;left:0pt;margin-left:123.75pt;margin-top:8.6pt;height:23.4pt;width:252pt;z-index:2516459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ind w:firstLine="810" w:firstLineChars="450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调查终结，承办人写出调查报告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Line 311" o:spid="_x0000_s1033" o:spt="20" style="position:absolute;left:0pt;margin-left:234pt;margin-top:0pt;height:23.4pt;width:0pt;z-index:25164697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12" o:spid="_x0000_s1034" o:spt="176" type="#_x0000_t176" style="position:absolute;left:0pt;margin-left:117pt;margin-top:7.8pt;height:39pt;width:261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提出初步意见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根据认定的违法事实和法律依据提出处理意见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Line 316" o:spid="_x0000_s1035" o:spt="20" style="position:absolute;left:0pt;margin-left:45pt;margin-top:7.8pt;height:31.2pt;width:0.05pt;z-index:25164902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Line 315" o:spid="_x0000_s1036" style="position:absolute;left:0pt;margin-left:45pt;margin-top:7.8pt;height:0.95pt;width:68.2pt;z-index:251650048;mso-width-relative:page;mso-height-relative:page;" filled="f" coordsize="1364,19" path="m1364,0l0,19e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7" o:spid="_x0000_s1037" style="position:absolute;left:0pt;margin-left:381pt;margin-top:15pt;height:0.6pt;width:42.7pt;z-index:251651072;mso-width-relative:page;mso-height-relative:page;" filled="f" coordsize="854,12" path="m854,12l0,0e">
            <v:path arrowok="t"/>
            <v:fill on="f" focussize="0,0"/>
            <v:stroke/>
            <v:imagedata o:title=""/>
            <o:lock v:ext="edit"/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Line 313" o:spid="_x0000_s1038" o:spt="20" style="position:absolute;left:0pt;flip:x;margin-left:423.7pt;margin-top:0pt;height:32.15pt;width:0pt;z-index:25165209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_x0000_s1039" o:spid="_x0000_s1039" o:spt="20" style="position:absolute;left:0pt;margin-left:230.6pt;margin-top:0.8pt;height:16.55pt;width:0pt;z-index:25165312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Rectangle 318" o:spid="_x0000_s1040" o:spt="176" type="#_x0000_t176" style="position:absolute;left:0pt;margin-left:-36pt;margin-top:7.8pt;height:56.4pt;width:126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依照法律、法规规定不需处罚的，司法局负责人作出批准不予处罚意见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20" o:spid="_x0000_s1041" o:spt="176" type="#_x0000_t176" style="position:absolute;left:0pt;margin-left:136.7pt;margin-top:0.15pt;height:40.05pt;width:149.25pt;z-index:2516551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拟作出警告；罚款；没收违法所得；停止执业等处罚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pict>
          <v:shape id="Rectangle 319" o:spid="_x0000_s1042" o:spt="176" type="#_x0000_t176" style="position:absolute;left:0pt;margin-left:360.75pt;margin-top:0.95pt;height:43.9pt;width:89.25pt;z-index:25165619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涉嫌犯罪，移送司法机关处理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8445"/>
        </w:tabs>
        <w:spacing w:line="320" w:lineRule="exact"/>
        <w:jc w:val="center"/>
        <w:rPr>
          <w:rFonts w:ascii="宋体"/>
          <w:szCs w:val="21"/>
        </w:rPr>
      </w:pPr>
      <w:r>
        <w:pict>
          <v:line id="Line 321" o:spid="_x0000_s1043" o:spt="20" style="position:absolute;left:0pt;margin-left:188.9pt;margin-top:2.7pt;height:17.85pt;width:0.05pt;z-index:251657216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1044" o:spid="_x0000_s1044" o:spt="32" type="#_x0000_t32" style="position:absolute;left:0pt;margin-left:37.5pt;margin-top:12.85pt;height:196.95pt;width:0.05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22" o:spid="_x0000_s1045" o:spt="176" type="#_x0000_t176" style="position:absolute;left:0pt;margin-left:128.25pt;margin-top:4.55pt;height:54.5pt;width:117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送达处罚事项告知书</w:t>
                  </w:r>
                </w:p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告知当事人拟处罚的事实、理由</w:t>
                  </w:r>
                </w:p>
                <w:p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和依据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_x0000_s1046" o:spid="_x0000_s1046" o:spt="20" style="position:absolute;left:0pt;margin-left:183.7pt;margin-top:6.65pt;height:17.85pt;width:0.05pt;z-index:251660288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25" o:spid="_x0000_s1047" o:spt="176" type="#_x0000_t176" style="position:absolute;left:0pt;margin-left:119.25pt;margin-top:8.5pt;height:23.4pt;width:126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听取当事人陈述申辩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_x0000_s1048" o:spid="_x0000_s1048" o:spt="32" type="#_x0000_t32" style="position:absolute;left:0pt;margin-left:183.8pt;margin-top:14.6pt;height:18.3pt;width:0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27" o:spid="_x0000_s1049" o:spt="176" type="#_x0000_t176" style="position:absolute;left:0pt;margin-left:123.75pt;margin-top:0.9pt;height:54.6pt;width:126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经局负责人批准做出处罚决定，情节复杂的适用重大案件集体讨论决定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_x0000_s1050" o:spid="_x0000_s1050" o:spt="20" style="position:absolute;left:0pt;margin-left:183.75pt;margin-top:7.5pt;height:17.85pt;width:0.05pt;z-index:25166438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34" o:spid="_x0000_s1051" o:spt="176" type="#_x0000_t176" style="position:absolute;left:0pt;margin-left:99pt;margin-top:9.35pt;height:31.2pt;width:360pt;z-index:25166540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制作行政处罚决定书，宣告后当场交付或七日内送达，告知救济方式及诉权</w:t>
                  </w:r>
                </w:p>
              </w:txbxContent>
            </v:textbox>
          </v:shape>
        </w:pict>
      </w:r>
      <w:r>
        <w:pict>
          <v:roundrect id="_x0000_s1052" o:spid="_x0000_s1052" o:spt="2" style="position:absolute;left:0pt;margin-left:-27pt;margin-top:0pt;height:23.4pt;width:117pt;z-index:251666432;mso-width-relative:page;mso-height-relative:page;" coordsize="21600,21600" arcsize="0.166666666666667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制作不予行政处罚决定书</w:t>
                  </w:r>
                </w:p>
                <w:p/>
              </w:txbxContent>
            </v:textbox>
          </v:roundrect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line id="_x0000_s1053" o:spid="_x0000_s1053" o:spt="20" style="position:absolute;left:0pt;margin-left:369.1pt;margin-top:8.55pt;height:17.85pt;width:0.05pt;z-index:251668480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  <w:r>
        <w:pict>
          <v:shape id="_x0000_s1054" o:spid="_x0000_s1054" o:spt="32" type="#_x0000_t32" style="position:absolute;left:0pt;margin-left:37.5pt;margin-top:0pt;height:70.2pt;width:0pt;z-index:2516674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line id="_x0000_s1055" o:spid="_x0000_s1055" o:spt="20" style="position:absolute;left:0pt;margin-left:179.25pt;margin-top:8.55pt;height:17.85pt;width:0.05pt;z-index:251669504;mso-width-relative:page;mso-height-relative:page;" coordsize="21600,21600">
            <v:path arrowok="t"/>
            <v:fill focussize="0,0"/>
            <v:stroke endarrow="block"/>
            <v:imagedata o:title=""/>
            <o:lock v:ext="edit"/>
          </v:lin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Rectangle 335" o:spid="_x0000_s1056" o:spt="176" type="#_x0000_t176" style="position:absolute;left:0pt;margin-left:99pt;margin-top:10.4pt;height:23.4pt;width:126pt;z-index:2516715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执行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_x0000_s1057" o:spid="_x0000_s1057" o:spt="32" type="#_x0000_t32" style="position:absolute;left:0pt;margin-left:175.5pt;margin-top:15.5pt;height:46.8pt;width:0pt;z-index:251672576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58" o:spid="_x0000_s1058" o:spt="176" type="#_x0000_t176" style="position:absolute;left:0pt;margin-left:261pt;margin-top:2.05pt;height:23.4pt;width:216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spacing w:line="300" w:lineRule="exact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当事人逾期不履行的，申请人民法院强制执行</w:t>
                  </w:r>
                </w:p>
              </w:txbxContent>
            </v:textbox>
          </v:shape>
        </w:pict>
      </w:r>
    </w:p>
    <w:p>
      <w:pPr>
        <w:tabs>
          <w:tab w:val="left" w:pos="6975"/>
        </w:tabs>
        <w:spacing w:line="320" w:lineRule="exact"/>
        <w:jc w:val="center"/>
        <w:rPr>
          <w:rFonts w:ascii="宋体"/>
          <w:szCs w:val="21"/>
        </w:rPr>
      </w:pPr>
      <w:r>
        <w:pict>
          <v:shape id="_x0000_s1059" o:spid="_x0000_s1059" o:spt="32" type="#_x0000_t32" style="position:absolute;left:0pt;margin-left:369pt;margin-top:9.45pt;height:36.8pt;width:0pt;z-index:25167360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320" w:lineRule="exact"/>
        <w:jc w:val="center"/>
        <w:rPr>
          <w:rFonts w:ascii="宋体"/>
          <w:szCs w:val="21"/>
        </w:rPr>
      </w:pPr>
      <w:r>
        <w:pict>
          <v:shape id="Rectangle 331" o:spid="_x0000_s1060" o:spt="176" type="#_x0000_t176" style="position:absolute;left:0pt;margin-left:-35.9pt;margin-top:13.75pt;height:39pt;width:108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结案</w:t>
                  </w:r>
                </w:p>
                <w:p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依法向社会公开</w:t>
                  </w:r>
                </w:p>
              </w:txbxContent>
            </v:textbox>
          </v:shape>
        </w:pict>
      </w:r>
      <w:r>
        <w:t xml:space="preserve"> </w:t>
      </w:r>
    </w:p>
    <w:p>
      <w:pPr>
        <w:spacing w:line="600" w:lineRule="exact"/>
      </w:pPr>
      <w:r>
        <w:pict>
          <v:shape id="_x0000_s1061" o:spid="_x0000_s1061" o:spt="32" type="#_x0000_t32" style="position:absolute;left:0pt;flip:x;margin-left:72.1pt;margin-top:14.25pt;height:0.05pt;width:297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sectPr>
      <w:pgSz w:w="11906" w:h="16838"/>
      <w:pgMar w:top="1418" w:right="1247" w:bottom="1418" w:left="1247" w:header="851" w:footer="992" w:gutter="227"/>
      <w:cols w:space="425" w:num="1"/>
      <w:docGrid w:type="linesAndChars" w:linePitch="50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60"/>
  <w:drawingGridVerticalSpacing w:val="25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0CB1"/>
    <w:rsid w:val="0007294C"/>
    <w:rsid w:val="00081B51"/>
    <w:rsid w:val="000A7C7A"/>
    <w:rsid w:val="000C5FCF"/>
    <w:rsid w:val="0010722E"/>
    <w:rsid w:val="001827B1"/>
    <w:rsid w:val="001A4C19"/>
    <w:rsid w:val="001A684A"/>
    <w:rsid w:val="001E5C1E"/>
    <w:rsid w:val="00205682"/>
    <w:rsid w:val="00255C82"/>
    <w:rsid w:val="002C5BCC"/>
    <w:rsid w:val="002E2FB5"/>
    <w:rsid w:val="00310BC1"/>
    <w:rsid w:val="003127BD"/>
    <w:rsid w:val="0032562B"/>
    <w:rsid w:val="00341AAE"/>
    <w:rsid w:val="003811F4"/>
    <w:rsid w:val="003D0CAF"/>
    <w:rsid w:val="003D27A4"/>
    <w:rsid w:val="003F01A8"/>
    <w:rsid w:val="004530E1"/>
    <w:rsid w:val="00454B5A"/>
    <w:rsid w:val="0046337D"/>
    <w:rsid w:val="00475408"/>
    <w:rsid w:val="00490CB1"/>
    <w:rsid w:val="0049205F"/>
    <w:rsid w:val="004A66DC"/>
    <w:rsid w:val="00502ECD"/>
    <w:rsid w:val="00532C7E"/>
    <w:rsid w:val="00546284"/>
    <w:rsid w:val="005610F4"/>
    <w:rsid w:val="005D7DAD"/>
    <w:rsid w:val="005E2679"/>
    <w:rsid w:val="00627CC7"/>
    <w:rsid w:val="00654B29"/>
    <w:rsid w:val="006769DD"/>
    <w:rsid w:val="006C4073"/>
    <w:rsid w:val="007376A9"/>
    <w:rsid w:val="00786BD8"/>
    <w:rsid w:val="007A760A"/>
    <w:rsid w:val="00846180"/>
    <w:rsid w:val="0086744D"/>
    <w:rsid w:val="0088501A"/>
    <w:rsid w:val="008A5EAF"/>
    <w:rsid w:val="00971916"/>
    <w:rsid w:val="009F47BF"/>
    <w:rsid w:val="00A24926"/>
    <w:rsid w:val="00A273A0"/>
    <w:rsid w:val="00A46FD0"/>
    <w:rsid w:val="00A6103B"/>
    <w:rsid w:val="00AB0E9E"/>
    <w:rsid w:val="00AD4646"/>
    <w:rsid w:val="00AF6D94"/>
    <w:rsid w:val="00B43492"/>
    <w:rsid w:val="00B7389C"/>
    <w:rsid w:val="00B76A98"/>
    <w:rsid w:val="00BB450A"/>
    <w:rsid w:val="00C443D1"/>
    <w:rsid w:val="00C44911"/>
    <w:rsid w:val="00C619BB"/>
    <w:rsid w:val="00C9677F"/>
    <w:rsid w:val="00CA0027"/>
    <w:rsid w:val="00CA5626"/>
    <w:rsid w:val="00CB4960"/>
    <w:rsid w:val="00CE0F02"/>
    <w:rsid w:val="00CF2F94"/>
    <w:rsid w:val="00CF326B"/>
    <w:rsid w:val="00D6180F"/>
    <w:rsid w:val="00D623EC"/>
    <w:rsid w:val="00D810C9"/>
    <w:rsid w:val="00D86103"/>
    <w:rsid w:val="00D87F26"/>
    <w:rsid w:val="00DC1DAD"/>
    <w:rsid w:val="00DC55CC"/>
    <w:rsid w:val="00DD0E6D"/>
    <w:rsid w:val="00DE0E61"/>
    <w:rsid w:val="00E02010"/>
    <w:rsid w:val="00E0567E"/>
    <w:rsid w:val="00E32ADA"/>
    <w:rsid w:val="00E95E1C"/>
    <w:rsid w:val="00EA0BBE"/>
    <w:rsid w:val="00EF5D14"/>
    <w:rsid w:val="00F12C88"/>
    <w:rsid w:val="00F17FF0"/>
    <w:rsid w:val="00F966E1"/>
    <w:rsid w:val="1AC1724E"/>
    <w:rsid w:val="4131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4"/>
        <o:r id="V:Rule2" type="connector" idref="#_x0000_s1048"/>
        <o:r id="V:Rule3" type="connector" idref="#_x0000_s1054"/>
        <o:r id="V:Rule4" type="connector" idref="#_x0000_s1057"/>
        <o:r id="V:Rule5" type="connector" idref="#_x0000_s1059"/>
        <o:r id="V:Rule6" type="connector" idref="#_x0000_s106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uiPriority w:val="99"/>
    <w:pPr>
      <w:widowControl/>
    </w:pPr>
    <w:rPr>
      <w:kern w:val="0"/>
      <w:sz w:val="21"/>
      <w:szCs w:val="21"/>
    </w:rPr>
  </w:style>
  <w:style w:type="character" w:customStyle="1" w:styleId="7">
    <w:name w:val="info1"/>
    <w:basedOn w:val="5"/>
    <w:qFormat/>
    <w:uiPriority w:val="99"/>
    <w:rPr>
      <w:rFonts w:cs="Times New Roman"/>
      <w:spacing w:val="15"/>
      <w:sz w:val="21"/>
      <w:szCs w:val="21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495</Words>
  <Characters>2825</Characters>
  <Lines>0</Lines>
  <Paragraphs>0</Paragraphs>
  <TotalTime>2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2017-11-17T06:27:00Z</dcterms:created>
  <dc:creator>PC</dc:creator>
  <cp:lastModifiedBy>Administrator</cp:lastModifiedBy>
  <dcterms:modified xsi:type="dcterms:W3CDTF">2019-11-25T09:02:24Z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