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autoSpaceDN w:val="0"/>
        <w:spacing w:line="360" w:lineRule="auto"/>
        <w:jc w:val="center"/>
        <w:rPr>
          <w:rFonts w:ascii="Times New Roman" w:hAnsi="Times New Roman" w:eastAsia="黑体" w:cs="Times New Roman"/>
          <w:color w:val="FF0000"/>
          <w:sz w:val="52"/>
          <w:szCs w:val="52"/>
          <w:lang w:eastAsia="zh-CN"/>
        </w:rPr>
      </w:pPr>
    </w:p>
    <w:p>
      <w:pPr>
        <w:pStyle w:val="15"/>
        <w:autoSpaceDN w:val="0"/>
        <w:spacing w:line="360" w:lineRule="auto"/>
        <w:jc w:val="center"/>
        <w:rPr>
          <w:rFonts w:ascii="Times New Roman" w:hAnsi="Times New Roman" w:cs="Times New Roman"/>
          <w:color w:val="FF0000"/>
          <w:sz w:val="52"/>
          <w:szCs w:val="52"/>
          <w:lang w:eastAsia="zh-CN"/>
        </w:rPr>
      </w:pPr>
      <w:r>
        <w:rPr>
          <w:rFonts w:ascii="Times New Roman" w:hAnsi="Times New Roman" w:eastAsia="黑体" w:cs="Times New Roman"/>
          <w:color w:val="FF0000"/>
          <w:sz w:val="52"/>
          <w:szCs w:val="52"/>
          <w:lang w:eastAsia="zh-CN"/>
        </w:rPr>
        <w:t>融 水 苗 族 自 治 县</w:t>
      </w:r>
    </w:p>
    <w:p>
      <w:pPr>
        <w:spacing w:line="1500" w:lineRule="exact"/>
        <w:jc w:val="center"/>
        <w:rPr>
          <w:rFonts w:ascii="Times New Roman" w:hAnsi="Times New Roman"/>
          <w:b/>
          <w:bCs/>
          <w:color w:val="FF0000"/>
          <w:spacing w:val="20"/>
          <w:sz w:val="72"/>
          <w:szCs w:val="72"/>
        </w:rPr>
      </w:pPr>
      <w:r>
        <w:rPr>
          <w:rFonts w:ascii="Times New Roman" w:hAnsi="Times New Roman" w:eastAsia="方正小标宋简体"/>
          <w:color w:val="FF0000"/>
          <w:sz w:val="84"/>
          <w:szCs w:val="84"/>
        </w:rPr>
        <w:t>市场监督管理局文件</w:t>
      </w:r>
      <w:r>
        <w:rPr>
          <w:rFonts w:ascii="Times New Roman" w:hAnsi="Times New Roman"/>
          <w:b/>
          <w:bCs/>
          <w:color w:val="FF0000"/>
          <w:sz w:val="84"/>
          <w:szCs w:val="8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/>
          <w:b/>
          <w:bCs/>
          <w:spacing w:val="20"/>
          <w:sz w:val="72"/>
          <w:szCs w:val="7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融市监发〔2021〕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00" w:lineRule="exact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531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4pt;height:0.05pt;width:453pt;z-index:251659264;mso-width-relative:page;mso-height-relative:page;" filled="f" stroked="t" coordsize="21600,21600" o:gfxdata="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ggzs0wAAAAYBAAAPAAAAAAAAAAEAIAAAACIAAABkcnMvZG93bnJldi54bWxQ&#10;SwECFAAUAAAACACHTuJA4LZgePwBAAD1AwAADgAAAAAAAAABACAAAAAi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融水县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市场监管局关于印发《2021年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融水县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市场监管系统民生领域案件查办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“铁拳”行动实施方案》的通知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ascii="方正仿宋_GBK" w:hAnsi="方正仿宋_GBK" w:eastAsia="方正仿宋_GBK" w:cs="方正仿宋_GBK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各市场监管所，执法稽查大队，局机关各股室：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现将《2021年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融水县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市场监管系统民生领域案件查办“铁拳”行动实施方案》印发给你们，请结合实际认真组织实施。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融水苗族自治县市场监督管理局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2021年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融水县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市场监管系统民生领域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案件查办“铁拳”行动实施方案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ascii="楷体_GB2312" w:hAnsi="楷体_GB2312" w:eastAsia="楷体_GB2312" w:cs="楷体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今年是中国共产党建党一百周年大庆之年，也是十四五规划开局之年，为贯彻落实习近平总书记视察广西重要讲话和重要指示精神，以“起步就要提速、开局就要争先”的姿态，聚焦民生领域，加大执法力度，查办一批重点案件，严惩一批违法主体，曝光一批典型案例，在执法资源有限的情况下获取最大执法效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《柳州市市场监管局关于印发&lt;2021年柳州市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市场监管系统民生领域案件查办</w:t>
      </w:r>
      <w:r>
        <w:rPr>
          <w:rFonts w:hint="eastAsia" w:ascii="仿宋_GB2312" w:hAnsi="仿宋_GB2312" w:eastAsia="仿宋_GB2312" w:cs="仿宋_GB2312"/>
          <w:sz w:val="32"/>
          <w:szCs w:val="32"/>
        </w:rPr>
        <w:t>“铁拳”行动实施方案&gt;的通知》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（柳市监发〔2021〕8号）精神，结合我局实际，</w:t>
      </w:r>
      <w:r>
        <w:rPr>
          <w:rFonts w:hint="eastAsia" w:ascii="Times New Roman" w:hAnsi="Times New Roman" w:cs="Times New Roman"/>
          <w:szCs w:val="32"/>
        </w:rPr>
        <w:t>特制定本实施方案。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一、工作目标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落实国家市场监管总局、自治区</w:t>
      </w:r>
      <w:r>
        <w:rPr>
          <w:rFonts w:hint="eastAsia" w:ascii="Times New Roman" w:hAnsi="Times New Roman" w:cs="Times New Roman"/>
          <w:szCs w:val="32"/>
          <w:lang w:eastAsia="zh-CN"/>
        </w:rPr>
        <w:t>、柳州市</w:t>
      </w:r>
      <w:r>
        <w:rPr>
          <w:rFonts w:hint="eastAsia" w:ascii="Times New Roman" w:hAnsi="Times New Roman" w:cs="Times New Roman"/>
          <w:szCs w:val="32"/>
        </w:rPr>
        <w:t>市场监管局决策部署，针对群众反映强烈、社会舆论关注和市场监管风险压力大的突出问题，集中优势兵力，精准重拳出击，依法查办一批群众身边性质恶劣的典型案件，切实加大处罚力度，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推动常态化开展扫黑除恶专项斗争工作</w:t>
      </w:r>
      <w:r>
        <w:rPr>
          <w:rFonts w:hint="eastAsia" w:ascii="Times New Roman" w:hAnsi="Times New Roman" w:cs="Times New Roman"/>
          <w:szCs w:val="32"/>
        </w:rPr>
        <w:t>。加强宣传和案例曝光，充分发挥警示震慑作用，实现查办一案警示一片，有效遏制违法现象多发势头，着力化解和防范市场风险，努力营造安全放心的消费环境，不断提升人民群众的满意度和获得感。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二、聚焦民生领域，突出案件查办重点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坚持问题导向、目标导向，聚焦关系群众生命健康安全的重点商品，贴近群众生活的重点服务行业，以及农村与城乡结合部市场、制售假冒伪劣产品多发的重点区域，重拳出击，严厉打击以下违法行为：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（一）销售药残超标的畜产品、水产品及未经检验检疫或检出“瘦肉精”的肉类。（牵头单位：食品经营</w:t>
      </w:r>
      <w:r>
        <w:rPr>
          <w:rFonts w:hint="eastAsia" w:ascii="仿宋_GB2312" w:hAnsi="仿宋_GB2312" w:cs="仿宋_GB2312"/>
          <w:szCs w:val="32"/>
          <w:lang w:eastAsia="zh-CN"/>
        </w:rPr>
        <w:t>股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质量发展与科技认证管理股</w:t>
      </w:r>
      <w:r>
        <w:rPr>
          <w:rFonts w:hint="eastAsia" w:ascii="仿宋_GB2312" w:hAnsi="仿宋_GB2312" w:cs="仿宋_GB2312"/>
          <w:szCs w:val="32"/>
        </w:rPr>
        <w:t>，责任单位：各市场监管</w:t>
      </w:r>
      <w:r>
        <w:rPr>
          <w:rFonts w:hint="eastAsia" w:ascii="仿宋_GB2312" w:hAnsi="仿宋_GB2312" w:cs="仿宋_GB2312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（二）</w:t>
      </w:r>
      <w:r>
        <w:rPr>
          <w:rFonts w:hint="eastAsia" w:ascii="仿宋_GB2312" w:hAnsi="仿宋_GB2312" w:cs="仿宋_GB2312"/>
          <w:szCs w:val="32"/>
        </w:rPr>
        <w:t>宣称减肥和降糖降压降脂等功能的食品中添加药品。（牵头单位：食品经营</w:t>
      </w:r>
      <w:r>
        <w:rPr>
          <w:rFonts w:hint="eastAsia" w:ascii="仿宋_GB2312" w:hAnsi="仿宋_GB2312" w:cs="仿宋_GB2312"/>
          <w:szCs w:val="32"/>
          <w:lang w:eastAsia="zh-CN"/>
        </w:rPr>
        <w:t>股</w:t>
      </w:r>
      <w:r>
        <w:rPr>
          <w:rFonts w:hint="eastAsia" w:ascii="仿宋_GB2312" w:hAnsi="仿宋_GB2312" w:cs="仿宋_GB2312"/>
          <w:szCs w:val="32"/>
        </w:rPr>
        <w:t>，责任单位：各市场监管</w:t>
      </w:r>
      <w:r>
        <w:rPr>
          <w:rFonts w:hint="eastAsia" w:ascii="仿宋_GB2312" w:hAnsi="仿宋_GB2312" w:cs="仿宋_GB2312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（三）生产销售劣质儿童玩具。（牵头单位：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质量发展与科技认证管理股</w:t>
      </w:r>
      <w:r>
        <w:rPr>
          <w:rFonts w:hint="eastAsia" w:ascii="仿宋_GB2312" w:hAnsi="仿宋_GB2312" w:cs="仿宋_GB2312"/>
          <w:szCs w:val="32"/>
        </w:rPr>
        <w:t>，责任单位：各市场监管</w:t>
      </w:r>
      <w:r>
        <w:rPr>
          <w:rFonts w:hint="eastAsia" w:ascii="仿宋_GB2312" w:hAnsi="仿宋_GB2312" w:cs="仿宋_GB2312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（四）违法违规乱收费。（牵头单位：价竞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szCs w:val="32"/>
        </w:rPr>
        <w:t>，责任单位：各市场监管</w:t>
      </w:r>
      <w:r>
        <w:rPr>
          <w:rFonts w:hint="eastAsia" w:ascii="仿宋_GB2312" w:hAnsi="仿宋_GB2312" w:cs="仿宋_GB2312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</w:rPr>
        <w:t>（五）翻新“黑气瓶”。（牵头单位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特种设备安全监察股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，责任单位：各市场监管</w:t>
      </w:r>
      <w:r>
        <w:rPr>
          <w:rFonts w:hint="eastAsia" w:ascii="仿宋_GB2312" w:hAnsi="仿宋_GB2312" w:eastAsia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eastAsia="仿宋_GB2312" w:cs="仿宋_GB2312"/>
          <w:b w:val="0"/>
          <w:bCs w:val="0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（六）农村市场“山寨”酒水饮料、节令食品。（牵头单位：食品经营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szCs w:val="32"/>
        </w:rPr>
        <w:t>、商</w:t>
      </w:r>
      <w:r>
        <w:rPr>
          <w:rFonts w:hint="eastAsia" w:ascii="仿宋_GB2312" w:hAnsi="仿宋_GB2312" w:cs="仿宋_GB2312"/>
          <w:szCs w:val="32"/>
          <w:lang w:eastAsia="zh-CN"/>
        </w:rPr>
        <w:t>广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szCs w:val="32"/>
        </w:rPr>
        <w:t>，责任单位：各市场监管</w:t>
      </w:r>
      <w:r>
        <w:rPr>
          <w:rFonts w:hint="eastAsia" w:ascii="仿宋_GB2312" w:hAnsi="仿宋_GB2312" w:cs="仿宋_GB2312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（七）</w:t>
      </w:r>
      <w:r>
        <w:rPr>
          <w:rFonts w:hint="eastAsia" w:ascii="仿宋_GB2312" w:hAnsi="仿宋_GB2312" w:cs="仿宋_GB2312"/>
          <w:szCs w:val="32"/>
        </w:rPr>
        <w:t>吹嘘“神医”“神药”，教育培训、房地产、金融投资等虚假违法广告。（牵头单位：商</w:t>
      </w:r>
      <w:r>
        <w:rPr>
          <w:rFonts w:hint="eastAsia" w:ascii="仿宋_GB2312" w:hAnsi="仿宋_GB2312" w:cs="仿宋_GB2312"/>
          <w:szCs w:val="32"/>
          <w:lang w:eastAsia="zh-CN"/>
        </w:rPr>
        <w:t>广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szCs w:val="32"/>
        </w:rPr>
        <w:t>，责任单位：各市场监管</w:t>
      </w:r>
      <w:r>
        <w:rPr>
          <w:rFonts w:hint="eastAsia" w:ascii="仿宋_GB2312" w:hAnsi="仿宋_GB2312" w:cs="仿宋_GB2312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leftChars="0" w:right="0" w:rightChars="0" w:firstLine="0" w:firstLineChars="0"/>
        <w:textAlignment w:val="auto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 w:ascii="仿宋_GB2312" w:hAnsi="仿宋_GB2312" w:cs="仿宋_GB2312"/>
          <w:b w:val="0"/>
          <w:bCs w:val="0"/>
        </w:rPr>
        <w:t>（八）生产销售假冒伪劣家用燃气具产品。（牵头单位：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质量发展与科技认证管理股</w:t>
      </w:r>
      <w:r>
        <w:rPr>
          <w:rFonts w:hint="eastAsia" w:ascii="仿宋_GB2312" w:hAnsi="仿宋_GB2312" w:cs="仿宋_GB2312"/>
          <w:b w:val="0"/>
          <w:bCs w:val="0"/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b w:val="0"/>
          <w:bCs w:val="0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b w:val="0"/>
          <w:bCs w:val="0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（九）生产销售假冒伪劣电动自行车充电器等重点消防产品。（牵头单位：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质量发展与科技认证管理股</w:t>
      </w:r>
      <w:r>
        <w:rPr>
          <w:rFonts w:hint="eastAsia" w:ascii="仿宋_GB2312" w:hAnsi="仿宋_GB2312" w:cs="仿宋_GB2312"/>
          <w:b w:val="0"/>
          <w:bCs w:val="0"/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b w:val="0"/>
          <w:bCs w:val="0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（十）生产销售假冒伪劣蓄电池等重点环保产品。（牵头单位：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（十一）生产不合格预包装柳州螺蛳粉。（牵头单位：食品生产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（十二）销售假冒伪劣化妆品。（牵头单位：</w:t>
      </w:r>
      <w:r>
        <w:rPr>
          <w:rFonts w:hint="eastAsia" w:ascii="仿宋_GB2312" w:hAnsi="仿宋_GB2312" w:cs="仿宋_GB2312"/>
          <w:szCs w:val="32"/>
          <w:lang w:eastAsia="zh-CN"/>
        </w:rPr>
        <w:t>药</w:t>
      </w:r>
      <w:r>
        <w:rPr>
          <w:rFonts w:hint="eastAsia" w:ascii="仿宋_GB2312" w:hAnsi="仿宋_GB2312" w:cs="仿宋_GB2312"/>
          <w:szCs w:val="32"/>
        </w:rPr>
        <w:t>化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szCs w:val="32"/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b w:val="0"/>
          <w:bCs w:val="0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（十三）生产销售假冒知识产权（专利、商标等）产品。（牵头单位：知识产权商</w:t>
      </w:r>
      <w:r>
        <w:rPr>
          <w:rFonts w:hint="eastAsia" w:ascii="仿宋_GB2312" w:hAnsi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广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（十四）生产销售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家装建材、服装百货类商品商标侵权行为，实施餐饮服务类服务商标侵权行为。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（牵头单位：商</w:t>
      </w:r>
      <w:r>
        <w:rPr>
          <w:rFonts w:hint="eastAsia" w:ascii="仿宋_GB2312" w:hAnsi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广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b w:val="0"/>
          <w:bCs w:val="0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（十五）经营使用无证、过期和不按要求贮存医疗器械。（牵头单位：</w:t>
      </w:r>
      <w:r>
        <w:rPr>
          <w:rFonts w:hint="eastAsia" w:ascii="仿宋_GB2312" w:hAnsi="仿宋_GB2312" w:cs="仿宋_GB2312"/>
          <w:szCs w:val="32"/>
          <w:lang w:eastAsia="zh-CN"/>
        </w:rPr>
        <w:t>药</w:t>
      </w:r>
      <w:r>
        <w:rPr>
          <w:rFonts w:hint="eastAsia" w:ascii="仿宋_GB2312" w:hAnsi="仿宋_GB2312" w:cs="仿宋_GB2312"/>
          <w:szCs w:val="32"/>
        </w:rPr>
        <w:t>化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b w:val="0"/>
          <w:bCs w:val="0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cs="黑体"/>
          <w:kern w:val="0"/>
          <w:szCs w:val="32"/>
        </w:rPr>
      </w:pPr>
      <w:r>
        <w:rPr>
          <w:rFonts w:hint="eastAsia" w:ascii="Times New Roman" w:hAnsi="Times New Roman" w:cs="Times New Roman"/>
          <w:szCs w:val="32"/>
        </w:rPr>
        <w:t>以上工作重点任务，涉及多个牵头部门的，排名第一位的部门为该项工作的总牵头部门。各市场监管</w:t>
      </w:r>
      <w:r>
        <w:rPr>
          <w:rFonts w:hint="eastAsia" w:ascii="Times New Roman" w:hAnsi="Times New Roman" w:cs="Times New Roman"/>
          <w:szCs w:val="32"/>
          <w:lang w:eastAsia="zh-CN"/>
        </w:rPr>
        <w:t>所</w:t>
      </w:r>
      <w:r>
        <w:rPr>
          <w:rFonts w:hint="eastAsia" w:ascii="Times New Roman" w:hAnsi="Times New Roman" w:cs="Times New Roman"/>
          <w:szCs w:val="32"/>
        </w:rPr>
        <w:t xml:space="preserve">要按照“规定动作”与“自选动作”相结合的原则，根据本地实际情况，聚焦民生领域，确定本辖区案件查办重点，做到行业指向明确、商品种类清晰、违法行为具体。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三、创新执法方式，切实加大案件查办力度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（一）拓宽线索摸排渠道。</w:t>
      </w:r>
      <w:r>
        <w:rPr>
          <w:rFonts w:hint="eastAsia" w:ascii="仿宋_GB2312" w:cs="黑体"/>
          <w:kern w:val="0"/>
          <w:szCs w:val="32"/>
        </w:rPr>
        <w:t>加强网络交易监测和12315平台大数据动态分析，为执法办案提供靶向信息。</w:t>
      </w:r>
      <w:r>
        <w:rPr>
          <w:rFonts w:hint="eastAsia" w:ascii="Times New Roman" w:hAnsi="Times New Roman" w:cs="Times New Roman"/>
          <w:szCs w:val="32"/>
        </w:rPr>
        <w:t>畅通日常监管与执法办案之间线索移送渠道，及时获取</w:t>
      </w:r>
      <w:r>
        <w:rPr>
          <w:rFonts w:hint="eastAsia" w:ascii="仿宋_GB2312" w:cs="黑体"/>
          <w:kern w:val="0"/>
          <w:szCs w:val="32"/>
        </w:rPr>
        <w:t>产品抽检、飞行检查及日常监管发现的违法信息。密切关注舆情动态，加强与行业协会、社会组织、企业等交流，研判分析社会关注热点和业内突出问题，多方汇集违法线索。</w:t>
      </w:r>
      <w:r>
        <w:rPr>
          <w:rFonts w:hint="eastAsia" w:ascii="仿宋_GB2312" w:hAnsi="宋体" w:cs="Times New Roman"/>
          <w:szCs w:val="32"/>
        </w:rPr>
        <w:t>加强与相关执法部门的沟通，及时互通相关违法信息</w:t>
      </w:r>
      <w:r>
        <w:rPr>
          <w:rFonts w:hint="eastAsia" w:ascii="仿宋_GB2312" w:cs="黑体"/>
          <w:kern w:val="0"/>
          <w:szCs w:val="32"/>
        </w:rPr>
        <w:t>。加强对</w:t>
      </w:r>
      <w:r>
        <w:rPr>
          <w:rFonts w:hint="eastAsia" w:ascii="仿宋_GB2312" w:hAnsi="仿宋_GB2312" w:cs="仿宋_GB2312"/>
          <w:szCs w:val="32"/>
        </w:rPr>
        <w:t>零散违法线索的</w:t>
      </w:r>
      <w:r>
        <w:rPr>
          <w:rFonts w:hint="eastAsia" w:ascii="仿宋_GB2312" w:cs="黑体"/>
          <w:kern w:val="0"/>
          <w:szCs w:val="32"/>
        </w:rPr>
        <w:t>整合分析</w:t>
      </w:r>
      <w:r>
        <w:rPr>
          <w:rFonts w:hint="eastAsia" w:ascii="仿宋_GB2312" w:hAnsi="仿宋_GB2312" w:cs="仿宋_GB2312"/>
          <w:szCs w:val="32"/>
        </w:rPr>
        <w:t>，持续</w:t>
      </w:r>
      <w:r>
        <w:rPr>
          <w:rFonts w:hint="eastAsia" w:ascii="仿宋_GB2312" w:cs="黑体"/>
          <w:kern w:val="0"/>
          <w:szCs w:val="32"/>
        </w:rPr>
        <w:t>跟踪</w:t>
      </w:r>
      <w:r>
        <w:rPr>
          <w:rFonts w:hint="eastAsia" w:ascii="仿宋_GB2312" w:hAnsi="仿宋_GB2312" w:cs="仿宋_GB2312"/>
          <w:szCs w:val="32"/>
        </w:rPr>
        <w:t>挖掘</w:t>
      </w:r>
      <w:r>
        <w:rPr>
          <w:rFonts w:hint="eastAsia" w:ascii="Times New Roman" w:hAnsi="Times New Roman" w:cs="Times New Roman"/>
          <w:szCs w:val="32"/>
        </w:rPr>
        <w:t>违法行为。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楷体_GB2312" w:eastAsia="楷体_GB2312" w:cs="黑体"/>
          <w:kern w:val="0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（二）加强上下协调联动。</w:t>
      </w:r>
      <w:r>
        <w:rPr>
          <w:rFonts w:hint="eastAsia" w:ascii="仿宋_GB2312" w:eastAsia="楷体_GB2312" w:cs="黑体"/>
          <w:kern w:val="0"/>
          <w:szCs w:val="32"/>
          <w:lang w:eastAsia="zh-CN"/>
        </w:rPr>
        <w:t>县</w:t>
      </w:r>
      <w:r>
        <w:rPr>
          <w:rFonts w:hint="eastAsia" w:ascii="仿宋_GB2312" w:cs="黑体"/>
          <w:kern w:val="0"/>
          <w:szCs w:val="32"/>
        </w:rPr>
        <w:t>局各相关</w:t>
      </w:r>
      <w:r>
        <w:rPr>
          <w:rFonts w:hint="eastAsia" w:ascii="仿宋_GB2312" w:cs="黑体"/>
          <w:kern w:val="0"/>
          <w:szCs w:val="32"/>
          <w:lang w:eastAsia="zh-CN"/>
        </w:rPr>
        <w:t>股</w:t>
      </w:r>
      <w:r>
        <w:rPr>
          <w:rFonts w:hint="eastAsia" w:ascii="仿宋_GB2312" w:cs="黑体"/>
          <w:kern w:val="0"/>
          <w:szCs w:val="32"/>
        </w:rPr>
        <w:t>室要加强对案件查办工作的组织指导，</w:t>
      </w:r>
      <w:r>
        <w:rPr>
          <w:rFonts w:hint="eastAsia" w:ascii="Times New Roman" w:hAnsi="Times New Roman" w:cs="Times New Roman"/>
          <w:szCs w:val="32"/>
          <w:shd w:val="clear" w:color="auto" w:fill="FFFFFF"/>
          <w:lang w:val="zh-TW"/>
        </w:rPr>
        <w:t>及时研究解决执法办案中的疑难问题，</w:t>
      </w:r>
      <w:r>
        <w:rPr>
          <w:rFonts w:hint="eastAsia" w:ascii="仿宋_GB2312"/>
          <w:szCs w:val="32"/>
        </w:rPr>
        <w:t>发挥好</w:t>
      </w:r>
      <w:r>
        <w:rPr>
          <w:rFonts w:hint="eastAsia" w:ascii="仿宋_GB2312"/>
          <w:szCs w:val="32"/>
          <w:lang w:eastAsia="zh-CN"/>
        </w:rPr>
        <w:t>市场监管</w:t>
      </w:r>
      <w:r>
        <w:rPr>
          <w:rFonts w:hint="eastAsia" w:ascii="仿宋_GB2312"/>
          <w:szCs w:val="32"/>
        </w:rPr>
        <w:t>所执法办案主力军作用。</w:t>
      </w:r>
      <w:r>
        <w:rPr>
          <w:rFonts w:hint="eastAsia" w:ascii="仿宋_GB2312" w:cs="黑体"/>
          <w:kern w:val="0"/>
          <w:szCs w:val="32"/>
        </w:rPr>
        <w:t>对于重大跨区域案件，</w:t>
      </w:r>
      <w:r>
        <w:rPr>
          <w:rFonts w:hint="eastAsia" w:ascii="仿宋_GB2312" w:cs="黑体"/>
          <w:kern w:val="0"/>
          <w:szCs w:val="32"/>
          <w:lang w:eastAsia="zh-CN"/>
        </w:rPr>
        <w:t>县</w:t>
      </w:r>
      <w:r>
        <w:rPr>
          <w:rFonts w:hint="eastAsia" w:ascii="仿宋_GB2312" w:cs="黑体"/>
          <w:kern w:val="0"/>
          <w:szCs w:val="32"/>
        </w:rPr>
        <w:t>局相关</w:t>
      </w:r>
      <w:r>
        <w:rPr>
          <w:rFonts w:hint="eastAsia" w:ascii="仿宋_GB2312" w:cs="黑体"/>
          <w:kern w:val="0"/>
          <w:szCs w:val="32"/>
          <w:lang w:eastAsia="zh-CN"/>
        </w:rPr>
        <w:t>股</w:t>
      </w:r>
      <w:r>
        <w:rPr>
          <w:rFonts w:hint="eastAsia" w:ascii="仿宋_GB2312" w:cs="黑体"/>
          <w:kern w:val="0"/>
          <w:szCs w:val="32"/>
        </w:rPr>
        <w:t>室要统一组织执法行动，协调开展“集群作战”；建立跨区域线索登记、上报、申请督办制度，线索跨</w:t>
      </w:r>
      <w:r>
        <w:rPr>
          <w:rFonts w:hint="eastAsia" w:ascii="仿宋_GB2312" w:cs="黑体"/>
          <w:kern w:val="0"/>
          <w:szCs w:val="32"/>
          <w:lang w:eastAsia="zh-CN"/>
        </w:rPr>
        <w:t>乡镇</w:t>
      </w:r>
      <w:r>
        <w:rPr>
          <w:rFonts w:hint="eastAsia" w:ascii="仿宋_GB2312" w:cs="黑体"/>
          <w:kern w:val="0"/>
          <w:szCs w:val="32"/>
        </w:rPr>
        <w:t>报县局</w:t>
      </w:r>
      <w:r>
        <w:rPr>
          <w:rFonts w:hint="eastAsia" w:ascii="仿宋_GB2312" w:cs="黑体"/>
          <w:kern w:val="0"/>
          <w:szCs w:val="32"/>
          <w:lang w:eastAsia="zh-CN"/>
        </w:rPr>
        <w:t>，</w:t>
      </w:r>
      <w:r>
        <w:rPr>
          <w:rFonts w:hint="eastAsia" w:ascii="仿宋_GB2312" w:cs="黑体"/>
          <w:kern w:val="0"/>
          <w:szCs w:val="32"/>
        </w:rPr>
        <w:t>跨县区报市局；</w:t>
      </w:r>
      <w:r>
        <w:rPr>
          <w:rFonts w:hint="eastAsia" w:ascii="仿宋_GB2312" w:cs="黑体"/>
          <w:kern w:val="0"/>
          <w:szCs w:val="32"/>
          <w:lang w:val="zh-TW" w:eastAsia="zh-TW"/>
        </w:rPr>
        <w:t>对</w:t>
      </w:r>
      <w:r>
        <w:rPr>
          <w:rFonts w:hint="eastAsia" w:ascii="仿宋_GB2312" w:cs="黑体"/>
          <w:kern w:val="0"/>
          <w:szCs w:val="32"/>
          <w:lang w:val="zh-TW"/>
        </w:rPr>
        <w:t>于复杂案件及查处阻力较大的案件</w:t>
      </w:r>
      <w:r>
        <w:rPr>
          <w:rFonts w:hint="eastAsia" w:ascii="Times New Roman" w:hAnsi="Times New Roman" w:cs="Times New Roman"/>
          <w:szCs w:val="32"/>
          <w:shd w:val="clear" w:color="auto" w:fill="FFFFFF"/>
          <w:lang w:val="zh-TW"/>
        </w:rPr>
        <w:t>，</w:t>
      </w:r>
      <w:r>
        <w:rPr>
          <w:rFonts w:hint="eastAsia" w:ascii="仿宋_GB2312" w:cs="黑体"/>
          <w:kern w:val="0"/>
          <w:szCs w:val="32"/>
        </w:rPr>
        <w:t>县局</w:t>
      </w:r>
      <w:r>
        <w:rPr>
          <w:rFonts w:hint="eastAsia" w:ascii="Times New Roman" w:hAnsi="Times New Roman" w:cs="Times New Roman"/>
          <w:szCs w:val="32"/>
          <w:shd w:val="clear" w:color="auto" w:fill="FFFFFF"/>
          <w:lang w:val="zh-TW"/>
        </w:rPr>
        <w:t>要实施</w:t>
      </w:r>
      <w:r>
        <w:rPr>
          <w:rFonts w:ascii="Times New Roman" w:hAnsi="Times New Roman" w:cs="Times New Roman"/>
          <w:szCs w:val="32"/>
          <w:shd w:val="clear" w:color="auto" w:fill="FFFFFF"/>
          <w:lang w:val="zh-TW" w:eastAsia="zh-TW"/>
        </w:rPr>
        <w:t>挂牌督办</w:t>
      </w:r>
      <w:r>
        <w:rPr>
          <w:rFonts w:hint="eastAsia" w:ascii="Times New Roman" w:hAnsi="Times New Roman" w:cs="Times New Roman"/>
          <w:szCs w:val="32"/>
          <w:shd w:val="clear" w:color="auto" w:fill="FFFFFF"/>
          <w:lang w:val="zh-TW"/>
        </w:rPr>
        <w:t>。县</w:t>
      </w:r>
      <w:r>
        <w:rPr>
          <w:rFonts w:hint="eastAsia" w:ascii="仿宋_GB2312" w:cs="黑体"/>
          <w:kern w:val="0"/>
          <w:szCs w:val="32"/>
        </w:rPr>
        <w:t>局</w:t>
      </w:r>
      <w:r>
        <w:rPr>
          <w:rFonts w:hint="eastAsia" w:ascii="Times New Roman" w:hAnsi="Times New Roman" w:cs="Times New Roman"/>
          <w:szCs w:val="32"/>
          <w:shd w:val="clear" w:color="auto" w:fill="FFFFFF"/>
          <w:lang w:val="zh-TW"/>
        </w:rPr>
        <w:t>发现的重大跨区域案件线索，</w:t>
      </w:r>
      <w:r>
        <w:rPr>
          <w:rFonts w:hint="eastAsia" w:ascii="Times New Roman" w:hAnsi="Times New Roman" w:cs="Times New Roman"/>
          <w:szCs w:val="32"/>
        </w:rPr>
        <w:t>可</w:t>
      </w:r>
      <w:r>
        <w:rPr>
          <w:rFonts w:hint="eastAsia" w:ascii="仿宋_GB2312" w:hAnsi="仿宋_GB2312" w:cs="仿宋_GB2312"/>
          <w:szCs w:val="32"/>
        </w:rPr>
        <w:t>报请市局指定管辖或组织查办</w:t>
      </w:r>
      <w:r>
        <w:rPr>
          <w:rFonts w:ascii="仿宋_GB2312" w:cs="黑体"/>
          <w:kern w:val="0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（三）强化区域协查联办。</w:t>
      </w:r>
      <w:r>
        <w:rPr>
          <w:rFonts w:hint="eastAsia" w:ascii="仿宋_GB2312" w:hAnsi="仿宋_GB2312" w:cs="仿宋_GB2312"/>
          <w:szCs w:val="32"/>
        </w:rPr>
        <w:t>牢固树立全链条办案理念，查办个案要</w:t>
      </w:r>
      <w:r>
        <w:rPr>
          <w:rFonts w:hint="eastAsia" w:ascii="Times New Roman" w:hAnsi="Times New Roman" w:cs="Times New Roman"/>
          <w:szCs w:val="32"/>
        </w:rPr>
        <w:t>深挖</w:t>
      </w:r>
      <w:r>
        <w:rPr>
          <w:rFonts w:ascii="Times New Roman" w:hAnsi="Times New Roman" w:cs="Times New Roman"/>
          <w:szCs w:val="32"/>
        </w:rPr>
        <w:t>生产源头和销售网络，</w:t>
      </w:r>
      <w:r>
        <w:rPr>
          <w:rFonts w:hint="eastAsia" w:ascii="Times New Roman" w:hAnsi="Times New Roman" w:cs="Times New Roman"/>
          <w:szCs w:val="32"/>
        </w:rPr>
        <w:t>协同查处上下游关联违法行为，坚持“打点断链挖源”战法，做到“一案三查”，乡</w:t>
      </w:r>
      <w:r>
        <w:rPr>
          <w:rFonts w:hint="eastAsia" w:ascii="Times New Roman" w:hAnsi="Times New Roman" w:cs="Times New Roman"/>
          <w:szCs w:val="32"/>
          <w:lang w:eastAsia="zh-CN"/>
        </w:rPr>
        <w:t>镇</w:t>
      </w:r>
      <w:r>
        <w:rPr>
          <w:rFonts w:hint="eastAsia" w:ascii="Times New Roman" w:hAnsi="Times New Roman" w:cs="Times New Roman"/>
          <w:szCs w:val="32"/>
        </w:rPr>
        <w:t>所打点、县局打链、市局跨县跨市挖源。</w:t>
      </w:r>
      <w:r>
        <w:rPr>
          <w:rFonts w:hint="eastAsia" w:ascii="仿宋_GB2312" w:hAnsi="仿宋" w:cs="仿宋_GB2312"/>
          <w:szCs w:val="32"/>
        </w:rPr>
        <w:t>加强区域间联络会商、线索移送、案件协查，</w:t>
      </w:r>
      <w:r>
        <w:rPr>
          <w:rFonts w:hint="eastAsia" w:ascii="Times New Roman" w:hAnsi="Times New Roman" w:cs="Times New Roman"/>
          <w:szCs w:val="32"/>
          <w:shd w:val="clear" w:color="auto" w:fill="FFFFFF"/>
          <w:lang w:val="zh-TW"/>
        </w:rPr>
        <w:t>在办案中发现违法行为涉及外地的，要将有关情况及时通报涉案地市场监管部门，并可根据需要请求开展协查。涉案地市场监管部门要迅速核查，符合立案条件的，依法立案调查，并及时协查回复。</w:t>
      </w:r>
      <w:r>
        <w:rPr>
          <w:rFonts w:hint="eastAsia" w:ascii="Times New Roman" w:hAnsi="Times New Roman" w:cs="Times New Roman"/>
          <w:szCs w:val="32"/>
        </w:rPr>
        <w:t>对同一主体违反市场监管领域多部法律法规的，</w:t>
      </w:r>
      <w:r>
        <w:rPr>
          <w:rFonts w:hint="eastAsia" w:ascii="Times New Roman" w:hAnsi="Times New Roman" w:cs="Times New Roman"/>
          <w:szCs w:val="32"/>
          <w:shd w:val="clear" w:color="auto" w:fill="FFFFFF"/>
          <w:lang w:val="zh-TW"/>
        </w:rPr>
        <w:t>要</w:t>
      </w:r>
      <w:r>
        <w:rPr>
          <w:rFonts w:hint="eastAsia" w:ascii="Times New Roman" w:hAnsi="Times New Roman" w:cs="Times New Roman"/>
          <w:szCs w:val="32"/>
        </w:rPr>
        <w:t>从不同法律角度</w:t>
      </w:r>
      <w:r>
        <w:rPr>
          <w:rFonts w:hint="eastAsia" w:ascii="Times New Roman" w:hAnsi="Times New Roman" w:cs="Times New Roman"/>
          <w:szCs w:val="32"/>
          <w:shd w:val="clear" w:color="auto" w:fill="FFFFFF"/>
          <w:lang w:val="zh-TW"/>
        </w:rPr>
        <w:t>全面分析违法行为，</w:t>
      </w:r>
      <w:r>
        <w:rPr>
          <w:rFonts w:hint="eastAsia" w:ascii="Times New Roman" w:hAnsi="Times New Roman" w:cs="Times New Roman"/>
          <w:szCs w:val="32"/>
        </w:rPr>
        <w:t>依法一并定性处罚</w:t>
      </w:r>
      <w:r>
        <w:rPr>
          <w:rFonts w:ascii="Times New Roman" w:hAnsi="Times New Roman" w:cs="Times New Roman"/>
          <w:szCs w:val="32"/>
        </w:rPr>
        <w:t>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（四）大力推进行刑衔接。</w:t>
      </w:r>
      <w:r>
        <w:rPr>
          <w:rFonts w:hint="eastAsia" w:ascii="Times New Roman" w:hAnsi="Times New Roman" w:cs="Times New Roman"/>
          <w:szCs w:val="32"/>
        </w:rPr>
        <w:t>按规定</w:t>
      </w:r>
      <w:r>
        <w:rPr>
          <w:rFonts w:ascii="Times New Roman" w:hAnsi="Times New Roman" w:cs="Times New Roman"/>
          <w:szCs w:val="32"/>
          <w:shd w:val="clear" w:color="auto" w:fill="FFFFFF"/>
        </w:rPr>
        <w:t>移送涉嫌犯罪案件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，坚决</w:t>
      </w:r>
      <w:r>
        <w:rPr>
          <w:rFonts w:hint="eastAsia" w:ascii="仿宋_GB2312"/>
          <w:szCs w:val="32"/>
        </w:rPr>
        <w:t>杜绝“以调代罚”“以罚代刑”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。</w:t>
      </w:r>
      <w:r>
        <w:rPr>
          <w:rFonts w:ascii="Times New Roman" w:hAnsi="Times New Roman" w:cs="Times New Roman"/>
          <w:szCs w:val="32"/>
          <w:shd w:val="clear" w:color="auto" w:fill="FFFFFF"/>
        </w:rPr>
        <w:t>对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于公安机关移送的</w:t>
      </w:r>
      <w:r>
        <w:rPr>
          <w:rFonts w:ascii="Times New Roman" w:hAnsi="Times New Roman" w:cs="Times New Roman"/>
          <w:szCs w:val="32"/>
          <w:shd w:val="clear" w:color="auto" w:fill="FFFFFF"/>
        </w:rPr>
        <w:t>非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刑事</w:t>
      </w:r>
      <w:r>
        <w:rPr>
          <w:rFonts w:ascii="Times New Roman" w:hAnsi="Times New Roman" w:cs="Times New Roman"/>
          <w:szCs w:val="32"/>
          <w:shd w:val="clear" w:color="auto" w:fill="FFFFFF"/>
        </w:rPr>
        <w:t>违法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案件，</w:t>
      </w:r>
      <w:r>
        <w:rPr>
          <w:rFonts w:ascii="Times New Roman" w:hAnsi="Times New Roman" w:cs="Times New Roman"/>
          <w:szCs w:val="32"/>
          <w:shd w:val="clear" w:color="auto" w:fill="FFFFFF"/>
        </w:rPr>
        <w:t>依法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及时</w:t>
      </w:r>
      <w:r>
        <w:rPr>
          <w:rFonts w:ascii="Times New Roman" w:hAnsi="Times New Roman" w:cs="Times New Roman"/>
          <w:szCs w:val="32"/>
          <w:shd w:val="clear" w:color="auto" w:fill="FFFFFF"/>
        </w:rPr>
        <w:t>作出处罚。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加强</w:t>
      </w:r>
      <w:r>
        <w:rPr>
          <w:rFonts w:hint="eastAsia" w:ascii="Times New Roman" w:hAnsi="Times New Roman" w:cs="Times New Roman"/>
          <w:szCs w:val="32"/>
        </w:rPr>
        <w:t>与公安机关在信息共享、</w:t>
      </w:r>
      <w:r>
        <w:rPr>
          <w:rFonts w:ascii="Times New Roman" w:hAnsi="Times New Roman" w:cs="Times New Roman"/>
          <w:szCs w:val="32"/>
          <w:shd w:val="clear" w:color="auto" w:fill="FFFFFF"/>
        </w:rPr>
        <w:t>情况通报、</w:t>
      </w:r>
      <w:r>
        <w:rPr>
          <w:rFonts w:hint="eastAsia" w:ascii="Times New Roman" w:hAnsi="Times New Roman" w:cs="Times New Roman"/>
          <w:szCs w:val="32"/>
        </w:rPr>
        <w:t>线索研判等方面协作，对于重大复杂案件，视情请公安机关提前介入，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发挥各自优势，</w:t>
      </w:r>
      <w:r>
        <w:rPr>
          <w:rFonts w:hint="eastAsia" w:ascii="仿宋_GB2312"/>
          <w:szCs w:val="32"/>
        </w:rPr>
        <w:t>联查联办</w:t>
      </w:r>
      <w:r>
        <w:rPr>
          <w:rFonts w:hint="eastAsia" w:ascii="Times New Roman" w:hAnsi="Times New Roman" w:cs="Times New Roman"/>
          <w:szCs w:val="32"/>
          <w:shd w:val="clear" w:color="auto" w:fill="FFFFFF"/>
        </w:rPr>
        <w:t>，</w:t>
      </w:r>
      <w:r>
        <w:rPr>
          <w:rFonts w:hint="eastAsia" w:ascii="仿宋_GB2312"/>
          <w:szCs w:val="32"/>
        </w:rPr>
        <w:t>依法严厉惩处违法行为</w:t>
      </w:r>
      <w:r>
        <w:rPr>
          <w:rFonts w:hint="eastAsia" w:ascii="Times New Roman" w:hAnsi="Times New Roman" w:cs="Times New Roman"/>
          <w:szCs w:val="32"/>
        </w:rPr>
        <w:t>。加强</w:t>
      </w:r>
      <w:r>
        <w:rPr>
          <w:rFonts w:hint="eastAsia" w:ascii="仿宋_GB2312" w:hAnsi="仿宋_GB2312" w:cs="仿宋_GB2312"/>
          <w:szCs w:val="32"/>
        </w:rPr>
        <w:t>与司法机关的沟通，及时会商解决法律适用中的疑难问题，为执法办案提供支撑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四、加强宣传和失信惩戒，充分发挥警示震慑效应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（一）加强宣传统筹策划。</w:t>
      </w:r>
      <w:r>
        <w:rPr>
          <w:rFonts w:hint="eastAsia" w:ascii="仿宋_GB2312" w:hAnsi="宋体" w:cs="Times New Roman"/>
          <w:szCs w:val="32"/>
        </w:rPr>
        <w:t>要制定宣传工作方案，坚持办案与宣传统筹考虑，加强组织策划，选择合适的宣传平台、媒体、内容、方式、节奏，有计划地开展宣传活动，展示案件查办成效，持续释放震慑效果。要根据生产经营活动和消费特点，突出不同时段的宣传主题，集中曝光解读查办的同类案件，形成“合唱”，掀起声势，增强震慑。要密切关注舆情动态，及时回应社会关切。对于</w:t>
      </w:r>
      <w:r>
        <w:rPr>
          <w:rFonts w:hint="eastAsia" w:ascii="仿宋_GB2312" w:hAnsi="仿宋_GB2312" w:cs="仿宋_GB2312"/>
        </w:rPr>
        <w:t>办案中发现的深层次问题以及比较敏感的案件，要及时向</w:t>
      </w:r>
      <w:r>
        <w:rPr>
          <w:rFonts w:hint="eastAsia" w:ascii="仿宋_GB2312" w:hAnsi="仿宋_GB2312" w:cs="仿宋_GB2312"/>
          <w:lang w:eastAsia="zh-CN"/>
        </w:rPr>
        <w:t>县</w:t>
      </w:r>
      <w:r>
        <w:rPr>
          <w:rFonts w:hint="eastAsia" w:ascii="仿宋_GB2312" w:hAnsi="仿宋_GB2312" w:cs="仿宋_GB2312"/>
        </w:rPr>
        <w:t>局报告。</w:t>
      </w:r>
      <w:r>
        <w:rPr>
          <w:rFonts w:hint="eastAsia" w:ascii="仿宋_GB2312" w:hAnsi="仿宋_GB2312" w:cs="仿宋_GB2312"/>
          <w:szCs w:val="32"/>
        </w:rPr>
        <w:t>（牵头单位：</w:t>
      </w:r>
      <w:r>
        <w:rPr>
          <w:rFonts w:hint="eastAsia" w:ascii="仿宋_GB2312" w:hAnsi="仿宋_GB2312" w:cs="仿宋_GB2312"/>
          <w:szCs w:val="32"/>
          <w:lang w:eastAsia="zh-CN"/>
        </w:rPr>
        <w:t>局办</w:t>
      </w:r>
      <w:r>
        <w:rPr>
          <w:rFonts w:hint="eastAsia" w:ascii="仿宋_GB2312" w:hAnsi="仿宋_GB2312" w:cs="仿宋_GB2312"/>
          <w:szCs w:val="32"/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所，</w:t>
      </w:r>
      <w:r>
        <w:rPr>
          <w:rFonts w:hint="eastAsia" w:ascii="仿宋_GB2312" w:eastAsia="楷体_GB2312" w:cs="黑体"/>
          <w:kern w:val="0"/>
          <w:szCs w:val="32"/>
          <w:lang w:eastAsia="zh-CN"/>
        </w:rPr>
        <w:t>县</w:t>
      </w:r>
      <w:r>
        <w:rPr>
          <w:rFonts w:hint="eastAsia" w:ascii="仿宋_GB2312" w:cs="黑体"/>
          <w:kern w:val="0"/>
          <w:szCs w:val="32"/>
        </w:rPr>
        <w:t>局</w:t>
      </w:r>
      <w:r>
        <w:rPr>
          <w:rFonts w:hint="eastAsia" w:ascii="仿宋_GB2312" w:hAnsi="仿宋_GB2312" w:cs="仿宋_GB2312"/>
          <w:b w:val="0"/>
          <w:bCs w:val="0"/>
          <w:szCs w:val="32"/>
        </w:rPr>
        <w:t>各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相关股室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（二）加大案件曝光力度。</w:t>
      </w:r>
      <w:r>
        <w:rPr>
          <w:rFonts w:hint="eastAsia" w:ascii="仿宋_GB2312" w:hAnsi="宋体" w:cs="Times New Roman"/>
          <w:szCs w:val="32"/>
        </w:rPr>
        <w:t>充分利用主流媒体和群众喜闻乐见的新媒体，开展形式多样的宣传活动，提高群众辨识力和自我防护能力；</w:t>
      </w:r>
      <w:r>
        <w:rPr>
          <w:rFonts w:hint="eastAsia" w:ascii="仿宋_GB2312" w:hAnsi="宋体" w:cs="Times New Roman"/>
          <w:szCs w:val="32"/>
          <w:lang w:eastAsia="zh-CN"/>
        </w:rPr>
        <w:t>县</w:t>
      </w:r>
      <w:r>
        <w:rPr>
          <w:rFonts w:hint="eastAsia" w:ascii="仿宋_GB2312" w:hAnsi="宋体" w:cs="Times New Roman"/>
          <w:szCs w:val="32"/>
        </w:rPr>
        <w:t>局每月公布一批典型案件，震慑违法者，警示生产经营者，展示执法办案成效，营造良好舆论氛围。</w:t>
      </w:r>
      <w:r>
        <w:rPr>
          <w:rFonts w:hint="eastAsia" w:ascii="仿宋_GB2312" w:hAnsi="仿宋_GB2312" w:cs="仿宋_GB231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hint="eastAsia" w:ascii="仿宋_GB2312" w:hAnsi="仿宋_GB2312" w:cs="仿宋_GB2312"/>
          <w:szCs w:val="32"/>
          <w:lang w:eastAsia="zh-CN"/>
        </w:rPr>
        <w:t>局办</w:t>
      </w:r>
      <w:r>
        <w:rPr>
          <w:rFonts w:hint="eastAsia" w:ascii="仿宋_GB2312" w:hAnsi="仿宋_GB2312" w:cs="仿宋_GB2312"/>
          <w:szCs w:val="32"/>
        </w:rPr>
        <w:t>，责任单位：：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所，</w:t>
      </w:r>
      <w:r>
        <w:rPr>
          <w:rFonts w:hint="eastAsia" w:ascii="仿宋_GB2312" w:eastAsia="楷体_GB2312" w:cs="黑体"/>
          <w:kern w:val="0"/>
          <w:szCs w:val="32"/>
          <w:lang w:eastAsia="zh-CN"/>
        </w:rPr>
        <w:t>县</w:t>
      </w:r>
      <w:r>
        <w:rPr>
          <w:rFonts w:hint="eastAsia" w:ascii="仿宋_GB2312" w:cs="黑体"/>
          <w:kern w:val="0"/>
          <w:szCs w:val="32"/>
        </w:rPr>
        <w:t>局</w:t>
      </w:r>
      <w:r>
        <w:rPr>
          <w:rFonts w:hint="eastAsia" w:ascii="仿宋_GB2312" w:hAnsi="仿宋_GB2312" w:cs="仿宋_GB2312"/>
          <w:b w:val="0"/>
          <w:bCs w:val="0"/>
          <w:szCs w:val="32"/>
        </w:rPr>
        <w:t>各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相关股室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（三）开展失信联合惩戒。</w:t>
      </w:r>
      <w:r>
        <w:rPr>
          <w:rFonts w:hint="eastAsia" w:ascii="仿宋_GB2312" w:hAnsi="宋体" w:cs="Times New Roman"/>
          <w:szCs w:val="32"/>
        </w:rPr>
        <w:t>依托国家企业信用信息公示系统，依法公示行政处罚信息，强化对违法企业的社会监督。依法将符合条件的违法失信企业列入严重违法失信企业名单，采取相应的管理措施，加强信用约束。推动严重违法失信企业名单等信用信息的互联共享，依法实施联合惩戒，进一步加大违法成本。</w:t>
      </w:r>
      <w:r>
        <w:rPr>
          <w:rFonts w:hint="eastAsia" w:ascii="仿宋_GB2312" w:hAnsi="仿宋_GB2312" w:cs="仿宋_GB2312"/>
          <w:szCs w:val="32"/>
        </w:rPr>
        <w:t>（牵头单位：市场</w:t>
      </w:r>
      <w:r>
        <w:rPr>
          <w:rFonts w:hint="eastAsia" w:ascii="仿宋_GB2312" w:hAnsi="仿宋_GB2312" w:cs="仿宋_GB2312"/>
          <w:szCs w:val="32"/>
          <w:lang w:eastAsia="zh-CN"/>
        </w:rPr>
        <w:t>股</w:t>
      </w:r>
      <w:r>
        <w:rPr>
          <w:rFonts w:hint="eastAsia" w:ascii="仿宋_GB2312" w:hAnsi="仿宋_GB2312" w:cs="仿宋_GB2312"/>
          <w:szCs w:val="32"/>
        </w:rPr>
        <w:t>，责任单位：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hAnsi="仿宋_GB2312" w:cs="仿宋_GB231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contextualSpacing/>
        <w:textAlignment w:val="auto"/>
        <w:outlineLvl w:val="1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五、工作要求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（一）加强工作组织保障。</w:t>
      </w:r>
      <w:r>
        <w:rPr>
          <w:rFonts w:hint="eastAsia" w:ascii="仿宋_GB2312" w:hAnsi="仿宋_GB2312" w:eastAsia="仿宋_GB2312" w:cs="仿宋_GB231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融水县</w:t>
      </w:r>
      <w:r>
        <w:rPr>
          <w:rFonts w:hint="eastAsia" w:ascii="仿宋_GB2312" w:hAnsi="仿宋_GB2312" w:eastAsia="仿宋_GB2312" w:cs="仿宋_GB2312"/>
          <w:szCs w:val="32"/>
        </w:rPr>
        <w:t>市场监管系统铁拳行动领导小组办公室（简称“</w:t>
      </w:r>
      <w:r>
        <w:rPr>
          <w:rFonts w:hint="eastAsia" w:ascii="仿宋_GB2312" w:hAnsi="仿宋_GB2312" w:eastAsia="仿宋_GB2312" w:cs="仿宋_GB2312"/>
          <w:sz w:val="32"/>
          <w:szCs w:val="32"/>
        </w:rPr>
        <w:t>融水县</w:t>
      </w:r>
      <w:r>
        <w:rPr>
          <w:rFonts w:hint="eastAsia" w:ascii="仿宋_GB2312" w:hAnsi="仿宋_GB2312" w:eastAsia="仿宋_GB2312" w:cs="仿宋_GB2312"/>
          <w:szCs w:val="32"/>
        </w:rPr>
        <w:t>铁拳办”）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</w:rPr>
        <w:t>总指挥：</w:t>
      </w:r>
      <w:r>
        <w:rPr>
          <w:rFonts w:hint="eastAsia" w:ascii="仿宋_GB2312" w:hAnsi="宋体" w:cs="Times New Roman"/>
          <w:szCs w:val="32"/>
          <w:lang w:eastAsia="zh-CN"/>
        </w:rPr>
        <w:t>韦岳</w:t>
      </w:r>
      <w:r>
        <w:rPr>
          <w:rFonts w:hint="eastAsia" w:ascii="仿宋_GB2312" w:hAnsi="宋体" w:cs="Times New Roman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融水县</w:t>
      </w:r>
      <w:r>
        <w:rPr>
          <w:rFonts w:hint="eastAsia" w:ascii="仿宋_GB2312" w:hAnsi="宋体" w:cs="Times New Roman"/>
          <w:szCs w:val="32"/>
        </w:rPr>
        <w:t>市场监管局党组书记、局长）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640" w:leftChars="20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  <w:lang w:eastAsia="zh-CN"/>
        </w:rPr>
        <w:t>常务</w:t>
      </w:r>
      <w:r>
        <w:rPr>
          <w:rFonts w:hint="eastAsia" w:ascii="仿宋_GB2312" w:hAnsi="宋体" w:cs="Times New Roman"/>
          <w:szCs w:val="32"/>
        </w:rPr>
        <w:t>副总指挥：</w:t>
      </w:r>
      <w:r>
        <w:rPr>
          <w:rFonts w:hint="eastAsia" w:ascii="仿宋_GB2312" w:hAnsi="宋体" w:cs="Times New Roman"/>
          <w:szCs w:val="32"/>
          <w:lang w:eastAsia="zh-CN"/>
        </w:rPr>
        <w:t>梁太航</w:t>
      </w:r>
      <w:r>
        <w:rPr>
          <w:rFonts w:hint="eastAsia" w:ascii="仿宋_GB2312" w:hAnsi="宋体" w:cs="Times New Roman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融水县</w:t>
      </w:r>
      <w:r>
        <w:rPr>
          <w:rFonts w:hint="eastAsia" w:ascii="仿宋_GB2312" w:hAnsi="宋体" w:cs="Times New Roman"/>
          <w:spacing w:val="-20"/>
          <w:sz w:val="32"/>
          <w:szCs w:val="32"/>
        </w:rPr>
        <w:t>市场监管局党组成员、副局长</w:t>
      </w:r>
      <w:r>
        <w:rPr>
          <w:rFonts w:hint="eastAsia" w:ascii="仿宋_GB2312" w:hAnsi="宋体" w:cs="Times New Roman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640" w:leftChars="20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</w:rPr>
        <w:t>副总指挥：</w:t>
      </w:r>
      <w:r>
        <w:rPr>
          <w:rFonts w:hint="eastAsia" w:ascii="仿宋_GB2312" w:hAnsi="宋体" w:cs="Times New Roman"/>
          <w:szCs w:val="32"/>
          <w:lang w:eastAsia="zh-CN"/>
        </w:rPr>
        <w:t>廖正光</w:t>
      </w:r>
      <w:r>
        <w:rPr>
          <w:rFonts w:hint="eastAsia" w:ascii="仿宋_GB2312" w:hAnsi="宋体" w:cs="Times New Roman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融水县</w:t>
      </w:r>
      <w:r>
        <w:rPr>
          <w:rFonts w:hint="eastAsia" w:ascii="仿宋_GB2312" w:hAnsi="宋体" w:cs="Times New Roman"/>
          <w:szCs w:val="32"/>
        </w:rPr>
        <w:t>市场监管局党组成员、副局长）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640" w:leftChars="20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</w:rPr>
        <w:t>副总指挥：</w:t>
      </w:r>
      <w:r>
        <w:rPr>
          <w:rFonts w:hint="eastAsia" w:ascii="仿宋_GB2312" w:hAnsi="宋体" w:cs="Times New Roman"/>
          <w:szCs w:val="32"/>
          <w:lang w:eastAsia="zh-CN"/>
        </w:rPr>
        <w:t>梁任峰</w:t>
      </w:r>
      <w:r>
        <w:rPr>
          <w:rFonts w:hint="eastAsia" w:ascii="仿宋_GB2312" w:hAnsi="宋体" w:cs="Times New Roman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融水县</w:t>
      </w:r>
      <w:r>
        <w:rPr>
          <w:rFonts w:hint="eastAsia" w:ascii="仿宋_GB2312" w:hAnsi="宋体" w:cs="Times New Roman"/>
          <w:szCs w:val="32"/>
        </w:rPr>
        <w:t>市场监管局党组成员、副局长）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640" w:leftChars="200" w:right="0" w:rightChars="0" w:firstLine="0" w:firstLineChars="0"/>
        <w:textAlignment w:val="auto"/>
        <w:rPr>
          <w:rFonts w:hint="default" w:eastAsia="方正小标宋简体"/>
          <w:lang w:val="en-US" w:eastAsia="zh-CN"/>
        </w:rPr>
      </w:pPr>
      <w:r>
        <w:rPr>
          <w:rFonts w:hint="eastAsia" w:ascii="仿宋_GB2312" w:hAnsi="宋体" w:cs="Times New Roman"/>
          <w:szCs w:val="32"/>
        </w:rPr>
        <w:t>副总指挥：</w:t>
      </w:r>
      <w:r>
        <w:rPr>
          <w:rFonts w:hint="eastAsia" w:ascii="仿宋_GB2312" w:hAnsi="宋体" w:cs="Times New Roman"/>
          <w:szCs w:val="32"/>
          <w:lang w:eastAsia="zh-CN"/>
        </w:rPr>
        <w:t>韦天照</w:t>
      </w:r>
      <w:r>
        <w:rPr>
          <w:rFonts w:hint="eastAsia" w:ascii="仿宋_GB2312" w:hAnsi="宋体" w:cs="Times New Roman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融水县</w:t>
      </w:r>
      <w:r>
        <w:rPr>
          <w:rFonts w:hint="eastAsia" w:ascii="仿宋_GB2312" w:hAnsi="宋体" w:cs="Times New Roman"/>
          <w:szCs w:val="32"/>
        </w:rPr>
        <w:t>市场监管局党组成员、副局长）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</w:rPr>
        <w:t>办公室主任：</w:t>
      </w:r>
      <w:r>
        <w:rPr>
          <w:rFonts w:hint="eastAsia" w:ascii="仿宋_GB2312" w:hAnsi="宋体" w:cs="Times New Roman"/>
          <w:szCs w:val="32"/>
          <w:lang w:eastAsia="zh-CN"/>
        </w:rPr>
        <w:t>梁学富</w:t>
      </w:r>
      <w:r>
        <w:rPr>
          <w:rFonts w:hint="eastAsia" w:ascii="仿宋_GB2312" w:hAnsi="宋体" w:cs="Times New Roman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市场监管执法稽查大队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eastAsia="zh-CN"/>
        </w:rPr>
        <w:t>副大队长</w:t>
      </w:r>
      <w:r>
        <w:rPr>
          <w:rFonts w:hint="eastAsia" w:ascii="仿宋_GB2312" w:hAnsi="宋体" w:cs="Times New Roman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</w:rPr>
        <w:t>成员：相关业务</w:t>
      </w:r>
      <w:r>
        <w:rPr>
          <w:rFonts w:hint="eastAsia" w:ascii="仿宋_GB2312" w:hAnsi="宋体" w:cs="Times New Roman"/>
          <w:szCs w:val="32"/>
          <w:lang w:eastAsia="zh-CN"/>
        </w:rPr>
        <w:t>股</w:t>
      </w:r>
      <w:r>
        <w:rPr>
          <w:rFonts w:hint="eastAsia" w:ascii="仿宋_GB2312" w:hAnsi="宋体" w:cs="Times New Roman"/>
          <w:szCs w:val="32"/>
        </w:rPr>
        <w:t>室主要负责人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</w:rPr>
        <w:t>办公室设在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szCs w:val="32"/>
        </w:rPr>
      </w:pPr>
      <w:r>
        <w:rPr>
          <w:rFonts w:hint="eastAsia" w:ascii="Times New Roman" w:hAnsi="Times New Roman" w:cs="Times New Roman"/>
          <w:szCs w:val="32"/>
          <w:shd w:val="clear" w:color="auto" w:fill="FFFFFF"/>
          <w:lang w:val="zh-TW" w:eastAsia="zh-CN"/>
        </w:rPr>
        <w:t>县</w:t>
      </w:r>
      <w:r>
        <w:rPr>
          <w:rFonts w:hint="eastAsia" w:ascii="仿宋_GB2312" w:hAnsi="仿宋_GB2312" w:cs="仿宋_GB2312"/>
          <w:szCs w:val="32"/>
        </w:rPr>
        <w:t>局建立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仿宋_GB2312" w:cs="仿宋_GB2312"/>
          <w:szCs w:val="32"/>
        </w:rPr>
        <w:t>总牵头、相关</w:t>
      </w:r>
      <w:r>
        <w:rPr>
          <w:rFonts w:hint="eastAsia" w:ascii="仿宋_GB2312" w:hAnsi="仿宋_GB2312" w:cs="仿宋_GB2312"/>
          <w:szCs w:val="32"/>
          <w:lang w:eastAsia="zh-CN"/>
        </w:rPr>
        <w:t>股</w:t>
      </w:r>
      <w:r>
        <w:rPr>
          <w:rFonts w:hint="eastAsia" w:ascii="仿宋_GB2312" w:hAnsi="仿宋_GB2312" w:cs="仿宋_GB2312"/>
          <w:szCs w:val="32"/>
        </w:rPr>
        <w:t>室参加的重点案件查办工作协调机制，研究确定年度案件查办重点，统筹开展宣传活动，协商解决重大问题，推进</w:t>
      </w:r>
      <w:r>
        <w:rPr>
          <w:rFonts w:hint="eastAsia" w:ascii="仿宋_GB2312" w:cs="黑体"/>
          <w:kern w:val="0"/>
          <w:szCs w:val="32"/>
        </w:rPr>
        <w:t>日常监管与执法办案工作衔接。各牵头</w:t>
      </w:r>
      <w:r>
        <w:rPr>
          <w:rFonts w:hint="eastAsia" w:ascii="仿宋_GB2312" w:cs="黑体"/>
          <w:kern w:val="0"/>
          <w:szCs w:val="32"/>
          <w:lang w:eastAsia="zh-CN"/>
        </w:rPr>
        <w:t>股</w:t>
      </w:r>
      <w:r>
        <w:rPr>
          <w:rFonts w:hint="eastAsia" w:ascii="仿宋_GB2312" w:cs="黑体"/>
          <w:kern w:val="0"/>
          <w:szCs w:val="32"/>
        </w:rPr>
        <w:t>室要针对各自牵头的领域，围绕案件查办重点加强日常监管，深挖案源，有针对性地开展抽查、抽检等行动，为执法办案提供支撑，</w:t>
      </w:r>
      <w:r>
        <w:rPr>
          <w:rFonts w:hint="eastAsia" w:ascii="仿宋_GB2312" w:hAnsi="仿宋_GB2312" w:cs="仿宋_GB2312"/>
          <w:szCs w:val="32"/>
        </w:rPr>
        <w:t>要加强对本领域案件查办的协调指导、督查督办和组织查办。</w:t>
      </w:r>
      <w:r>
        <w:rPr>
          <w:rFonts w:hint="eastAsia" w:ascii="仿宋_GB2312" w:hAnsi="宋体" w:cs="Times New Roman"/>
          <w:szCs w:val="32"/>
        </w:rPr>
        <w:t>建立由执法、法律专家组成的综合行政执法办案专家组，为疑难复杂案件办理提供咨询指导。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楷体_GB2312" w:eastAsia="楷体_GB231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（二）完善督促激励措施。</w:t>
      </w:r>
      <w:r>
        <w:rPr>
          <w:rFonts w:hint="eastAsia" w:ascii="仿宋_GB2312" w:cs="黑体"/>
          <w:kern w:val="0"/>
          <w:szCs w:val="32"/>
        </w:rPr>
        <w:t>通过督查、案卷评查等方式，加强对案件查办工作的督促指导。</w:t>
      </w:r>
      <w:r>
        <w:rPr>
          <w:rFonts w:ascii="仿宋_GB2312" w:cs="黑体"/>
          <w:kern w:val="0"/>
          <w:szCs w:val="32"/>
        </w:rPr>
        <w:t>对敢于碰硬、深挖线索、攻克疑难案件的</w:t>
      </w:r>
      <w:r>
        <w:rPr>
          <w:rFonts w:hint="eastAsia" w:ascii="仿宋_GB2312" w:cs="黑体"/>
          <w:kern w:val="0"/>
          <w:szCs w:val="32"/>
        </w:rPr>
        <w:t>办案</w:t>
      </w:r>
      <w:r>
        <w:rPr>
          <w:rFonts w:ascii="仿宋_GB2312" w:cs="黑体"/>
          <w:kern w:val="0"/>
          <w:szCs w:val="32"/>
        </w:rPr>
        <w:t>人员和</w:t>
      </w:r>
      <w:r>
        <w:rPr>
          <w:rFonts w:hint="eastAsia" w:ascii="仿宋_GB2312" w:cs="黑体"/>
          <w:kern w:val="0"/>
          <w:szCs w:val="32"/>
        </w:rPr>
        <w:t>市场监管</w:t>
      </w:r>
      <w:r>
        <w:rPr>
          <w:rFonts w:hint="eastAsia" w:ascii="仿宋_GB2312" w:cs="黑体"/>
          <w:kern w:val="0"/>
          <w:szCs w:val="32"/>
          <w:lang w:eastAsia="zh-CN"/>
        </w:rPr>
        <w:t>所</w:t>
      </w:r>
      <w:r>
        <w:rPr>
          <w:rFonts w:hint="eastAsia" w:ascii="仿宋_GB2312" w:cs="黑体"/>
          <w:kern w:val="0"/>
          <w:szCs w:val="32"/>
        </w:rPr>
        <w:t>，</w:t>
      </w:r>
      <w:r>
        <w:rPr>
          <w:rFonts w:ascii="仿宋_GB2312" w:cs="黑体"/>
          <w:kern w:val="0"/>
          <w:szCs w:val="32"/>
        </w:rPr>
        <w:t>给予</w:t>
      </w:r>
      <w:r>
        <w:rPr>
          <w:rFonts w:hint="eastAsia" w:ascii="仿宋_GB2312" w:cs="黑体"/>
          <w:kern w:val="0"/>
          <w:szCs w:val="32"/>
        </w:rPr>
        <w:t>通报</w:t>
      </w:r>
      <w:r>
        <w:rPr>
          <w:rFonts w:ascii="仿宋_GB2312" w:cs="黑体"/>
          <w:kern w:val="0"/>
          <w:szCs w:val="32"/>
        </w:rPr>
        <w:t>表扬</w:t>
      </w:r>
      <w:r>
        <w:rPr>
          <w:rFonts w:hint="eastAsia" w:ascii="仿宋_GB2312" w:cs="黑体"/>
          <w:kern w:val="0"/>
          <w:szCs w:val="32"/>
        </w:rPr>
        <w:t>；</w:t>
      </w:r>
      <w:r>
        <w:rPr>
          <w:rFonts w:ascii="仿宋_GB2312" w:cs="黑体"/>
          <w:kern w:val="0"/>
          <w:szCs w:val="32"/>
        </w:rPr>
        <w:t>对问题多发高发、</w:t>
      </w:r>
      <w:r>
        <w:rPr>
          <w:rFonts w:hint="eastAsia" w:ascii="仿宋_GB2312" w:cs="黑体"/>
          <w:kern w:val="0"/>
          <w:szCs w:val="32"/>
        </w:rPr>
        <w:t>案件查办</w:t>
      </w:r>
      <w:r>
        <w:rPr>
          <w:rFonts w:ascii="仿宋_GB2312" w:cs="黑体"/>
          <w:kern w:val="0"/>
          <w:szCs w:val="32"/>
        </w:rPr>
        <w:t>不力的</w:t>
      </w:r>
      <w:r>
        <w:rPr>
          <w:rFonts w:hint="eastAsia" w:ascii="仿宋_GB2312" w:cs="黑体"/>
          <w:kern w:val="0"/>
          <w:szCs w:val="32"/>
        </w:rPr>
        <w:t>市场监管</w:t>
      </w:r>
      <w:r>
        <w:rPr>
          <w:rFonts w:hint="eastAsia" w:ascii="仿宋_GB2312" w:cs="黑体"/>
          <w:kern w:val="0"/>
          <w:szCs w:val="32"/>
          <w:lang w:eastAsia="zh-CN"/>
        </w:rPr>
        <w:t>所</w:t>
      </w:r>
      <w:r>
        <w:rPr>
          <w:rFonts w:hint="eastAsia" w:ascii="仿宋_GB2312" w:cs="黑体"/>
          <w:kern w:val="0"/>
          <w:szCs w:val="32"/>
        </w:rPr>
        <w:t>，</w:t>
      </w:r>
      <w:r>
        <w:rPr>
          <w:rFonts w:ascii="仿宋_GB2312" w:cs="黑体"/>
          <w:kern w:val="0"/>
          <w:szCs w:val="32"/>
        </w:rPr>
        <w:t>予以通报</w:t>
      </w:r>
      <w:r>
        <w:rPr>
          <w:rFonts w:hint="eastAsia" w:ascii="仿宋_GB2312" w:cs="黑体"/>
          <w:kern w:val="0"/>
          <w:szCs w:val="32"/>
        </w:rPr>
        <w:t>批评，并约谈相关负责人。</w:t>
      </w:r>
      <w:r>
        <w:rPr>
          <w:rFonts w:hint="eastAsia" w:ascii="仿宋_GB2312" w:cs="黑体"/>
          <w:kern w:val="0"/>
          <w:szCs w:val="32"/>
          <w:lang w:eastAsia="zh-CN"/>
        </w:rPr>
        <w:t>县</w:t>
      </w:r>
      <w:r>
        <w:rPr>
          <w:rFonts w:hint="eastAsia" w:ascii="仿宋_GB2312" w:cs="黑体"/>
          <w:kern w:val="0"/>
          <w:szCs w:val="32"/>
        </w:rPr>
        <w:t>局组织开展优秀典型案例评选活动，对工作中涌现出的办案能手，按有关规定向上级推荐进入总局综合执法人才库。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cs="黑体"/>
          <w:b w:val="0"/>
          <w:bCs w:val="0"/>
          <w:kern w:val="0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（三）做好案件统计报送。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cs="黑体"/>
          <w:b w:val="0"/>
          <w:bCs w:val="0"/>
          <w:kern w:val="0"/>
          <w:szCs w:val="32"/>
        </w:rPr>
        <w:t>要建立重点案件查办工作台账，对市局转（交）办、督办以及自行发现的重点案件线索进行记录，实时跟踪查办进展，加强指导调度。建立典型案件和重要线索报送制度，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</w:t>
      </w:r>
      <w:r>
        <w:rPr>
          <w:rFonts w:hint="eastAsia" w:ascii="仿宋_GB2312" w:cs="黑体"/>
          <w:b w:val="0"/>
          <w:bCs w:val="0"/>
          <w:kern w:val="0"/>
          <w:szCs w:val="32"/>
        </w:rPr>
        <w:t>每月</w:t>
      </w:r>
      <w:r>
        <w:rPr>
          <w:rFonts w:hint="eastAsia" w:ascii="仿宋_GB2312" w:cs="黑体"/>
          <w:b w:val="0"/>
          <w:bCs w:val="0"/>
          <w:kern w:val="0"/>
          <w:szCs w:val="32"/>
          <w:lang w:val="en-US" w:eastAsia="zh-CN"/>
        </w:rPr>
        <w:t>5</w:t>
      </w:r>
      <w:r>
        <w:rPr>
          <w:rFonts w:hint="eastAsia" w:ascii="仿宋_GB2312" w:cs="黑体"/>
          <w:b w:val="0"/>
          <w:bCs w:val="0"/>
          <w:kern w:val="0"/>
          <w:szCs w:val="32"/>
        </w:rPr>
        <w:t>日（10月为</w:t>
      </w:r>
      <w:r>
        <w:rPr>
          <w:rFonts w:hint="eastAsia" w:ascii="仿宋_GB2312" w:cs="黑体"/>
          <w:b w:val="0"/>
          <w:bCs w:val="0"/>
          <w:kern w:val="0"/>
          <w:szCs w:val="32"/>
          <w:lang w:val="en-US" w:eastAsia="zh-CN"/>
        </w:rPr>
        <w:t>7</w:t>
      </w:r>
      <w:r>
        <w:rPr>
          <w:rFonts w:hint="eastAsia" w:ascii="仿宋_GB2312" w:cs="黑体"/>
          <w:b w:val="0"/>
          <w:bCs w:val="0"/>
          <w:kern w:val="0"/>
          <w:szCs w:val="32"/>
        </w:rPr>
        <w:t>日）前将上月查办的案件及重要线索报送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cs="黑体"/>
          <w:b w:val="0"/>
          <w:bCs w:val="0"/>
          <w:kern w:val="0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cs="黑体"/>
          <w:b w:val="0"/>
          <w:bCs w:val="0"/>
          <w:kern w:val="0"/>
          <w:szCs w:val="32"/>
        </w:rPr>
        <w:t>每月6日（10月为8日）前将上月查办的典型案件（不少于1个）及1—2条重要线索报送市局。办结有重大影响的案件，可随时报送。相关办案数据，按要求录入总局数据统计信息系统。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b w:val="0"/>
          <w:bCs w:val="0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（四）明确工作进度安排。</w:t>
      </w:r>
      <w:r>
        <w:rPr>
          <w:rFonts w:hint="eastAsia" w:ascii="仿宋_GB2312" w:hAnsi="仿宋_GB2312" w:cs="仿宋_GB2312"/>
          <w:b w:val="0"/>
          <w:bCs w:val="0"/>
          <w:szCs w:val="32"/>
        </w:rPr>
        <w:t>各市场监管</w:t>
      </w:r>
      <w:r>
        <w:rPr>
          <w:rFonts w:hint="eastAsia" w:ascii="仿宋_GB2312" w:hAnsi="仿宋_GB2312" w:cs="仿宋_GB2312"/>
          <w:b w:val="0"/>
          <w:bCs w:val="0"/>
          <w:szCs w:val="32"/>
          <w:lang w:eastAsia="zh-CN"/>
        </w:rPr>
        <w:t>所于</w:t>
      </w:r>
      <w:r>
        <w:rPr>
          <w:rFonts w:hint="eastAsia" w:ascii="仿宋_GB2312" w:hAnsi="宋体" w:cs="Times New Roman"/>
          <w:b w:val="0"/>
          <w:bCs w:val="0"/>
          <w:szCs w:val="32"/>
        </w:rPr>
        <w:t>7月</w:t>
      </w:r>
      <w:r>
        <w:rPr>
          <w:rFonts w:hint="eastAsia" w:ascii="仿宋_GB2312" w:hAnsi="宋体" w:cs="Times New Roman"/>
          <w:b w:val="0"/>
          <w:bCs w:val="0"/>
          <w:szCs w:val="32"/>
          <w:lang w:val="en-US" w:eastAsia="zh-CN"/>
        </w:rPr>
        <w:t>1</w:t>
      </w:r>
      <w:r>
        <w:rPr>
          <w:rFonts w:hint="eastAsia" w:ascii="仿宋_GB2312" w:hAnsi="宋体" w:cs="Times New Roman"/>
          <w:b w:val="0"/>
          <w:bCs w:val="0"/>
          <w:szCs w:val="32"/>
        </w:rPr>
        <w:t>日、</w:t>
      </w:r>
      <w:r>
        <w:rPr>
          <w:rFonts w:hint="eastAsia" w:ascii="仿宋_GB2312" w:hAnsi="宋体" w:cs="Times New Roman"/>
          <w:b w:val="0"/>
          <w:bCs w:val="0"/>
          <w:szCs w:val="32"/>
          <w:lang w:val="en-US" w:eastAsia="zh-CN"/>
        </w:rPr>
        <w:t>9</w:t>
      </w:r>
      <w:r>
        <w:rPr>
          <w:rFonts w:hint="eastAsia" w:ascii="仿宋_GB2312" w:hAnsi="宋体" w:cs="Times New Roman"/>
          <w:b w:val="0"/>
          <w:bCs w:val="0"/>
          <w:szCs w:val="32"/>
        </w:rPr>
        <w:t>月</w:t>
      </w:r>
      <w:r>
        <w:rPr>
          <w:rFonts w:hint="eastAsia" w:ascii="仿宋_GB2312" w:hAnsi="宋体" w:cs="Times New Roman"/>
          <w:b w:val="0"/>
          <w:bCs w:val="0"/>
          <w:szCs w:val="32"/>
          <w:lang w:val="en-US" w:eastAsia="zh-CN"/>
        </w:rPr>
        <w:t>29</w:t>
      </w:r>
      <w:r>
        <w:rPr>
          <w:rFonts w:hint="eastAsia" w:ascii="仿宋_GB2312" w:hAnsi="宋体" w:cs="Times New Roman"/>
          <w:b w:val="0"/>
          <w:bCs w:val="0"/>
          <w:szCs w:val="32"/>
        </w:rPr>
        <w:t>日前，分别报送第二、三季度案件查办和宣传工作开展情况；12月2</w:t>
      </w:r>
      <w:r>
        <w:rPr>
          <w:rFonts w:hint="eastAsia" w:ascii="仿宋_GB2312" w:hAnsi="宋体" w:cs="Times New Roman"/>
          <w:b w:val="0"/>
          <w:bCs w:val="0"/>
          <w:szCs w:val="32"/>
          <w:lang w:val="en-US" w:eastAsia="zh-CN"/>
        </w:rPr>
        <w:t>2</w:t>
      </w:r>
      <w:r>
        <w:rPr>
          <w:rFonts w:hint="eastAsia" w:ascii="仿宋_GB2312" w:hAnsi="宋体" w:cs="Times New Roman"/>
          <w:b w:val="0"/>
          <w:bCs w:val="0"/>
          <w:szCs w:val="32"/>
        </w:rPr>
        <w:t>日前，报送2021年工作总结报告，总结有效做法和成功经验，提出2022年重点案件查办建议。联系人：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执法稽查大队</w:t>
      </w:r>
      <w:r>
        <w:rPr>
          <w:rFonts w:hint="eastAsia" w:ascii="仿宋_GB2312" w:hAnsi="宋体" w:cs="Times New Roman"/>
          <w:b w:val="0"/>
          <w:bCs w:val="0"/>
          <w:szCs w:val="32"/>
          <w:lang w:eastAsia="zh-CN"/>
        </w:rPr>
        <w:t>梁学富</w:t>
      </w:r>
      <w:r>
        <w:rPr>
          <w:rFonts w:hint="eastAsia" w:ascii="仿宋_GB2312" w:hAnsi="宋体" w:cs="Times New Roman"/>
          <w:b w:val="0"/>
          <w:bCs w:val="0"/>
          <w:szCs w:val="32"/>
        </w:rPr>
        <w:t>，电话：</w:t>
      </w:r>
      <w:r>
        <w:rPr>
          <w:rFonts w:hint="eastAsia" w:ascii="仿宋_GB2312" w:hAnsi="宋体" w:cs="Times New Roman"/>
          <w:b w:val="0"/>
          <w:bCs w:val="0"/>
          <w:szCs w:val="32"/>
          <w:lang w:val="en-US" w:eastAsia="zh-CN"/>
        </w:rPr>
        <w:t>5123757</w:t>
      </w:r>
      <w:r>
        <w:rPr>
          <w:rFonts w:hint="eastAsia" w:ascii="仿宋_GB2312" w:hAnsi="宋体" w:cs="Times New Roman"/>
          <w:b w:val="0"/>
          <w:bCs w:val="0"/>
          <w:szCs w:val="32"/>
        </w:rPr>
        <w:t>，邮箱：scjg</w:t>
      </w:r>
      <w:r>
        <w:rPr>
          <w:rFonts w:hint="eastAsia" w:ascii="仿宋_GB2312" w:hAnsi="宋体" w:cs="Times New Roman"/>
          <w:b w:val="0"/>
          <w:bCs w:val="0"/>
          <w:szCs w:val="32"/>
          <w:lang w:val="en-US" w:eastAsia="zh-CN"/>
        </w:rPr>
        <w:t>z</w:t>
      </w:r>
      <w:r>
        <w:rPr>
          <w:rFonts w:hint="eastAsia" w:ascii="仿宋_GB2312" w:hAnsi="宋体" w:cs="Times New Roman"/>
          <w:b w:val="0"/>
          <w:bCs w:val="0"/>
          <w:szCs w:val="32"/>
        </w:rPr>
        <w:t>fjcdd@163.com。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</w:rPr>
        <w:t>附件：典型案件报送信息表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  <w:r>
        <w:rPr>
          <w:rFonts w:hint="eastAsia" w:ascii="仿宋_GB2312" w:hAnsi="宋体" w:cs="Times New Roman"/>
          <w:szCs w:val="32"/>
        </w:rPr>
        <w:t xml:space="preserve">      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宋体" w:cs="Times New Roman"/>
          <w:szCs w:val="32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240" w:lineRule="auto"/>
        <w:ind w:left="0" w:leftChars="-100" w:right="0" w:rightChars="0" w:hanging="320" w:hangingChars="100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 xml:space="preserve">            </w:t>
      </w:r>
      <w:r>
        <w:rPr>
          <w:rFonts w:hint="eastAsia" w:ascii="仿宋_GB2312" w:hAnsi="仿宋_GB2312" w:cs="仿宋_GB2312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典型案件报送信息表</w:t>
      </w:r>
    </w:p>
    <w:tbl>
      <w:tblPr>
        <w:tblStyle w:val="10"/>
        <w:tblpPr w:leftFromText="180" w:rightFromText="180" w:vertAnchor="text" w:horzAnchor="page" w:tblpX="1429" w:tblpY="884"/>
        <w:tblOverlap w:val="never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7"/>
        <w:gridCol w:w="1300"/>
        <w:gridCol w:w="1130"/>
        <w:gridCol w:w="1440"/>
        <w:gridCol w:w="114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填写时间：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办理状态：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-769089506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正在办理中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-172184197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案件类型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案件名称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涉案企业名称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（人员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姓名）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证照情况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（许可信息）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立案时间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结案时间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涉案金额</w:t>
            </w:r>
          </w:p>
        </w:tc>
        <w:tc>
          <w:tcPr>
            <w:tcW w:w="13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11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是否调解</w:t>
            </w:r>
          </w:p>
        </w:tc>
        <w:tc>
          <w:tcPr>
            <w:tcW w:w="14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id w:val="1380819878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1755165459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赔偿数额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涉案环节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id w:val="-181362564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生产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595291962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经营 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本省以外涉案省（区、市）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是否处罚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id w:val="1990360196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629290260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作出处罚时间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1247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处罚决定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内容</w:t>
            </w:r>
          </w:p>
        </w:tc>
        <w:tc>
          <w:tcPr>
            <w:tcW w:w="3870" w:type="dxa"/>
            <w:gridSpan w:val="3"/>
            <w:vMerge w:val="restar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罚款数额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1247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vMerge w:val="continue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没收违法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所得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其他处理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内容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1886211424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>列入经营异常名录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240757078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另案处理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-1688047966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>约谈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942648304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其他：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案件移送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公安机关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id w:val="-1931338326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1303656449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移送时间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通报情况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id w:val="-92319974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未通报 </w:t>
            </w: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id w:val="1165664845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 xml:space="preserve">通报部门：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</w:t>
            </w: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通报时间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righ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案情摘要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（线索核查情况；调查经过、违法事实、处理结果；产生的效果和社会影响等）</w:t>
            </w:r>
          </w:p>
        </w:tc>
        <w:tc>
          <w:tcPr>
            <w:tcW w:w="7995" w:type="dxa"/>
            <w:gridSpan w:val="5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已公开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id w:val="1671135332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</w:rPr>
                <w:id w:val="1385835180"/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24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承办部门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联系人（电话）</w:t>
            </w:r>
          </w:p>
        </w:tc>
        <w:tc>
          <w:tcPr>
            <w:tcW w:w="29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  <w:rPr>
          <w:rFonts w:ascii="Times New Roman" w:hAnsi="Times New Roman" w:cs="Times New Roman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</w:pPr>
    </w:p>
    <w:p>
      <w:pPr>
        <w:rPr>
          <w:rFonts w:hint="eastAsia" w:ascii="黑体" w:hAnsi="黑体" w:eastAsia="黑体" w:cs="仿宋_GB2312"/>
          <w:sz w:val="32"/>
          <w:szCs w:val="28"/>
        </w:rPr>
      </w:pPr>
    </w:p>
    <w:p>
      <w:pPr>
        <w:rPr>
          <w:rFonts w:hint="eastAsia" w:ascii="黑体" w:hAnsi="黑体" w:eastAsia="黑体" w:cs="仿宋_GB2312"/>
          <w:sz w:val="32"/>
          <w:szCs w:val="28"/>
        </w:rPr>
      </w:pPr>
    </w:p>
    <w:p>
      <w:pPr>
        <w:rPr>
          <w:rFonts w:hint="eastAsia" w:ascii="黑体" w:hAnsi="黑体" w:eastAsia="黑体" w:cs="仿宋_GB2312"/>
          <w:sz w:val="32"/>
          <w:szCs w:val="28"/>
        </w:rPr>
      </w:pPr>
    </w:p>
    <w:p>
      <w:pPr>
        <w:rPr>
          <w:rFonts w:hint="eastAsia" w:ascii="黑体" w:hAnsi="黑体" w:eastAsia="黑体" w:cs="仿宋_GB2312"/>
          <w:sz w:val="32"/>
          <w:szCs w:val="28"/>
        </w:rPr>
      </w:pPr>
    </w:p>
    <w:p>
      <w:pPr>
        <w:pStyle w:val="3"/>
        <w:rPr>
          <w:rFonts w:hint="eastAsia" w:ascii="黑体" w:hAnsi="黑体" w:eastAsia="黑体" w:cs="仿宋_GB2312"/>
          <w:sz w:val="32"/>
          <w:szCs w:val="28"/>
        </w:rPr>
      </w:pP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  <w:spacing w:before="0" w:beforeAutospacing="0" w:after="0" w:afterAutospacing="0" w:line="360" w:lineRule="auto"/>
        <w:ind w:right="46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公开方式：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</w:p>
    <w:p>
      <w:pPr>
        <w:pStyle w:val="2"/>
        <w:adjustRightInd/>
        <w:spacing w:line="560" w:lineRule="exact"/>
        <w:contextualSpacing/>
        <w:rPr>
          <w:color w:val="000000"/>
        </w:rPr>
      </w:pPr>
    </w:p>
    <w:p>
      <w:pPr>
        <w:pBdr>
          <w:top w:val="single" w:color="auto" w:sz="4" w:space="1"/>
          <w:bottom w:val="single" w:color="auto" w:sz="4" w:space="1"/>
        </w:pBdr>
        <w:spacing w:line="360" w:lineRule="auto"/>
        <w:ind w:firstLine="140" w:firstLineChars="5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融水苗族自治县市场监督管理局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tabs>
          <w:tab w:val="left" w:pos="1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kern w:val="0"/>
          <w:sz w:val="32"/>
          <w:szCs w:val="32"/>
          <w:lang w:val="en-US" w:eastAsia="zh-CN" w:bidi="ar-SA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0" w:firstLineChars="0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0"/>
    <w:rsid w:val="00040A94"/>
    <w:rsid w:val="00072092"/>
    <w:rsid w:val="000A4E84"/>
    <w:rsid w:val="000A5506"/>
    <w:rsid w:val="000C0A72"/>
    <w:rsid w:val="00135881"/>
    <w:rsid w:val="00147DCC"/>
    <w:rsid w:val="001A5B44"/>
    <w:rsid w:val="001C0775"/>
    <w:rsid w:val="001F647F"/>
    <w:rsid w:val="00216994"/>
    <w:rsid w:val="00262A0C"/>
    <w:rsid w:val="002918F0"/>
    <w:rsid w:val="002A0704"/>
    <w:rsid w:val="002B34DF"/>
    <w:rsid w:val="003408AC"/>
    <w:rsid w:val="003503B7"/>
    <w:rsid w:val="003558FE"/>
    <w:rsid w:val="003571CD"/>
    <w:rsid w:val="00363AEB"/>
    <w:rsid w:val="003727AF"/>
    <w:rsid w:val="003C37DD"/>
    <w:rsid w:val="003D29DD"/>
    <w:rsid w:val="00447044"/>
    <w:rsid w:val="00496C76"/>
    <w:rsid w:val="004F3482"/>
    <w:rsid w:val="005C5F7D"/>
    <w:rsid w:val="005F4EED"/>
    <w:rsid w:val="00635DAB"/>
    <w:rsid w:val="00660933"/>
    <w:rsid w:val="00673C1D"/>
    <w:rsid w:val="006872DB"/>
    <w:rsid w:val="006B775B"/>
    <w:rsid w:val="006C6AC5"/>
    <w:rsid w:val="006E0474"/>
    <w:rsid w:val="007513DD"/>
    <w:rsid w:val="00756346"/>
    <w:rsid w:val="007864EC"/>
    <w:rsid w:val="007914A5"/>
    <w:rsid w:val="007A29E3"/>
    <w:rsid w:val="007E7748"/>
    <w:rsid w:val="00804AE6"/>
    <w:rsid w:val="00836F0F"/>
    <w:rsid w:val="008A3B8D"/>
    <w:rsid w:val="008F030B"/>
    <w:rsid w:val="009653C1"/>
    <w:rsid w:val="00973C5B"/>
    <w:rsid w:val="0099631B"/>
    <w:rsid w:val="00997444"/>
    <w:rsid w:val="009E3B29"/>
    <w:rsid w:val="00A36F70"/>
    <w:rsid w:val="00A4156B"/>
    <w:rsid w:val="00A4404E"/>
    <w:rsid w:val="00A44E62"/>
    <w:rsid w:val="00A454B1"/>
    <w:rsid w:val="00A85340"/>
    <w:rsid w:val="00AC30CD"/>
    <w:rsid w:val="00AC54FF"/>
    <w:rsid w:val="00AE360B"/>
    <w:rsid w:val="00B117EB"/>
    <w:rsid w:val="00B15B5A"/>
    <w:rsid w:val="00B85120"/>
    <w:rsid w:val="00B878A2"/>
    <w:rsid w:val="00BE4EE1"/>
    <w:rsid w:val="00BF3F23"/>
    <w:rsid w:val="00BF443E"/>
    <w:rsid w:val="00C042FE"/>
    <w:rsid w:val="00C12B08"/>
    <w:rsid w:val="00C150F7"/>
    <w:rsid w:val="00C1739A"/>
    <w:rsid w:val="00C22287"/>
    <w:rsid w:val="00C364B9"/>
    <w:rsid w:val="00C43FF5"/>
    <w:rsid w:val="00C72FC2"/>
    <w:rsid w:val="00C82E84"/>
    <w:rsid w:val="00C83B7D"/>
    <w:rsid w:val="00CA7C8A"/>
    <w:rsid w:val="00CB751D"/>
    <w:rsid w:val="00CD0C72"/>
    <w:rsid w:val="00CD4E3B"/>
    <w:rsid w:val="00CF736B"/>
    <w:rsid w:val="00D128D4"/>
    <w:rsid w:val="00D374F8"/>
    <w:rsid w:val="00D74917"/>
    <w:rsid w:val="00D822BA"/>
    <w:rsid w:val="00D854E1"/>
    <w:rsid w:val="00D85C1A"/>
    <w:rsid w:val="00D9048C"/>
    <w:rsid w:val="00D93518"/>
    <w:rsid w:val="00DA6E30"/>
    <w:rsid w:val="00E408B3"/>
    <w:rsid w:val="00E4447B"/>
    <w:rsid w:val="00E8111F"/>
    <w:rsid w:val="00E84E6A"/>
    <w:rsid w:val="00E9047C"/>
    <w:rsid w:val="00E92751"/>
    <w:rsid w:val="00ED512A"/>
    <w:rsid w:val="00F12BEF"/>
    <w:rsid w:val="00F148CA"/>
    <w:rsid w:val="00F412ED"/>
    <w:rsid w:val="00F92906"/>
    <w:rsid w:val="00FA3A71"/>
    <w:rsid w:val="00FC28CA"/>
    <w:rsid w:val="00FE1A2C"/>
    <w:rsid w:val="00FE22E4"/>
    <w:rsid w:val="026D4929"/>
    <w:rsid w:val="02AD7AFC"/>
    <w:rsid w:val="02BE23F0"/>
    <w:rsid w:val="030A60B9"/>
    <w:rsid w:val="035B0788"/>
    <w:rsid w:val="03770AE4"/>
    <w:rsid w:val="03805566"/>
    <w:rsid w:val="038F3C8D"/>
    <w:rsid w:val="03D87B48"/>
    <w:rsid w:val="03F06EF5"/>
    <w:rsid w:val="040D3D85"/>
    <w:rsid w:val="046A09FA"/>
    <w:rsid w:val="04DB7A8C"/>
    <w:rsid w:val="04EF7EBB"/>
    <w:rsid w:val="05C40153"/>
    <w:rsid w:val="05E243CC"/>
    <w:rsid w:val="05FD660B"/>
    <w:rsid w:val="068C76FF"/>
    <w:rsid w:val="06C11EDA"/>
    <w:rsid w:val="08556803"/>
    <w:rsid w:val="086F5895"/>
    <w:rsid w:val="09347780"/>
    <w:rsid w:val="09CF3DFB"/>
    <w:rsid w:val="09F23753"/>
    <w:rsid w:val="0A7878BF"/>
    <w:rsid w:val="0AF32EEF"/>
    <w:rsid w:val="0B16356C"/>
    <w:rsid w:val="0BDB3B5B"/>
    <w:rsid w:val="0BEB3FAB"/>
    <w:rsid w:val="0C243D4C"/>
    <w:rsid w:val="0C296DD3"/>
    <w:rsid w:val="0D4214A1"/>
    <w:rsid w:val="0E2A267B"/>
    <w:rsid w:val="0E5D2445"/>
    <w:rsid w:val="0EE8572F"/>
    <w:rsid w:val="0F026137"/>
    <w:rsid w:val="0F8A3DBC"/>
    <w:rsid w:val="11A33E55"/>
    <w:rsid w:val="144906BE"/>
    <w:rsid w:val="14E67A01"/>
    <w:rsid w:val="150C28AD"/>
    <w:rsid w:val="1517666C"/>
    <w:rsid w:val="1593585D"/>
    <w:rsid w:val="15ED5D9B"/>
    <w:rsid w:val="15F94304"/>
    <w:rsid w:val="16C2559D"/>
    <w:rsid w:val="16CD5744"/>
    <w:rsid w:val="17526DD1"/>
    <w:rsid w:val="17A80D5C"/>
    <w:rsid w:val="17D7596F"/>
    <w:rsid w:val="17DA54DC"/>
    <w:rsid w:val="187D6750"/>
    <w:rsid w:val="198E605C"/>
    <w:rsid w:val="19DD4ADC"/>
    <w:rsid w:val="1A063EF7"/>
    <w:rsid w:val="1AAD28AB"/>
    <w:rsid w:val="1AB159E0"/>
    <w:rsid w:val="1B46008A"/>
    <w:rsid w:val="1C036DD7"/>
    <w:rsid w:val="1D031DFD"/>
    <w:rsid w:val="1D86490E"/>
    <w:rsid w:val="1D887B5E"/>
    <w:rsid w:val="1D9A27C2"/>
    <w:rsid w:val="1DA847D1"/>
    <w:rsid w:val="1DB96F2B"/>
    <w:rsid w:val="1E6A6D1C"/>
    <w:rsid w:val="1E977361"/>
    <w:rsid w:val="20575419"/>
    <w:rsid w:val="20EB3F49"/>
    <w:rsid w:val="211D1AE6"/>
    <w:rsid w:val="216C3B69"/>
    <w:rsid w:val="22814A0A"/>
    <w:rsid w:val="24906119"/>
    <w:rsid w:val="24CD740A"/>
    <w:rsid w:val="25012423"/>
    <w:rsid w:val="25073DEA"/>
    <w:rsid w:val="250C71C2"/>
    <w:rsid w:val="25AB1B59"/>
    <w:rsid w:val="26F559CE"/>
    <w:rsid w:val="28287869"/>
    <w:rsid w:val="2A506F4E"/>
    <w:rsid w:val="2B6D194C"/>
    <w:rsid w:val="2C2658D0"/>
    <w:rsid w:val="2CA05F8C"/>
    <w:rsid w:val="2CE24C36"/>
    <w:rsid w:val="2D6E12AF"/>
    <w:rsid w:val="2DBE15CC"/>
    <w:rsid w:val="2DBF3B75"/>
    <w:rsid w:val="2E3E2D75"/>
    <w:rsid w:val="2E77207A"/>
    <w:rsid w:val="2EE34522"/>
    <w:rsid w:val="306C332A"/>
    <w:rsid w:val="30982059"/>
    <w:rsid w:val="30AA7BCA"/>
    <w:rsid w:val="31373BE9"/>
    <w:rsid w:val="314A43AA"/>
    <w:rsid w:val="31634769"/>
    <w:rsid w:val="32641617"/>
    <w:rsid w:val="32CD4058"/>
    <w:rsid w:val="32DC21FA"/>
    <w:rsid w:val="334C5B40"/>
    <w:rsid w:val="339B7CBB"/>
    <w:rsid w:val="33E77C0F"/>
    <w:rsid w:val="35C725F2"/>
    <w:rsid w:val="35C72A3B"/>
    <w:rsid w:val="36BA2866"/>
    <w:rsid w:val="3759493E"/>
    <w:rsid w:val="37ED1730"/>
    <w:rsid w:val="382C03B8"/>
    <w:rsid w:val="38431AE9"/>
    <w:rsid w:val="385A6CA6"/>
    <w:rsid w:val="387749CC"/>
    <w:rsid w:val="39A857E3"/>
    <w:rsid w:val="3A174467"/>
    <w:rsid w:val="3A8638C1"/>
    <w:rsid w:val="3A935112"/>
    <w:rsid w:val="3AEC7AA3"/>
    <w:rsid w:val="3B9A1B40"/>
    <w:rsid w:val="3B9A6DB8"/>
    <w:rsid w:val="3BF06076"/>
    <w:rsid w:val="3C5A7166"/>
    <w:rsid w:val="3CA47A1E"/>
    <w:rsid w:val="3CAE4511"/>
    <w:rsid w:val="3CFC549C"/>
    <w:rsid w:val="3D071988"/>
    <w:rsid w:val="3D124359"/>
    <w:rsid w:val="3D1E3023"/>
    <w:rsid w:val="3D6D6163"/>
    <w:rsid w:val="3DF03DF1"/>
    <w:rsid w:val="3E054AF5"/>
    <w:rsid w:val="3EA404FB"/>
    <w:rsid w:val="3ED1025F"/>
    <w:rsid w:val="3F1E481C"/>
    <w:rsid w:val="3F2A1E14"/>
    <w:rsid w:val="3F3373CE"/>
    <w:rsid w:val="3F7E0959"/>
    <w:rsid w:val="3FA145A9"/>
    <w:rsid w:val="40843759"/>
    <w:rsid w:val="40893AE3"/>
    <w:rsid w:val="40BD11C8"/>
    <w:rsid w:val="41AC3C39"/>
    <w:rsid w:val="41C91074"/>
    <w:rsid w:val="426D6B0F"/>
    <w:rsid w:val="428D3F6B"/>
    <w:rsid w:val="438760EA"/>
    <w:rsid w:val="441C5508"/>
    <w:rsid w:val="45C539CA"/>
    <w:rsid w:val="45DF383D"/>
    <w:rsid w:val="45EC0A23"/>
    <w:rsid w:val="47C92600"/>
    <w:rsid w:val="48333E50"/>
    <w:rsid w:val="494979B9"/>
    <w:rsid w:val="4A73157E"/>
    <w:rsid w:val="4A881169"/>
    <w:rsid w:val="4B0E0F14"/>
    <w:rsid w:val="4B5E5E04"/>
    <w:rsid w:val="4B8F2360"/>
    <w:rsid w:val="4BA36492"/>
    <w:rsid w:val="4BAF31AB"/>
    <w:rsid w:val="4C0A4414"/>
    <w:rsid w:val="4C52332D"/>
    <w:rsid w:val="4CE72EFB"/>
    <w:rsid w:val="4F203A36"/>
    <w:rsid w:val="4FC515F0"/>
    <w:rsid w:val="5015138F"/>
    <w:rsid w:val="51E00317"/>
    <w:rsid w:val="52AB31ED"/>
    <w:rsid w:val="52CD3361"/>
    <w:rsid w:val="530D5538"/>
    <w:rsid w:val="53194413"/>
    <w:rsid w:val="534D4153"/>
    <w:rsid w:val="53747D97"/>
    <w:rsid w:val="539C1C5E"/>
    <w:rsid w:val="53C66E4D"/>
    <w:rsid w:val="5421069C"/>
    <w:rsid w:val="543301ED"/>
    <w:rsid w:val="556F04AA"/>
    <w:rsid w:val="56072536"/>
    <w:rsid w:val="567A40F6"/>
    <w:rsid w:val="56BC7C2C"/>
    <w:rsid w:val="56CA5499"/>
    <w:rsid w:val="57A7537F"/>
    <w:rsid w:val="580C0241"/>
    <w:rsid w:val="585A5A62"/>
    <w:rsid w:val="598031B7"/>
    <w:rsid w:val="5A0B7DA6"/>
    <w:rsid w:val="5A3E03B9"/>
    <w:rsid w:val="5A3F6A12"/>
    <w:rsid w:val="5B24565A"/>
    <w:rsid w:val="5B367934"/>
    <w:rsid w:val="5B526EEA"/>
    <w:rsid w:val="5C3970BE"/>
    <w:rsid w:val="5C4A334F"/>
    <w:rsid w:val="5C5B3860"/>
    <w:rsid w:val="5C5B5DF2"/>
    <w:rsid w:val="5D611E1F"/>
    <w:rsid w:val="5DE5517C"/>
    <w:rsid w:val="5E2A350B"/>
    <w:rsid w:val="5E3E6312"/>
    <w:rsid w:val="5E9111AE"/>
    <w:rsid w:val="5E9A4312"/>
    <w:rsid w:val="5E9C1890"/>
    <w:rsid w:val="5EA34A77"/>
    <w:rsid w:val="5EDA60F4"/>
    <w:rsid w:val="5EE4337C"/>
    <w:rsid w:val="5EF9791C"/>
    <w:rsid w:val="5F3E1DD9"/>
    <w:rsid w:val="5F4D0FF6"/>
    <w:rsid w:val="6130264B"/>
    <w:rsid w:val="616A48EB"/>
    <w:rsid w:val="61A14ACD"/>
    <w:rsid w:val="63697FB0"/>
    <w:rsid w:val="63835E34"/>
    <w:rsid w:val="63916240"/>
    <w:rsid w:val="63D5257E"/>
    <w:rsid w:val="64436373"/>
    <w:rsid w:val="64534BE1"/>
    <w:rsid w:val="64EE3450"/>
    <w:rsid w:val="65920F1E"/>
    <w:rsid w:val="65C35F86"/>
    <w:rsid w:val="65C823B4"/>
    <w:rsid w:val="664D337B"/>
    <w:rsid w:val="66E5603E"/>
    <w:rsid w:val="67062074"/>
    <w:rsid w:val="674C2968"/>
    <w:rsid w:val="67E1373B"/>
    <w:rsid w:val="684D620F"/>
    <w:rsid w:val="689E1365"/>
    <w:rsid w:val="68BC4508"/>
    <w:rsid w:val="69160567"/>
    <w:rsid w:val="6ABB0BB0"/>
    <w:rsid w:val="6BBF0606"/>
    <w:rsid w:val="6C6924FA"/>
    <w:rsid w:val="6C9C4082"/>
    <w:rsid w:val="6D2508C0"/>
    <w:rsid w:val="6D33374D"/>
    <w:rsid w:val="6DE51EE0"/>
    <w:rsid w:val="6E0C0FC6"/>
    <w:rsid w:val="6E130DC1"/>
    <w:rsid w:val="6EE26A5A"/>
    <w:rsid w:val="6F7B508C"/>
    <w:rsid w:val="6F850FA6"/>
    <w:rsid w:val="704F7D6E"/>
    <w:rsid w:val="711D1FF6"/>
    <w:rsid w:val="71DA26EB"/>
    <w:rsid w:val="729F736B"/>
    <w:rsid w:val="73572F61"/>
    <w:rsid w:val="737941D4"/>
    <w:rsid w:val="737B508C"/>
    <w:rsid w:val="763408C9"/>
    <w:rsid w:val="764A2E12"/>
    <w:rsid w:val="772215FD"/>
    <w:rsid w:val="78FF00AA"/>
    <w:rsid w:val="79B360AC"/>
    <w:rsid w:val="79E735F6"/>
    <w:rsid w:val="7AE7542C"/>
    <w:rsid w:val="7B27526B"/>
    <w:rsid w:val="7CE01D5D"/>
    <w:rsid w:val="7D0E1702"/>
    <w:rsid w:val="7ECA26DF"/>
    <w:rsid w:val="7F0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link w:val="13"/>
    <w:qFormat/>
    <w:uiPriority w:val="0"/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正文文本 Char"/>
    <w:basedOn w:val="11"/>
    <w:link w:val="4"/>
    <w:qFormat/>
    <w:uiPriority w:val="0"/>
    <w:rPr>
      <w:rFonts w:eastAsia="仿宋_GB2312"/>
      <w:sz w:val="32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eastAsia="仿宋_GB2312"/>
      <w:kern w:val="2"/>
      <w:sz w:val="18"/>
      <w:szCs w:val="18"/>
    </w:rPr>
  </w:style>
  <w:style w:type="paragraph" w:customStyle="1" w:styleId="15">
    <w:name w:val="p0"/>
    <w:basedOn w:val="1"/>
    <w:qFormat/>
    <w:uiPriority w:val="99"/>
    <w:pPr>
      <w:widowControl/>
      <w:suppressAutoHyphens/>
      <w:spacing w:before="100" w:beforeAutospacing="1" w:after="100" w:afterAutospacing="1"/>
    </w:pPr>
    <w:rPr>
      <w:rFonts w:ascii="宋体" w:hAnsi="宋体" w:cs="宋体"/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mofcom</Company>
  <Pages>11</Pages>
  <Words>4431</Words>
  <Characters>4489</Characters>
  <Lines>34</Lines>
  <Paragraphs>9</Paragraphs>
  <TotalTime>3</TotalTime>
  <ScaleCrop>false</ScaleCrop>
  <LinksUpToDate>false</LinksUpToDate>
  <CharactersWithSpaces>4693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2021-04-21T07:04:00Z</dcterms:created>
  <dc:creator>mofocm</dc:creator>
  <cp:lastModifiedBy>LENOVO</cp:lastModifiedBy>
  <cp:lastPrinted>2021-05-17T03:08:00Z</cp:lastPrinted>
  <dcterms:modified xsi:type="dcterms:W3CDTF">2021-05-28T02:32:56Z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552ADF8456BA4EE784A85AF5B2B8D32E</vt:lpwstr>
  </property>
</Properties>
</file>