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90861">
      <w:pPr>
        <w:spacing w:line="572" w:lineRule="exact"/>
        <w:rPr>
          <w:rFonts w:hint="eastAsia" w:ascii="方正小标宋简体" w:hAnsi="黑体" w:eastAsia="方正小标宋简体" w:cs="Times New Roman"/>
          <w:sz w:val="40"/>
          <w:szCs w:val="40"/>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1</w:t>
      </w:r>
    </w:p>
    <w:p w14:paraId="0AC0880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黑体" w:eastAsia="方正小标宋简体" w:cs="Times New Roman"/>
          <w:sz w:val="44"/>
          <w:szCs w:val="44"/>
          <w:lang w:val="en-US" w:eastAsia="zh-CN"/>
        </w:rPr>
        <w:t>2026</w:t>
      </w:r>
      <w:r>
        <w:rPr>
          <w:rFonts w:hint="eastAsia" w:ascii="方正小标宋简体" w:hAnsi="黑体" w:eastAsia="方正小标宋简体" w:cs="Times New Roman"/>
          <w:color w:val="auto"/>
          <w:sz w:val="44"/>
          <w:szCs w:val="44"/>
          <w:lang w:val="en-US" w:eastAsia="zh-CN"/>
        </w:rPr>
        <w:t>年融水苗族自治县</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校园中华经典</w:t>
      </w:r>
    </w:p>
    <w:p w14:paraId="506FDE7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黑体" w:eastAsia="方正小标宋简体" w:cs="Times New Roman"/>
          <w:sz w:val="44"/>
          <w:szCs w:val="44"/>
          <w:lang w:val="en-US" w:eastAsia="zh-CN"/>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诵读大赛</w:t>
      </w:r>
      <w:r>
        <w:rPr>
          <w:rFonts w:hint="eastAsia" w:ascii="方正小标宋简体" w:hAnsi="黑体" w:eastAsia="方正小标宋简体" w:cs="Times New Roman"/>
          <w:sz w:val="44"/>
          <w:szCs w:val="44"/>
          <w:lang w:val="en-US" w:eastAsia="zh-CN"/>
        </w:rPr>
        <w:t>方案</w:t>
      </w:r>
    </w:p>
    <w:p w14:paraId="1215B6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sz w:val="40"/>
          <w:szCs w:val="40"/>
          <w:lang w:val="en-US" w:eastAsia="zh-CN"/>
        </w:rPr>
      </w:pPr>
    </w:p>
    <w:p w14:paraId="16578C69">
      <w:pPr>
        <w:keepNext w:val="0"/>
        <w:keepLines w:val="0"/>
        <w:pageBreakBefore w:val="0"/>
        <w:widowControl w:val="0"/>
        <w:numPr>
          <w:ilvl w:val="0"/>
          <w:numId w:val="0"/>
        </w:numPr>
        <w:kinsoku/>
        <w:overflowPunct/>
        <w:topLinePunct w:val="0"/>
        <w:autoSpaceDE/>
        <w:autoSpaceDN/>
        <w:bidi w:val="0"/>
        <w:spacing w:line="560" w:lineRule="exact"/>
        <w:ind w:left="630" w:leftChars="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一、参赛组别</w:t>
      </w:r>
    </w:p>
    <w:p w14:paraId="1523A6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spacing w:val="7"/>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个人组设置5个组别：</w:t>
      </w:r>
      <w:bookmarkStart w:id="0" w:name="OLE_LINK8"/>
      <w:r>
        <w:rPr>
          <w:rFonts w:hint="default" w:ascii="Times New Roman" w:hAnsi="Times New Roman" w:eastAsia="仿宋_GB2312" w:cs="Times New Roman"/>
          <w:color w:val="000000" w:themeColor="text1"/>
          <w:spacing w:val="-1"/>
          <w:sz w:val="32"/>
          <w:szCs w:val="32"/>
          <w:highlight w:val="none"/>
          <w14:textFill>
            <w14:solidFill>
              <w14:schemeClr w14:val="tx1"/>
            </w14:solidFill>
          </w14:textFill>
        </w:rPr>
        <w:t>小学生组、初中学生组、高中和中</w:t>
      </w:r>
      <w:r>
        <w:rPr>
          <w:rFonts w:hint="default" w:ascii="Times New Roman" w:hAnsi="Times New Roman" w:eastAsia="仿宋_GB2312" w:cs="Times New Roman"/>
          <w:color w:val="000000" w:themeColor="text1"/>
          <w:spacing w:val="7"/>
          <w:sz w:val="32"/>
          <w:szCs w:val="32"/>
          <w:highlight w:val="none"/>
          <w14:textFill>
            <w14:solidFill>
              <w14:schemeClr w14:val="tx1"/>
            </w14:solidFill>
          </w14:textFill>
        </w:rPr>
        <w:t>职学生组、</w:t>
      </w:r>
      <w:r>
        <w:rPr>
          <w:rFonts w:hint="default" w:ascii="Times New Roman" w:hAnsi="Times New Roman" w:eastAsia="仿宋_GB2312" w:cs="Times New Roman"/>
          <w:color w:val="000000" w:themeColor="text1"/>
          <w:spacing w:val="7"/>
          <w:sz w:val="32"/>
          <w:szCs w:val="32"/>
          <w:highlight w:val="none"/>
          <w:lang w:eastAsia="zh-CN"/>
          <w14:textFill>
            <w14:solidFill>
              <w14:schemeClr w14:val="tx1"/>
            </w14:solidFill>
          </w14:textFill>
        </w:rPr>
        <w:t>教师组、综合组。</w:t>
      </w:r>
      <w:bookmarkEnd w:id="0"/>
    </w:p>
    <w:p w14:paraId="59B5E61B">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left"/>
        <w:textAlignment w:val="auto"/>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7"/>
          <w:sz w:val="32"/>
          <w:szCs w:val="32"/>
          <w:highlight w:val="none"/>
          <w:lang w:eastAsia="zh-CN"/>
          <w14:textFill>
            <w14:solidFill>
              <w14:schemeClr w14:val="tx1"/>
            </w14:solidFill>
          </w14:textFill>
        </w:rPr>
        <w:t>集体组设置</w:t>
      </w:r>
      <w:r>
        <w:rPr>
          <w:rFonts w:hint="default" w:ascii="Times New Roman" w:hAnsi="Times New Roman" w:eastAsia="仿宋_GB2312" w:cs="Times New Roman"/>
          <w:color w:val="000000" w:themeColor="text1"/>
          <w:spacing w:val="7"/>
          <w:sz w:val="32"/>
          <w:szCs w:val="32"/>
          <w:highlight w:val="none"/>
          <w:lang w:val="en-US" w:eastAsia="zh-CN"/>
          <w14:textFill>
            <w14:solidFill>
              <w14:schemeClr w14:val="tx1"/>
            </w14:solidFill>
          </w14:textFill>
        </w:rPr>
        <w:t>4个组别：</w:t>
      </w:r>
      <w:bookmarkStart w:id="1" w:name="OLE_LINK7"/>
      <w:r>
        <w:rPr>
          <w:rFonts w:hint="default" w:ascii="Times New Roman" w:hAnsi="Times New Roman" w:eastAsia="仿宋_GB2312" w:cs="Times New Roman"/>
          <w:color w:val="000000" w:themeColor="text1"/>
          <w:spacing w:val="-1"/>
          <w:sz w:val="32"/>
          <w:szCs w:val="32"/>
          <w:highlight w:val="none"/>
          <w14:textFill>
            <w14:solidFill>
              <w14:schemeClr w14:val="tx1"/>
            </w14:solidFill>
          </w14:textFill>
        </w:rPr>
        <w:t>小学生</w:t>
      </w:r>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集体</w:t>
      </w:r>
      <w:r>
        <w:rPr>
          <w:rFonts w:hint="default" w:ascii="Times New Roman" w:hAnsi="Times New Roman" w:eastAsia="仿宋_GB2312" w:cs="Times New Roman"/>
          <w:color w:val="000000" w:themeColor="text1"/>
          <w:spacing w:val="-1"/>
          <w:sz w:val="32"/>
          <w:szCs w:val="32"/>
          <w:highlight w:val="none"/>
          <w14:textFill>
            <w14:solidFill>
              <w14:schemeClr w14:val="tx1"/>
            </w14:solidFill>
          </w14:textFill>
        </w:rPr>
        <w:t>组、</w:t>
      </w:r>
      <w:bookmarkStart w:id="2" w:name="OLE_LINK5"/>
      <w:bookmarkStart w:id="3" w:name="OLE_LINK6"/>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中学（中职）生集体</w:t>
      </w:r>
      <w:bookmarkEnd w:id="2"/>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组、教师集体组、综合集体组。</w:t>
      </w:r>
    </w:p>
    <w:bookmarkEnd w:id="1"/>
    <w:bookmarkEnd w:id="3"/>
    <w:p w14:paraId="655B2A8B">
      <w:pPr>
        <w:keepNext w:val="0"/>
        <w:keepLines w:val="0"/>
        <w:pageBreakBefore w:val="0"/>
        <w:widowControl w:val="0"/>
        <w:numPr>
          <w:ilvl w:val="0"/>
          <w:numId w:val="0"/>
        </w:numPr>
        <w:kinsoku/>
        <w:overflowPunct/>
        <w:topLinePunct w:val="0"/>
        <w:autoSpaceDE/>
        <w:autoSpaceDN/>
        <w:bidi w:val="0"/>
        <w:spacing w:line="560" w:lineRule="exact"/>
        <w:ind w:left="630" w:leftChars="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二、参赛对象</w:t>
      </w:r>
    </w:p>
    <w:p w14:paraId="5DF6FE3D">
      <w:pPr>
        <w:pStyle w:val="2"/>
        <w:ind w:left="0" w:leftChars="0"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（一）学生组选手为在我县学校就读的在校生。</w:t>
      </w:r>
    </w:p>
    <w:p w14:paraId="0F0ADB3B">
      <w:pPr>
        <w:pStyle w:val="2"/>
        <w:ind w:left="0" w:leftChars="0"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（二）教师组选手为在我县各级各类学校任教的在职教师。</w:t>
      </w:r>
    </w:p>
    <w:p w14:paraId="75D1A7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综合组参赛对象为各乡镇干部职工、</w:t>
      </w:r>
      <w:r>
        <w:rPr>
          <w:rFonts w:hint="default" w:ascii="Times New Roman" w:hAnsi="Times New Roman" w:eastAsia="仿宋_GB2312" w:cs="Times New Roman"/>
          <w:color w:val="000000" w:themeColor="text1"/>
          <w:spacing w:val="5"/>
          <w:sz w:val="32"/>
          <w:szCs w:val="32"/>
          <w:highlight w:val="none"/>
          <w14:textFill>
            <w14:solidFill>
              <w14:schemeClr w14:val="tx1"/>
            </w14:solidFill>
          </w14:textFill>
        </w:rPr>
        <w:t>语言文字规范化试点村</w:t>
      </w:r>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群众、社会各界人士，</w:t>
      </w:r>
      <w:r>
        <w:rPr>
          <w:rFonts w:hint="default" w:ascii="Times New Roman" w:hAnsi="Times New Roman" w:eastAsia="仿宋_GB2312" w:cs="Times New Roman"/>
          <w:color w:val="000000" w:themeColor="text1"/>
          <w:spacing w:val="-3"/>
          <w:sz w:val="32"/>
          <w:szCs w:val="32"/>
          <w:highlight w:val="none"/>
          <w14:textFill>
            <w14:solidFill>
              <w14:schemeClr w14:val="tx1"/>
            </w14:solidFill>
          </w14:textFill>
        </w:rPr>
        <w:t>鼓励以家庭为单位，</w:t>
      </w:r>
      <w:r>
        <w:rPr>
          <w:rFonts w:hint="default" w:ascii="Times New Roman" w:hAnsi="Times New Roman" w:eastAsia="仿宋_GB2312" w:cs="Times New Roman"/>
          <w:color w:val="000000" w:themeColor="text1"/>
          <w:spacing w:val="8"/>
          <w:sz w:val="32"/>
          <w:szCs w:val="32"/>
          <w:highlight w:val="none"/>
          <w14:textFill>
            <w14:solidFill>
              <w14:schemeClr w14:val="tx1"/>
            </w14:solidFill>
          </w14:textFill>
        </w:rPr>
        <w:t>小手拉大手参加</w:t>
      </w:r>
      <w:r>
        <w:rPr>
          <w:rFonts w:hint="default" w:ascii="Times New Roman" w:hAnsi="Times New Roman" w:eastAsia="仿宋_GB2312" w:cs="Times New Roman"/>
          <w:color w:val="000000" w:themeColor="text1"/>
          <w:spacing w:val="-1"/>
          <w:sz w:val="32"/>
          <w:szCs w:val="32"/>
          <w:highlight w:val="none"/>
          <w:lang w:eastAsia="zh-CN"/>
          <w14:textFill>
            <w14:solidFill>
              <w14:schemeClr w14:val="tx1"/>
            </w14:solidFill>
          </w14:textFill>
        </w:rPr>
        <w:t>。</w:t>
      </w:r>
    </w:p>
    <w:p w14:paraId="131C2AD8">
      <w:pPr>
        <w:keepNext w:val="0"/>
        <w:keepLines w:val="0"/>
        <w:pageBreakBefore w:val="0"/>
        <w:widowControl w:val="0"/>
        <w:kinsoku/>
        <w:overflowPunct/>
        <w:topLinePunct w:val="0"/>
        <w:autoSpaceDE/>
        <w:autoSpaceDN/>
        <w:bidi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三、参赛方式</w:t>
      </w:r>
    </w:p>
    <w:p w14:paraId="3A5E90DC">
      <w:pPr>
        <w:keepNext w:val="0"/>
        <w:keepLines w:val="0"/>
        <w:pageBreakBefore w:val="0"/>
        <w:widowControl w:val="0"/>
        <w:kinsoku/>
        <w:overflowPunct/>
        <w:topLinePunct w:val="0"/>
        <w:autoSpaceDE/>
        <w:autoSpaceDN/>
        <w:bidi w:val="0"/>
        <w:snapToGrid w:val="0"/>
        <w:spacing w:line="560" w:lineRule="exact"/>
        <w:ind w:firstLine="640" w:firstLineChars="20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所有选手都参加现场比赛。</w:t>
      </w:r>
    </w:p>
    <w:p w14:paraId="45F25CA1">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四、参赛名额分配</w:t>
      </w:r>
    </w:p>
    <w:p w14:paraId="2F791BBB">
      <w:pPr>
        <w:pStyle w:val="2"/>
        <w:keepNext w:val="0"/>
        <w:keepLines w:val="0"/>
        <w:pageBreakBefore w:val="0"/>
        <w:widowControl w:val="0"/>
        <w:tabs>
          <w:tab w:val="left" w:pos="0"/>
        </w:tabs>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每人最多可参与个人或集体诵读作品</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1个，重复报名视为主动放弃参赛资格。具体如下：</w:t>
      </w:r>
    </w:p>
    <w:p w14:paraId="0B9164DF">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（一）个人组</w:t>
      </w:r>
    </w:p>
    <w:p w14:paraId="69457D7C">
      <w:pPr>
        <w:pStyle w:val="2"/>
        <w:keepNext w:val="0"/>
        <w:keepLines w:val="0"/>
        <w:pageBreakBefore w:val="0"/>
        <w:widowControl w:val="0"/>
        <w:kinsoku/>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1.各小学、初中，特殊教育学校，每校推选学生1名。</w:t>
      </w:r>
    </w:p>
    <w:p w14:paraId="6BF435F6">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高中学生组（含中职）每所学校推选2名。</w:t>
      </w:r>
    </w:p>
    <w:p w14:paraId="56C6C0D5">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各乡镇教师各1名选手（各乡镇幼儿园、中小学自行选拔）。</w:t>
      </w:r>
    </w:p>
    <w:p w14:paraId="4AFE50F0">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综合组：</w:t>
      </w: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一个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人可以报名参加个人组赛和集体组中的其中一组比赛。</w:t>
      </w:r>
    </w:p>
    <w:p w14:paraId="25EE24B9">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u w:val="none"/>
          <w:lang w:val="en-US" w:eastAsia="zh-CN"/>
          <w14:textFill>
            <w14:solidFill>
              <w14:schemeClr w14:val="tx1"/>
            </w14:solidFill>
          </w14:textFill>
        </w:rPr>
        <w:t>（二）集体组</w:t>
      </w:r>
    </w:p>
    <w:p w14:paraId="7579EC44">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各中小学校每校推选学生各1队</w:t>
      </w:r>
      <w:r>
        <w:rPr>
          <w:rFonts w:hint="default" w:ascii="Times New Roman" w:hAnsi="Times New Roman" w:eastAsia="仿宋_GB2312" w:cs="Times New Roman"/>
          <w:color w:val="000000" w:themeColor="text1"/>
          <w:kern w:val="0"/>
          <w:sz w:val="32"/>
          <w:szCs w:val="32"/>
          <w:highlight w:val="none"/>
          <w:u w:val="none"/>
          <w:lang w:eastAsia="zh-CN"/>
          <w14:textFill>
            <w14:solidFill>
              <w14:schemeClr w14:val="tx1"/>
            </w14:solidFill>
          </w14:textFill>
        </w:rPr>
        <w:t>参赛，</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各乡镇教师各1队参赛（各乡镇幼儿园、中小学教师自行选拔）。</w:t>
      </w:r>
      <w:r>
        <w:rPr>
          <w:rFonts w:hint="default" w:ascii="Times New Roman" w:hAnsi="Times New Roman" w:eastAsia="仿宋_GB2312" w:cs="Times New Roman"/>
          <w:color w:val="000000" w:themeColor="text1"/>
          <w:spacing w:val="5"/>
          <w:sz w:val="32"/>
          <w:szCs w:val="32"/>
          <w:highlight w:val="none"/>
          <w:u w:val="none"/>
          <w14:textFill>
            <w14:solidFill>
              <w14:schemeClr w14:val="tx1"/>
            </w14:solidFill>
          </w14:textFill>
        </w:rPr>
        <w:t>每个参赛</w:t>
      </w:r>
      <w:r>
        <w:rPr>
          <w:rFonts w:hint="default" w:ascii="Times New Roman" w:hAnsi="Times New Roman" w:eastAsia="仿宋_GB2312" w:cs="Times New Roman"/>
          <w:color w:val="000000" w:themeColor="text1"/>
          <w:spacing w:val="-74"/>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5"/>
          <w:sz w:val="32"/>
          <w:szCs w:val="32"/>
          <w:highlight w:val="none"/>
          <w:u w:val="none"/>
          <w14:textFill>
            <w14:solidFill>
              <w14:schemeClr w14:val="tx1"/>
            </w14:solidFill>
          </w14:textFill>
        </w:rPr>
        <w:t>队诵读人数为</w:t>
      </w:r>
      <w:r>
        <w:rPr>
          <w:rFonts w:hint="default" w:ascii="Times New Roman" w:hAnsi="Times New Roman" w:eastAsia="仿宋_GB2312" w:cs="Times New Roman"/>
          <w:color w:val="000000" w:themeColor="text1"/>
          <w:spacing w:val="-70"/>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5"/>
          <w:sz w:val="32"/>
          <w:szCs w:val="32"/>
          <w:highlight w:val="none"/>
          <w:u w:val="none"/>
          <w14:textFill>
            <w14:solidFill>
              <w14:schemeClr w14:val="tx1"/>
            </w14:solidFill>
          </w14:textFill>
        </w:rPr>
        <w:t>2—20人</w:t>
      </w:r>
      <w:r>
        <w:rPr>
          <w:rFonts w:hint="default" w:ascii="Times New Roman" w:hAnsi="Times New Roman" w:eastAsia="仿宋_GB2312" w:cs="Times New Roman"/>
          <w:color w:val="000000" w:themeColor="text1"/>
          <w:kern w:val="0"/>
          <w:sz w:val="32"/>
          <w:szCs w:val="32"/>
          <w:highlight w:val="none"/>
          <w:u w:val="none"/>
          <w:lang w:eastAsia="zh-CN"/>
          <w14:textFill>
            <w14:solidFill>
              <w14:schemeClr w14:val="tx1"/>
            </w14:solidFill>
          </w14:textFill>
        </w:rPr>
        <w:t>。除综合组外</w:t>
      </w:r>
      <w:bookmarkStart w:id="4" w:name="OLE_LINK10"/>
      <w:r>
        <w:rPr>
          <w:rFonts w:hint="default" w:ascii="Times New Roman" w:hAnsi="Times New Roman" w:eastAsia="仿宋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2"/>
          <w:sz w:val="32"/>
          <w:szCs w:val="32"/>
          <w:highlight w:val="none"/>
          <w:u w:val="none"/>
          <w14:textFill>
            <w14:solidFill>
              <w14:schemeClr w14:val="tx1"/>
            </w14:solidFill>
          </w14:textFill>
        </w:rPr>
        <w:t>不同组别的选手不能联合组队，作品</w:t>
      </w:r>
      <w:r>
        <w:rPr>
          <w:rFonts w:hint="default" w:ascii="Times New Roman" w:hAnsi="Times New Roman" w:eastAsia="仿宋_GB2312" w:cs="Times New Roman"/>
          <w:color w:val="000000" w:themeColor="text1"/>
          <w:spacing w:val="-72"/>
          <w:sz w:val="32"/>
          <w:szCs w:val="32"/>
          <w:highlight w:val="none"/>
          <w:u w:val="none"/>
          <w14:textFill>
            <w14:solidFill>
              <w14:schemeClr w14:val="tx1"/>
            </w14:solidFill>
          </w14:textFill>
        </w:rPr>
        <w:t xml:space="preserve"> </w:t>
      </w:r>
      <w:r>
        <w:rPr>
          <w:rFonts w:hint="default" w:ascii="Times New Roman" w:hAnsi="Times New Roman" w:eastAsia="仿宋_GB2312" w:cs="Times New Roman"/>
          <w:color w:val="000000" w:themeColor="text1"/>
          <w:spacing w:val="2"/>
          <w:sz w:val="32"/>
          <w:szCs w:val="32"/>
          <w:highlight w:val="none"/>
          <w:u w:val="none"/>
          <w14:textFill>
            <w14:solidFill>
              <w14:schemeClr w14:val="tx1"/>
            </w14:solidFill>
          </w14:textFill>
        </w:rPr>
        <w:t>报送后人员不</w:t>
      </w:r>
      <w:bookmarkEnd w:id="4"/>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得替换、不得增加。</w:t>
      </w:r>
    </w:p>
    <w:p w14:paraId="5AAD129A">
      <w:pPr>
        <w:spacing w:line="600" w:lineRule="exact"/>
        <w:ind w:firstLine="643" w:firstLineChars="200"/>
        <w:rPr>
          <w:rFonts w:hint="default" w:ascii="Times New Roman" w:hAnsi="Times New Roman" w:cs="Times New Roman"/>
          <w:color w:val="000000" w:themeColor="text1"/>
          <w:highlight w:val="none"/>
          <w:u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其他，</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年以来获得自治区校园中华经典诵读大赛二等奖以上的选手，通过提交获奖证书或文件，可以个人名义自行报名</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获奖者获奖当年所属学校可推荐1名选手（队），直接参加202</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全</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市校园中华经典诵读大赛，不占用参赛名额。</w:t>
      </w:r>
    </w:p>
    <w:p w14:paraId="1383A6C7">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五、参赛要求</w:t>
      </w:r>
    </w:p>
    <w:p w14:paraId="7ED466E5">
      <w:pPr>
        <w:spacing w:line="60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color w:val="000000" w:themeColor="text1"/>
          <w:sz w:val="32"/>
          <w:szCs w:val="32"/>
          <w:highlight w:val="none"/>
          <w:u w:val="none"/>
          <w14:textFill>
            <w14:solidFill>
              <w14:schemeClr w14:val="tx1"/>
            </w14:solidFill>
          </w14:textFill>
        </w:rPr>
        <w:t>（一）比赛篇目</w:t>
      </w:r>
      <w:r>
        <w:rPr>
          <w:rFonts w:hint="default" w:ascii="Times New Roman" w:hAnsi="Times New Roman" w:eastAsia="楷体"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每</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位</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参加</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级比赛的选手（队）诵读作品2篇，其中指定篇目和自选篇目各1篇，每个篇目诵读时间3—4分钟（从配乐或诵读声响起开始计时）。指定篇目为古代作品（可选1个或者多个古代作品诵读）</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自选篇目由选手（队）自行选择，可选古代作品，也可选近现代作品。诵读的作品应符合以下要求：</w:t>
      </w:r>
    </w:p>
    <w:p w14:paraId="06A40477">
      <w:pPr>
        <w:spacing w:line="60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内容健康向上，体现中华优秀传统文化、革命文化和社会主义先进文化或彰显中华语言文化魅力，展现当地深厚历史文化特点的中华经典诗文。</w:t>
      </w:r>
    </w:p>
    <w:p w14:paraId="6C638D5C">
      <w:pPr>
        <w:spacing w:line="60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反映人民群众对美好生活的向往，抒发家国情怀，弘扬正能量，以及歌颂为全面建成小康社会</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和乡村振兴工作</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而奋斗的</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一线干部和</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英雄楷模的优秀作品；生动讲述中国共产党奋斗历程，</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体现全国各族人民干事创业、艰苦奋斗，</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歌颂建党以来我国取得的伟大成就的优秀作品。</w:t>
      </w:r>
    </w:p>
    <w:p w14:paraId="5943995A">
      <w:pPr>
        <w:spacing w:line="60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古代、近现代和当</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代具</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有社会影响力</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和典范价值的</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体现中华优秀文化的经典诗句、文章和优秀图书内容节选。当代作品应已正式出版或由省级以上广播电视台等主流媒体公开发布或发表，出版、发表时间至少</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2年以上，并被广泛传播。中小学生（含中职）选手（队）可优先从统编语文教材中选择作品。外国作品</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、网络作品、佚名作品和自创作品等不能作为自选篇目。</w:t>
      </w:r>
    </w:p>
    <w:p w14:paraId="452424C3">
      <w:pPr>
        <w:spacing w:line="600" w:lineRule="exact"/>
        <w:ind w:firstLine="640" w:firstLineChars="200"/>
        <w:rPr>
          <w:rFonts w:hint="default" w:ascii="Times New Roman" w:hAnsi="Times New Roman" w:eastAsia="仿宋_GB2312" w:cs="Times New Roman"/>
          <w:color w:val="000000" w:themeColor="text1"/>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在以诵读为主的基础上，作品可适当借助吟诵、音乐、服装等手段融合展现诵读内容，鼓励以团队形式诵读。</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诵读文本主体前后可根据需要增加总计不超过200字的过渡语，计入比赛时长。</w:t>
      </w:r>
    </w:p>
    <w:p w14:paraId="08D9C41D">
      <w:pPr>
        <w:pStyle w:val="6"/>
        <w:keepNext w:val="0"/>
        <w:keepLines w:val="0"/>
        <w:pageBreakBefore w:val="0"/>
        <w:widowControl w:val="0"/>
        <w:kinsoku/>
        <w:overflowPunct/>
        <w:topLinePunct w:val="0"/>
        <w:autoSpaceDE/>
        <w:autoSpaceDN/>
        <w:bidi w:val="0"/>
        <w:snapToGrid w:val="0"/>
        <w:spacing w:after="0" w:line="560" w:lineRule="exact"/>
        <w:ind w:left="0" w:leftChars="0" w:firstLine="736" w:firstLineChars="200"/>
        <w:textAlignment w:val="auto"/>
        <w:rPr>
          <w:rFonts w:hint="default" w:ascii="Times New Roman" w:hAnsi="Times New Roman" w:eastAsia="楷体_GB2312" w:cs="Times New Roman"/>
          <w:b w:val="0"/>
          <w:bCs/>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楷体_GB2312" w:cs="Times New Roman"/>
          <w:b w:val="0"/>
          <w:bCs/>
          <w:color w:val="000000" w:themeColor="text1"/>
          <w:spacing w:val="24"/>
          <w:kern w:val="0"/>
          <w:sz w:val="32"/>
          <w:szCs w:val="32"/>
          <w:highlight w:val="none"/>
          <w:u w:val="none"/>
          <w:lang w:eastAsia="zh-CN"/>
          <w14:textFill>
            <w14:solidFill>
              <w14:schemeClr w14:val="tx1"/>
            </w14:solidFill>
          </w14:textFill>
        </w:rPr>
        <w:t>（二）</w:t>
      </w:r>
      <w:r>
        <w:rPr>
          <w:rFonts w:hint="default" w:ascii="Times New Roman" w:hAnsi="Times New Roman" w:eastAsia="楷体_GB2312" w:cs="Times New Roman"/>
          <w:b w:val="0"/>
          <w:bCs/>
          <w:color w:val="000000" w:themeColor="text1"/>
          <w:kern w:val="0"/>
          <w:sz w:val="32"/>
          <w:szCs w:val="32"/>
          <w:highlight w:val="none"/>
          <w:u w:val="none"/>
          <w:lang w:val="en-US" w:eastAsia="zh-CN" w:bidi="ar-SA"/>
          <w14:textFill>
            <w14:solidFill>
              <w14:schemeClr w14:val="tx1"/>
            </w14:solidFill>
          </w14:textFill>
        </w:rPr>
        <w:t>比赛形式</w:t>
      </w:r>
    </w:p>
    <w:p w14:paraId="707FE090">
      <w:pPr>
        <w:pStyle w:val="6"/>
        <w:keepNext w:val="0"/>
        <w:keepLines w:val="0"/>
        <w:pageBreakBefore w:val="0"/>
        <w:widowControl w:val="0"/>
        <w:kinsoku/>
        <w:overflowPunct/>
        <w:topLinePunct w:val="0"/>
        <w:autoSpaceDE/>
        <w:autoSpaceDN/>
        <w:bidi w:val="0"/>
        <w:snapToGrid w:val="0"/>
        <w:spacing w:after="0" w:line="560" w:lineRule="exact"/>
        <w:ind w:left="0" w:leftChars="0" w:firstLine="640" w:firstLineChars="200"/>
        <w:textAlignment w:val="auto"/>
        <w:rPr>
          <w:rFonts w:hint="default"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t>选手全程使用普通话脱稿诵读。每个（队）诵读作品2篇，其中指定篇目和自选篇目各1篇，按照先指定篇目，后自选篇目的顺序诵读。为便于区分，2个篇目之间的配乐间隔3—5秒，每个篇目片头要显示篇目名称</w:t>
      </w:r>
    </w:p>
    <w:p w14:paraId="41BC5929">
      <w:pPr>
        <w:pStyle w:val="6"/>
        <w:keepNext w:val="0"/>
        <w:keepLines w:val="0"/>
        <w:pageBreakBefore w:val="0"/>
        <w:widowControl w:val="0"/>
        <w:kinsoku/>
        <w:overflowPunct/>
        <w:topLinePunct w:val="0"/>
        <w:autoSpaceDE/>
        <w:autoSpaceDN/>
        <w:bidi w:val="0"/>
        <w:snapToGrid w:val="0"/>
        <w:spacing w:after="0" w:line="560" w:lineRule="exact"/>
        <w:ind w:left="0" w:leftChars="0" w:firstLine="640" w:firstLineChars="200"/>
        <w:textAlignment w:val="auto"/>
        <w:rPr>
          <w:rFonts w:hint="default" w:ascii="Times New Roman" w:hAnsi="Times New Roman" w:eastAsia="仿宋_GB2312" w:cs="Times New Roman"/>
          <w:color w:val="000000" w:themeColor="text1"/>
          <w:spacing w:val="8"/>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t>小学生组古代和现当代作品诵读时长分别不少于2分钟、不多于3分10秒。中学生及成人组古代和现当代作品诵读时长分别不少于3分，不多于4分，配乐声起开始计时。配乐要在赛前指定时间提交并</w:t>
      </w:r>
      <w:r>
        <w:rPr>
          <w:rFonts w:hint="eastAsia"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t>连接</w:t>
      </w:r>
      <w:r>
        <w:rPr>
          <w:rFonts w:hint="default" w:ascii="Times New Roman" w:hAnsi="Times New Roman" w:eastAsia="仿宋_GB2312" w:cs="Times New Roman"/>
          <w:color w:val="000000" w:themeColor="text1"/>
          <w:kern w:val="0"/>
          <w:sz w:val="32"/>
          <w:szCs w:val="32"/>
          <w:highlight w:val="none"/>
          <w:u w:val="none"/>
          <w:lang w:val="en-US" w:eastAsia="zh-CN" w:bidi="ar-SA"/>
          <w14:textFill>
            <w14:solidFill>
              <w14:schemeClr w14:val="tx1"/>
            </w14:solidFill>
          </w14:textFill>
        </w:rPr>
        <w:t>成一个音频播放。</w:t>
      </w:r>
      <w:r>
        <w:rPr>
          <w:rFonts w:hint="default" w:ascii="Times New Roman" w:hAnsi="Times New Roman" w:eastAsia="仿宋_GB2312" w:cs="Times New Roman"/>
          <w:color w:val="000000" w:themeColor="text1"/>
          <w:spacing w:val="4"/>
          <w:sz w:val="32"/>
          <w:szCs w:val="32"/>
          <w:highlight w:val="none"/>
          <w:u w:val="none"/>
          <w14:textFill>
            <w14:solidFill>
              <w14:schemeClr w14:val="tx1"/>
            </w14:solidFill>
          </w14:textFill>
        </w:rPr>
        <w:t>选手</w:t>
      </w:r>
      <w:r>
        <w:rPr>
          <w:rFonts w:hint="default" w:ascii="Times New Roman" w:hAnsi="Times New Roman" w:eastAsia="仿宋_GB2312" w:cs="Times New Roman"/>
          <w:color w:val="000000" w:themeColor="text1"/>
          <w:spacing w:val="4"/>
          <w:sz w:val="32"/>
          <w:szCs w:val="32"/>
          <w:highlight w:val="none"/>
          <w:u w:val="none"/>
          <w:lang w:eastAsia="zh-CN"/>
          <w14:textFill>
            <w14:solidFill>
              <w14:schemeClr w14:val="tx1"/>
            </w14:solidFill>
          </w14:textFill>
        </w:rPr>
        <w:t>比赛时只报参赛序号</w:t>
      </w:r>
      <w:r>
        <w:rPr>
          <w:rFonts w:hint="default" w:ascii="Times New Roman" w:hAnsi="Times New Roman" w:eastAsia="仿宋_GB2312" w:cs="Times New Roman"/>
          <w:color w:val="000000" w:themeColor="text1"/>
          <w:spacing w:val="4"/>
          <w:sz w:val="32"/>
          <w:szCs w:val="32"/>
          <w:highlight w:val="none"/>
          <w:u w:val="none"/>
          <w14:textFill>
            <w14:solidFill>
              <w14:schemeClr w14:val="tx1"/>
            </w14:solidFill>
          </w14:textFill>
        </w:rPr>
        <w:t>不</w:t>
      </w:r>
      <w:r>
        <w:rPr>
          <w:rFonts w:hint="default" w:ascii="Times New Roman" w:hAnsi="Times New Roman" w:eastAsia="仿宋_GB2312" w:cs="Times New Roman"/>
          <w:color w:val="000000" w:themeColor="text1"/>
          <w:spacing w:val="8"/>
          <w:sz w:val="32"/>
          <w:szCs w:val="32"/>
          <w:highlight w:val="none"/>
          <w:u w:val="none"/>
          <w14:textFill>
            <w14:solidFill>
              <w14:schemeClr w14:val="tx1"/>
            </w14:solidFill>
          </w14:textFill>
        </w:rPr>
        <w:t>能透露个人信息</w:t>
      </w:r>
      <w:r>
        <w:rPr>
          <w:rFonts w:hint="default" w:ascii="Times New Roman" w:hAnsi="Times New Roman" w:eastAsia="仿宋_GB2312" w:cs="Times New Roman"/>
          <w:color w:val="000000" w:themeColor="text1"/>
          <w:spacing w:val="8"/>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8"/>
          <w:sz w:val="32"/>
          <w:szCs w:val="32"/>
          <w:highlight w:val="none"/>
          <w:u w:val="none"/>
          <w14:textFill>
            <w14:solidFill>
              <w14:schemeClr w14:val="tx1"/>
            </w14:solidFill>
          </w14:textFill>
        </w:rPr>
        <w:t>否则将被取消参赛资格。</w:t>
      </w:r>
    </w:p>
    <w:p w14:paraId="1D4FE4A4">
      <w:pPr>
        <w:pStyle w:val="6"/>
        <w:keepNext w:val="0"/>
        <w:keepLines w:val="0"/>
        <w:pageBreakBefore w:val="0"/>
        <w:widowControl w:val="0"/>
        <w:kinsoku/>
        <w:overflowPunct/>
        <w:topLinePunct w:val="0"/>
        <w:autoSpaceDE/>
        <w:autoSpaceDN/>
        <w:bidi w:val="0"/>
        <w:snapToGrid w:val="0"/>
        <w:spacing w:after="0" w:line="560" w:lineRule="exact"/>
        <w:ind w:left="0" w:leftChars="0" w:firstLine="736" w:firstLineChars="200"/>
        <w:textAlignment w:val="auto"/>
        <w:rPr>
          <w:rFonts w:hint="default" w:ascii="Times New Roman" w:hAnsi="Times New Roman" w:eastAsia="楷体_GB2312" w:cs="Times New Roman"/>
          <w:b w:val="0"/>
          <w:bCs/>
          <w:color w:val="000000" w:themeColor="text1"/>
          <w:spacing w:val="24"/>
          <w:kern w:val="0"/>
          <w:sz w:val="32"/>
          <w:szCs w:val="32"/>
          <w:highlight w:val="none"/>
          <w:u w:val="none"/>
          <w:lang w:eastAsia="zh-CN"/>
          <w14:textFill>
            <w14:solidFill>
              <w14:schemeClr w14:val="tx1"/>
            </w14:solidFill>
          </w14:textFill>
        </w:rPr>
      </w:pPr>
      <w:r>
        <w:rPr>
          <w:rFonts w:hint="default" w:ascii="Times New Roman" w:hAnsi="Times New Roman" w:eastAsia="楷体_GB2312" w:cs="Times New Roman"/>
          <w:b w:val="0"/>
          <w:bCs/>
          <w:color w:val="000000" w:themeColor="text1"/>
          <w:spacing w:val="24"/>
          <w:kern w:val="0"/>
          <w:sz w:val="32"/>
          <w:szCs w:val="32"/>
          <w:highlight w:val="none"/>
          <w:u w:val="none"/>
          <w:lang w:eastAsia="zh-CN"/>
          <w14:textFill>
            <w14:solidFill>
              <w14:schemeClr w14:val="tx1"/>
            </w14:solidFill>
          </w14:textFill>
        </w:rPr>
        <w:t>（三）指导教师</w:t>
      </w:r>
    </w:p>
    <w:p w14:paraId="363CE972">
      <w:pPr>
        <w:pStyle w:val="6"/>
        <w:keepNext w:val="0"/>
        <w:keepLines w:val="0"/>
        <w:pageBreakBefore w:val="0"/>
        <w:widowControl w:val="0"/>
        <w:numPr>
          <w:ilvl w:val="0"/>
          <w:numId w:val="0"/>
        </w:numPr>
        <w:kinsoku/>
        <w:overflowPunct/>
        <w:topLinePunct w:val="0"/>
        <w:autoSpaceDE/>
        <w:autoSpaceDN/>
        <w:bidi w:val="0"/>
        <w:snapToGrid w:val="0"/>
        <w:spacing w:after="0" w:line="560" w:lineRule="exact"/>
        <w:ind w:firstLine="672" w:firstLineChars="200"/>
        <w:textAlignment w:val="auto"/>
        <w:rPr>
          <w:rFonts w:hint="default" w:ascii="Times New Roman" w:hAnsi="Times New Roman" w:eastAsia="仿宋_GB2312" w:cs="Times New Roman"/>
          <w:color w:val="000000" w:themeColor="text1"/>
          <w:spacing w:val="8"/>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8"/>
          <w:sz w:val="32"/>
          <w:szCs w:val="32"/>
          <w:highlight w:val="none"/>
          <w:u w:val="none"/>
          <w:lang w:val="en-US" w:eastAsia="zh-CN"/>
          <w14:textFill>
            <w14:solidFill>
              <w14:schemeClr w14:val="tx1"/>
            </w14:solidFill>
          </w14:textFill>
        </w:rPr>
        <w:t>个人组每个参赛选手指导老师1人，集体组每队指导老师不超过2人，同一作品参赛选手不得同时是该作品的指导老师。</w:t>
      </w:r>
    </w:p>
    <w:p w14:paraId="591A5B9B">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黑体"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lang w:val="en-US" w:eastAsia="zh-CN" w:bidi="ar-SA"/>
          <w14:textFill>
            <w14:solidFill>
              <w14:schemeClr w14:val="tx1"/>
            </w14:solidFill>
          </w14:textFill>
        </w:rPr>
        <w:t>比赛具体事项</w:t>
      </w:r>
    </w:p>
    <w:p w14:paraId="6A22A3BA">
      <w:pPr>
        <w:pStyle w:val="2"/>
        <w:numPr>
          <w:ilvl w:val="0"/>
          <w:numId w:val="2"/>
        </w:numPr>
        <w:ind w:left="580" w:leftChars="0" w:firstLine="0" w:firstLineChars="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比赛时间：2026年5月9—12日。</w:t>
      </w:r>
    </w:p>
    <w:p w14:paraId="277D3FD4">
      <w:pPr>
        <w:pStyle w:val="2"/>
        <w:numPr>
          <w:ilvl w:val="0"/>
          <w:numId w:val="0"/>
        </w:numPr>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9日上午10:00-12:00分组抽比赛顺序签、拷贝配乐，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15:00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—18:00赛前培训、选手熟悉场地。</w:t>
      </w:r>
    </w:p>
    <w:p w14:paraId="01BB9142">
      <w:pPr>
        <w:spacing w:line="60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11日、12日比赛，上午8:00签到，8:20比赛正式开始；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15:00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签到，15:20比赛正式开始。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各参赛选手（队）</w:t>
      </w:r>
      <w:bookmarkStart w:id="6" w:name="_GoBack"/>
      <w:bookmarkEnd w:id="6"/>
      <w:r>
        <w:rPr>
          <w:rFonts w:hint="default" w:ascii="Times New Roman" w:hAnsi="Times New Roman" w:eastAsia="仿宋_GB2312" w:cs="Times New Roman"/>
          <w:color w:val="000000" w:themeColor="text1"/>
          <w:sz w:val="32"/>
          <w:szCs w:val="32"/>
          <w:highlight w:val="none"/>
          <w14:textFill>
            <w14:solidFill>
              <w14:schemeClr w14:val="tx1"/>
            </w14:solidFill>
          </w14:textFill>
        </w:rPr>
        <w:t>在本组比赛开始前15分钟签到候场，选手因迟到等原因造成无法按时比赛的视为弃权。</w:t>
      </w:r>
      <w:bookmarkStart w:id="5" w:name="OLE_LINK9"/>
      <w:r>
        <w:rPr>
          <w:rFonts w:hint="default" w:ascii="Times New Roman" w:hAnsi="Times New Roman" w:eastAsia="仿宋_GB2312" w:cs="Times New Roman"/>
          <w:color w:val="000000" w:themeColor="text1"/>
          <w:sz w:val="32"/>
          <w:szCs w:val="32"/>
          <w:highlight w:val="none"/>
          <w14:textFill>
            <w14:solidFill>
              <w14:schemeClr w14:val="tx1"/>
            </w14:solidFill>
          </w14:textFill>
        </w:rPr>
        <w:t>此次比赛不举办现场颁奖仪式，各奖项名单待赛事结束后另行下文公布。</w:t>
      </w:r>
    </w:p>
    <w:bookmarkEnd w:id="5"/>
    <w:p w14:paraId="7F574C98">
      <w:pPr>
        <w:pStyle w:val="2"/>
        <w:numPr>
          <w:ilvl w:val="0"/>
          <w:numId w:val="0"/>
        </w:numPr>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（二）比赛顺序：小学生组、小学生集体组、初中学生组、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中学（中职）生集体组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高中和中职学生组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、教师组、教师集体组、综合组（个人、集体）。</w:t>
      </w:r>
    </w:p>
    <w:p w14:paraId="4E8403B9">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黑体"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lang w:val="en-US" w:eastAsia="zh-CN" w:bidi="ar-SA"/>
          <w14:textFill>
            <w14:solidFill>
              <w14:schemeClr w14:val="tx1"/>
            </w14:solidFill>
          </w14:textFill>
        </w:rPr>
        <w:t>七、奖项设置</w:t>
      </w:r>
    </w:p>
    <w:p w14:paraId="664F4EC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（一）各组分别设一等奖、二等奖、三等奖和优秀奖。</w:t>
      </w:r>
    </w:p>
    <w:p w14:paraId="232C027D">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八、其他要求</w:t>
      </w:r>
    </w:p>
    <w:p w14:paraId="29B3EB35">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（一）比赛坚持公益性原则，任何人不得以任何名义向参赛选手收取费用。</w:t>
      </w:r>
    </w:p>
    <w:p w14:paraId="438C905D">
      <w:pPr>
        <w:pStyle w:val="2"/>
        <w:ind w:left="0" w:leftChars="0"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（二）报送参赛信息时，要认真核对确保报送选手信息、资料的准确性和一致性。如果出现材料相关信息不符的情况，将取消参加比赛资格。</w:t>
      </w:r>
    </w:p>
    <w:p w14:paraId="7785321B">
      <w:pPr>
        <w:pStyle w:val="2"/>
        <w:ind w:left="0" w:leftChars="0"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（三）各单位要高度重视，指派责任心强的同志组织和带队参赛，要全程掌握本队参赛人员的具体情况，在选手比赛和往返期间要安排专人管理，确保参赛人员的人身及财物安全。</w:t>
      </w:r>
    </w:p>
    <w:p w14:paraId="2D927846">
      <w:pPr>
        <w:pStyle w:val="2"/>
        <w:ind w:left="0" w:leftChars="0" w:firstLine="640" w:firstLineChars="20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（四）比赛选手务必5月8日前进入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以下</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选手赛事通知群。</w:t>
      </w:r>
    </w:p>
    <w:p w14:paraId="03D48370">
      <w:pPr>
        <w:pStyle w:val="2"/>
        <w:rPr>
          <w:rFonts w:hint="default"/>
          <w:lang w:val="en-US" w:eastAsia="zh-CN"/>
        </w:rPr>
      </w:pPr>
    </w:p>
    <w:p w14:paraId="437A78FF">
      <w:pPr>
        <w:pStyle w:val="2"/>
        <w:rPr>
          <w:rFonts w:hint="default"/>
          <w:lang w:val="en-US" w:eastAsia="zh-CN"/>
        </w:rPr>
        <w:sectPr>
          <w:footerReference r:id="rId3" w:type="default"/>
          <w:pgSz w:w="11906" w:h="16838"/>
          <w:pgMar w:top="1417" w:right="1417" w:bottom="1417" w:left="1417" w:header="851" w:footer="992" w:gutter="0"/>
          <w:cols w:space="720" w:num="1"/>
          <w:rtlGutter w:val="0"/>
          <w:docGrid w:type="lines" w:linePitch="318" w:charSpace="0"/>
        </w:sectPr>
      </w:pPr>
      <w:r>
        <w:rPr>
          <w:rFonts w:hint="default" w:ascii="仿宋" w:hAnsi="仿宋" w:eastAsia="仿宋" w:cs="仿宋"/>
          <w:color w:val="000000" w:themeColor="text1"/>
          <w:sz w:val="32"/>
          <w:szCs w:val="32"/>
          <w:lang w:val="en-US" w:eastAsia="zh-CN"/>
          <w14:textFill>
            <w14:solidFill>
              <w14:schemeClr w14:val="tx1"/>
            </w14:solidFill>
          </w14:textFill>
        </w:rPr>
        <w:drawing>
          <wp:inline distT="0" distB="0" distL="114300" distR="114300">
            <wp:extent cx="3378835" cy="4252595"/>
            <wp:effectExtent l="0" t="0" r="0" b="0"/>
            <wp:docPr id="2" name="图片 2" descr="e6b4842151731768bbd9701867b337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6b4842151731768bbd9701867b337ea"/>
                    <pic:cNvPicPr>
                      <a:picLocks noChangeAspect="1"/>
                    </pic:cNvPicPr>
                  </pic:nvPicPr>
                  <pic:blipFill>
                    <a:blip r:embed="rId6"/>
                    <a:srcRect l="9882" t="22889" r="9958" b="9465"/>
                    <a:stretch>
                      <a:fillRect/>
                    </a:stretch>
                  </pic:blipFill>
                  <pic:spPr>
                    <a:xfrm>
                      <a:off x="0" y="0"/>
                      <a:ext cx="3378835" cy="4252595"/>
                    </a:xfrm>
                    <a:prstGeom prst="rect">
                      <a:avLst/>
                    </a:prstGeom>
                  </pic:spPr>
                </pic:pic>
              </a:graphicData>
            </a:graphic>
          </wp:inline>
        </w:drawing>
      </w:r>
    </w:p>
    <w:p w14:paraId="1031E2FD">
      <w:pPr>
        <w:pageBreakBefore w:val="0"/>
        <w:widowControl w:val="0"/>
        <w:kinsoku/>
        <w:wordWrap w:val="0"/>
        <w:overflowPunct/>
        <w:topLinePunct w:val="0"/>
        <w:autoSpaceDE/>
        <w:autoSpaceDN/>
        <w:bidi w:val="0"/>
        <w:adjustRightInd w:val="0"/>
        <w:snapToGrid w:val="0"/>
        <w:spacing w:line="570" w:lineRule="exact"/>
        <w:jc w:val="both"/>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附件2</w:t>
      </w:r>
    </w:p>
    <w:p w14:paraId="02303443">
      <w:pPr>
        <w:keepNext w:val="0"/>
        <w:keepLines w:val="0"/>
        <w:pageBreakBefore w:val="0"/>
        <w:widowControl w:val="0"/>
        <w:numPr>
          <w:ilvl w:val="0"/>
          <w:numId w:val="0"/>
        </w:numPr>
        <w:kinsoku/>
        <w:wordWrap/>
        <w:overflowPunct/>
        <w:topLinePunct w:val="0"/>
        <w:autoSpaceDE/>
        <w:autoSpaceDN/>
        <w:bidi w:val="0"/>
        <w:spacing w:line="560" w:lineRule="exact"/>
        <w:ind w:left="1958" w:leftChars="761" w:hanging="360" w:hangingChars="100"/>
        <w:jc w:val="center"/>
        <w:textAlignment w:val="auto"/>
        <w:rPr>
          <w:rFonts w:hint="eastAsia" w:ascii="方正小标宋简体" w:hAnsi="方正小标宋简体" w:eastAsia="方正小标宋简体" w:cs="方正小标宋简体"/>
          <w:b w:val="0"/>
          <w:bCs w:val="0"/>
          <w:color w:val="000000" w:themeColor="text1"/>
          <w:kern w:val="2"/>
          <w:sz w:val="36"/>
          <w:szCs w:val="36"/>
          <w:lang w:val="en-US" w:eastAsia="zh-CN" w:bidi="ar-SA"/>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2"/>
          <w:sz w:val="36"/>
          <w:szCs w:val="36"/>
          <w:lang w:val="en-US" w:eastAsia="zh-CN" w:bidi="ar-SA"/>
          <w14:textFill>
            <w14:solidFill>
              <w14:schemeClr w14:val="tx1"/>
            </w14:solidFill>
          </w14:textFill>
        </w:rPr>
        <w:t>2026年融水苗族自治县校园中华经典诵读比赛报名信息汇总表</w:t>
      </w:r>
    </w:p>
    <w:p w14:paraId="7EACFABB">
      <w:pPr>
        <w:pStyle w:val="2"/>
        <w:rPr>
          <w:rFonts w:hint="eastAsia"/>
          <w:lang w:val="en-US" w:eastAsia="zh-CN"/>
        </w:rPr>
      </w:pPr>
    </w:p>
    <w:p w14:paraId="002612F6">
      <w:pPr>
        <w:pageBreakBefore w:val="0"/>
        <w:widowControl w:val="0"/>
        <w:kinsoku/>
        <w:wordWrap/>
        <w:overflowPunct/>
        <w:topLinePunct w:val="0"/>
        <w:autoSpaceDE/>
        <w:autoSpaceDN/>
        <w:bidi w:val="0"/>
        <w:adjustRightInd/>
        <w:snapToGrid/>
        <w:jc w:val="both"/>
        <w:textAlignment w:val="auto"/>
        <w:rPr>
          <w:rFonts w:hint="eastAsia"/>
          <w:color w:val="000000" w:themeColor="text1"/>
          <w:sz w:val="24"/>
          <w:szCs w:val="28"/>
          <w:lang w:val="en-US" w:eastAsia="zh-CN"/>
          <w14:textFill>
            <w14:solidFill>
              <w14:schemeClr w14:val="tx1"/>
            </w14:solidFill>
          </w14:textFill>
        </w:rPr>
      </w:pPr>
      <w:r>
        <w:rPr>
          <w:rFonts w:hint="eastAsia" w:ascii="Calibri" w:hAnsi="Calibri" w:eastAsia="宋体" w:cs="Times New Roman"/>
          <w:color w:val="000000" w:themeColor="text1"/>
          <w:sz w:val="24"/>
          <w:szCs w:val="28"/>
          <w:lang w:val="en-US" w:eastAsia="zh-CN"/>
          <w14:textFill>
            <w14:solidFill>
              <w14:schemeClr w14:val="tx1"/>
            </w14:solidFill>
          </w14:textFill>
        </w:rPr>
        <w:t xml:space="preserve"> 填报单位：            </w:t>
      </w:r>
      <w:r>
        <w:rPr>
          <w:rFonts w:hint="eastAsia" w:ascii="Calibri" w:hAnsi="Calibri" w:cs="Times New Roman"/>
          <w:color w:val="000000" w:themeColor="text1"/>
          <w:sz w:val="24"/>
          <w:szCs w:val="28"/>
          <w:lang w:val="en-US" w:eastAsia="zh-CN"/>
          <w14:textFill>
            <w14:solidFill>
              <w14:schemeClr w14:val="tx1"/>
            </w14:solidFill>
          </w14:textFill>
        </w:rPr>
        <w:t xml:space="preserve">   </w:t>
      </w:r>
      <w:r>
        <w:rPr>
          <w:rFonts w:hint="eastAsia" w:ascii="Calibri" w:hAnsi="Calibri" w:eastAsia="宋体" w:cs="Times New Roman"/>
          <w:color w:val="000000" w:themeColor="text1"/>
          <w:sz w:val="24"/>
          <w:szCs w:val="28"/>
          <w:lang w:val="en-US" w:eastAsia="zh-CN"/>
          <w14:textFill>
            <w14:solidFill>
              <w14:schemeClr w14:val="tx1"/>
            </w14:solidFill>
          </w14:textFill>
        </w:rPr>
        <w:t xml:space="preserve">           填报人：    </w:t>
      </w:r>
      <w:r>
        <w:rPr>
          <w:rFonts w:hint="eastAsia" w:ascii="Calibri" w:hAnsi="Calibri" w:cs="Times New Roman"/>
          <w:color w:val="000000" w:themeColor="text1"/>
          <w:sz w:val="24"/>
          <w:szCs w:val="28"/>
          <w:lang w:val="en-US" w:eastAsia="zh-CN"/>
          <w14:textFill>
            <w14:solidFill>
              <w14:schemeClr w14:val="tx1"/>
            </w14:solidFill>
          </w14:textFill>
        </w:rPr>
        <w:t xml:space="preserve">       </w:t>
      </w:r>
      <w:r>
        <w:rPr>
          <w:rFonts w:hint="eastAsia" w:ascii="Calibri" w:hAnsi="Calibri" w:eastAsia="宋体" w:cs="Times New Roman"/>
          <w:color w:val="000000" w:themeColor="text1"/>
          <w:sz w:val="24"/>
          <w:szCs w:val="28"/>
          <w:lang w:val="en-US" w:eastAsia="zh-CN"/>
          <w14:textFill>
            <w14:solidFill>
              <w14:schemeClr w14:val="tx1"/>
            </w14:solidFill>
          </w14:textFill>
        </w:rPr>
        <w:t xml:space="preserve">    手机号：        </w:t>
      </w:r>
      <w:r>
        <w:rPr>
          <w:rFonts w:hint="eastAsia" w:ascii="Calibri" w:hAnsi="Calibri" w:cs="Times New Roman"/>
          <w:color w:val="000000" w:themeColor="text1"/>
          <w:sz w:val="24"/>
          <w:szCs w:val="28"/>
          <w:lang w:val="en-US" w:eastAsia="zh-CN"/>
          <w14:textFill>
            <w14:solidFill>
              <w14:schemeClr w14:val="tx1"/>
            </w14:solidFill>
          </w14:textFill>
        </w:rPr>
        <w:t xml:space="preserve">      </w:t>
      </w:r>
      <w:r>
        <w:rPr>
          <w:rFonts w:hint="eastAsia" w:ascii="Calibri" w:hAnsi="Calibri" w:eastAsia="宋体" w:cs="Times New Roman"/>
          <w:color w:val="000000" w:themeColor="text1"/>
          <w:sz w:val="24"/>
          <w:szCs w:val="28"/>
          <w:lang w:val="en-US" w:eastAsia="zh-CN"/>
          <w14:textFill>
            <w14:solidFill>
              <w14:schemeClr w14:val="tx1"/>
            </w14:solidFill>
          </w14:textFill>
        </w:rPr>
        <w:t xml:space="preserve">  </w:t>
      </w:r>
      <w:r>
        <w:rPr>
          <w:rFonts w:hint="eastAsia"/>
          <w:color w:val="000000" w:themeColor="text1"/>
          <w:sz w:val="24"/>
          <w:szCs w:val="28"/>
          <w:lang w:val="en-US" w:eastAsia="zh-CN"/>
          <w14:textFill>
            <w14:solidFill>
              <w14:schemeClr w14:val="tx1"/>
            </w14:solidFill>
          </w14:textFill>
        </w:rPr>
        <w:t xml:space="preserve">填表日期：  </w:t>
      </w:r>
    </w:p>
    <w:tbl>
      <w:tblPr>
        <w:tblStyle w:val="11"/>
        <w:tblW w:w="14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084"/>
        <w:gridCol w:w="809"/>
        <w:gridCol w:w="639"/>
        <w:gridCol w:w="552"/>
        <w:gridCol w:w="617"/>
        <w:gridCol w:w="1876"/>
        <w:gridCol w:w="1320"/>
        <w:gridCol w:w="1230"/>
        <w:gridCol w:w="1500"/>
        <w:gridCol w:w="984"/>
        <w:gridCol w:w="1101"/>
        <w:gridCol w:w="1650"/>
        <w:gridCol w:w="1067"/>
      </w:tblGrid>
      <w:tr w14:paraId="4962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42" w:type="dxa"/>
            <w:noWrap w:val="0"/>
            <w:vAlign w:val="center"/>
          </w:tcPr>
          <w:p w14:paraId="6E690436">
            <w:pPr>
              <w:widowControl/>
              <w:adjustRightInd w:val="0"/>
              <w:snapToGrid w:val="0"/>
              <w:spacing w:line="240" w:lineRule="auto"/>
              <w:jc w:val="center"/>
              <w:rPr>
                <w:rFonts w:hint="eastAsia" w:ascii="宋体" w:hAnsi="宋体" w:eastAsia="宋体" w:cs="宋体"/>
                <w:b/>
                <w:bCs w:val="0"/>
                <w:color w:val="000000" w:themeColor="text1"/>
                <w:kern w:val="0"/>
                <w:sz w:val="18"/>
                <w:szCs w:val="18"/>
                <w:lang w:val="en-US" w:eastAsia="zh-CN"/>
                <w14:textFill>
                  <w14:solidFill>
                    <w14:schemeClr w14:val="tx1"/>
                  </w14:solidFill>
                </w14:textFill>
              </w:rPr>
            </w:pPr>
            <w:r>
              <w:rPr>
                <w:rFonts w:hint="eastAsia" w:ascii="宋体" w:hAnsi="宋体" w:eastAsia="宋体" w:cs="宋体"/>
                <w:b/>
                <w:bCs w:val="0"/>
                <w:color w:val="000000" w:themeColor="text1"/>
                <w:kern w:val="0"/>
                <w:sz w:val="18"/>
                <w:szCs w:val="18"/>
                <w:lang w:val="en-US" w:eastAsia="zh-CN"/>
                <w14:textFill>
                  <w14:solidFill>
                    <w14:schemeClr w14:val="tx1"/>
                  </w14:solidFill>
                </w14:textFill>
              </w:rPr>
              <w:t>序号</w:t>
            </w:r>
          </w:p>
        </w:tc>
        <w:tc>
          <w:tcPr>
            <w:tcW w:w="1084" w:type="dxa"/>
            <w:noWrap w:val="0"/>
            <w:vAlign w:val="center"/>
          </w:tcPr>
          <w:p w14:paraId="596105EA">
            <w:pPr>
              <w:widowControl/>
              <w:adjustRightInd w:val="0"/>
              <w:snapToGrid w:val="0"/>
              <w:spacing w:line="240" w:lineRule="auto"/>
              <w:jc w:val="center"/>
              <w:rPr>
                <w:rFonts w:hint="eastAsia" w:ascii="宋体" w:hAnsi="宋体" w:eastAsia="宋体" w:cs="宋体"/>
                <w:b/>
                <w:bCs w:val="0"/>
                <w:color w:val="000000" w:themeColor="text1"/>
                <w:kern w:val="0"/>
                <w:sz w:val="18"/>
                <w:szCs w:val="18"/>
                <w:lang w:val="en-US" w:eastAsia="zh-CN"/>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参赛组别</w:t>
            </w:r>
          </w:p>
        </w:tc>
        <w:tc>
          <w:tcPr>
            <w:tcW w:w="809" w:type="dxa"/>
            <w:noWrap w:val="0"/>
            <w:vAlign w:val="center"/>
          </w:tcPr>
          <w:p w14:paraId="366FA436">
            <w:pPr>
              <w:widowControl/>
              <w:adjustRightInd w:val="0"/>
              <w:snapToGrid w:val="0"/>
              <w:spacing w:line="240" w:lineRule="auto"/>
              <w:jc w:val="center"/>
              <w:rPr>
                <w:rFonts w:hint="eastAsia" w:ascii="宋体" w:hAnsi="宋体" w:eastAsia="宋体" w:cs="宋体"/>
                <w:b/>
                <w:bCs w:val="0"/>
                <w:color w:val="000000" w:themeColor="text1"/>
                <w:kern w:val="0"/>
                <w:sz w:val="18"/>
                <w:szCs w:val="18"/>
                <w:lang w:val="en-US" w:eastAsia="zh-CN"/>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姓名</w:t>
            </w:r>
          </w:p>
        </w:tc>
        <w:tc>
          <w:tcPr>
            <w:tcW w:w="639" w:type="dxa"/>
            <w:noWrap/>
            <w:vAlign w:val="center"/>
          </w:tcPr>
          <w:p w14:paraId="60686A5A">
            <w:pPr>
              <w:widowControl/>
              <w:adjustRightInd w:val="0"/>
              <w:snapToGrid w:val="0"/>
              <w:spacing w:line="240" w:lineRule="auto"/>
              <w:jc w:val="center"/>
              <w:rPr>
                <w:rFonts w:hint="default" w:ascii="宋体" w:hAnsi="宋体" w:cs="宋体"/>
                <w:b/>
                <w:bCs w:val="0"/>
                <w:color w:val="000000" w:themeColor="text1"/>
                <w:kern w:val="0"/>
                <w:sz w:val="18"/>
                <w:szCs w:val="18"/>
                <w:lang w:val="en-US" w:eastAsia="zh-CN"/>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性别</w:t>
            </w:r>
          </w:p>
        </w:tc>
        <w:tc>
          <w:tcPr>
            <w:tcW w:w="552" w:type="dxa"/>
            <w:noWrap/>
            <w:vAlign w:val="center"/>
          </w:tcPr>
          <w:p w14:paraId="535AB08D">
            <w:pPr>
              <w:widowControl/>
              <w:adjustRightInd w:val="0"/>
              <w:snapToGrid w:val="0"/>
              <w:spacing w:line="240" w:lineRule="auto"/>
              <w:jc w:val="center"/>
              <w:rPr>
                <w:rFonts w:hint="default" w:ascii="宋体" w:hAnsi="宋体" w:cs="宋体"/>
                <w:b/>
                <w:bCs w:val="0"/>
                <w:color w:val="000000" w:themeColor="text1"/>
                <w:kern w:val="0"/>
                <w:sz w:val="18"/>
                <w:szCs w:val="18"/>
                <w:lang w:val="en-US" w:eastAsia="zh-CN"/>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年龄</w:t>
            </w:r>
          </w:p>
        </w:tc>
        <w:tc>
          <w:tcPr>
            <w:tcW w:w="617" w:type="dxa"/>
            <w:noWrap/>
            <w:vAlign w:val="center"/>
          </w:tcPr>
          <w:p w14:paraId="68F5CDFE">
            <w:pPr>
              <w:widowControl/>
              <w:adjustRightInd w:val="0"/>
              <w:snapToGrid w:val="0"/>
              <w:spacing w:line="240" w:lineRule="auto"/>
              <w:jc w:val="center"/>
              <w:rPr>
                <w:rFonts w:hint="default" w:ascii="宋体" w:hAnsi="宋体" w:cs="宋体"/>
                <w:b/>
                <w:bCs w:val="0"/>
                <w:color w:val="000000" w:themeColor="text1"/>
                <w:kern w:val="0"/>
                <w:sz w:val="18"/>
                <w:szCs w:val="18"/>
                <w:lang w:val="en-US" w:eastAsia="zh-CN"/>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民族</w:t>
            </w:r>
          </w:p>
        </w:tc>
        <w:tc>
          <w:tcPr>
            <w:tcW w:w="1876" w:type="dxa"/>
            <w:shd w:val="clear" w:color="auto" w:fill="auto"/>
            <w:noWrap/>
            <w:vAlign w:val="center"/>
          </w:tcPr>
          <w:p w14:paraId="39429C31">
            <w:pPr>
              <w:widowControl/>
              <w:adjustRightInd w:val="0"/>
              <w:snapToGrid w:val="0"/>
              <w:spacing w:line="240" w:lineRule="auto"/>
              <w:jc w:val="both"/>
              <w:rPr>
                <w:rFonts w:hint="default" w:ascii="宋体" w:hAnsi="宋体" w:eastAsia="宋体" w:cs="宋体"/>
                <w:b/>
                <w:bCs w:val="0"/>
                <w:color w:val="000000" w:themeColor="text1"/>
                <w:kern w:val="0"/>
                <w:sz w:val="18"/>
                <w:szCs w:val="18"/>
                <w:lang w:val="en-US" w:eastAsia="zh-CN" w:bidi="ar-SA"/>
                <w14:textFill>
                  <w14:solidFill>
                    <w14:schemeClr w14:val="tx1"/>
                  </w14:solidFill>
                </w14:textFill>
              </w:rPr>
            </w:pPr>
            <w:r>
              <w:rPr>
                <w:rFonts w:hint="eastAsia" w:ascii="宋体" w:hAnsi="宋体" w:cs="宋体"/>
                <w:b/>
                <w:bCs w:val="0"/>
                <w:color w:val="000000" w:themeColor="text1"/>
                <w:kern w:val="0"/>
                <w:sz w:val="18"/>
                <w:szCs w:val="18"/>
                <w:lang w:val="en-US" w:eastAsia="zh-CN"/>
                <w14:textFill>
                  <w14:solidFill>
                    <w14:schemeClr w14:val="tx1"/>
                  </w14:solidFill>
                </w14:textFill>
              </w:rPr>
              <w:t>单位/学校（写全称）</w:t>
            </w:r>
          </w:p>
        </w:tc>
        <w:tc>
          <w:tcPr>
            <w:tcW w:w="1320" w:type="dxa"/>
            <w:noWrap/>
            <w:vAlign w:val="center"/>
          </w:tcPr>
          <w:p w14:paraId="42EC2576">
            <w:pPr>
              <w:widowControl/>
              <w:adjustRightInd w:val="0"/>
              <w:snapToGrid w:val="0"/>
              <w:spacing w:line="240" w:lineRule="auto"/>
              <w:jc w:val="center"/>
              <w:rPr>
                <w:rFonts w:hint="eastAsia" w:ascii="宋体" w:hAnsi="宋体" w:eastAsia="宋体" w:cs="宋体"/>
                <w:b/>
                <w:bCs w:val="0"/>
                <w:color w:val="000000" w:themeColor="text1"/>
                <w:kern w:val="0"/>
                <w:sz w:val="18"/>
                <w:szCs w:val="18"/>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指定篇目</w:t>
            </w:r>
          </w:p>
        </w:tc>
        <w:tc>
          <w:tcPr>
            <w:tcW w:w="1230" w:type="dxa"/>
            <w:noWrap w:val="0"/>
            <w:vAlign w:val="center"/>
          </w:tcPr>
          <w:p w14:paraId="354CDD52">
            <w:pPr>
              <w:snapToGrid w:val="0"/>
              <w:spacing w:line="320" w:lineRule="exact"/>
              <w:ind w:right="-69" w:rightChars="-33"/>
              <w:jc w:val="center"/>
              <w:rPr>
                <w:rFonts w:hint="eastAsia" w:ascii="宋体" w:hAnsi="宋体" w:eastAsia="宋体" w:cs="宋体"/>
                <w:b/>
                <w:bCs/>
                <w:color w:val="000000" w:themeColor="text1"/>
                <w:kern w:val="2"/>
                <w:sz w:val="24"/>
                <w:szCs w:val="22"/>
                <w:lang w:val="en-US" w:eastAsia="zh-CN" w:bidi="ar-SA"/>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自选篇目</w:t>
            </w:r>
          </w:p>
        </w:tc>
        <w:tc>
          <w:tcPr>
            <w:tcW w:w="1500" w:type="dxa"/>
            <w:noWrap/>
            <w:vAlign w:val="center"/>
          </w:tcPr>
          <w:p w14:paraId="068C530C">
            <w:pPr>
              <w:widowControl/>
              <w:adjustRightInd w:val="0"/>
              <w:snapToGrid w:val="0"/>
              <w:spacing w:line="240" w:lineRule="auto"/>
              <w:jc w:val="center"/>
              <w:rPr>
                <w:rFonts w:hint="default"/>
                <w:lang w:val="en-US" w:eastAsia="zh-CN"/>
              </w:rPr>
            </w:pPr>
            <w:r>
              <w:rPr>
                <w:rFonts w:hint="eastAsia"/>
                <w:b/>
                <w:bCs/>
                <w:sz w:val="21"/>
                <w:szCs w:val="24"/>
                <w:lang w:val="en-US" w:eastAsia="zh-CN"/>
              </w:rPr>
              <w:t>是否有背景音乐 /</w:t>
            </w:r>
            <w:r>
              <w:rPr>
                <w:rFonts w:hint="eastAsia" w:ascii="宋体" w:hAnsi="宋体" w:cs="宋体"/>
                <w:b/>
                <w:bCs/>
                <w:color w:val="000000" w:themeColor="text1"/>
                <w:kern w:val="0"/>
                <w:sz w:val="18"/>
                <w:szCs w:val="18"/>
                <w:lang w:val="en-US" w:eastAsia="zh-CN"/>
                <w14:textFill>
                  <w14:solidFill>
                    <w14:schemeClr w14:val="tx1"/>
                  </w14:solidFill>
                </w14:textFill>
              </w:rPr>
              <w:t>视频（合成一个文件）</w:t>
            </w:r>
          </w:p>
        </w:tc>
        <w:tc>
          <w:tcPr>
            <w:tcW w:w="984" w:type="dxa"/>
            <w:noWrap/>
            <w:vAlign w:val="center"/>
          </w:tcPr>
          <w:p w14:paraId="7D2988B7">
            <w:pPr>
              <w:snapToGrid w:val="0"/>
              <w:spacing w:line="320" w:lineRule="exact"/>
              <w:ind w:left="-105" w:leftChars="-50" w:right="-69" w:rightChars="-33"/>
              <w:jc w:val="center"/>
              <w:rPr>
                <w:rFonts w:hint="eastAsia" w:ascii="宋体" w:hAnsi="宋体" w:eastAsia="宋体" w:cs="宋体"/>
                <w:b/>
                <w:bCs/>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指导教师</w:t>
            </w:r>
          </w:p>
        </w:tc>
        <w:tc>
          <w:tcPr>
            <w:tcW w:w="1101" w:type="dxa"/>
            <w:noWrap/>
            <w:vAlign w:val="center"/>
          </w:tcPr>
          <w:p w14:paraId="4DB95D3E">
            <w:pPr>
              <w:widowControl/>
              <w:tabs>
                <w:tab w:val="left" w:pos="446"/>
              </w:tabs>
              <w:adjustRightInd w:val="0"/>
              <w:snapToGrid w:val="0"/>
              <w:spacing w:line="240" w:lineRule="auto"/>
              <w:jc w:val="center"/>
              <w:rPr>
                <w:rFonts w:hint="eastAsia" w:ascii="宋体" w:hAnsi="宋体" w:eastAsia="宋体" w:cs="宋体"/>
                <w:b/>
                <w:bCs/>
                <w:color w:val="000000" w:themeColor="text1"/>
                <w:sz w:val="18"/>
                <w:szCs w:val="18"/>
                <w:lang w:eastAsia="zh-CN"/>
                <w14:textFill>
                  <w14:solidFill>
                    <w14:schemeClr w14:val="tx1"/>
                  </w14:solidFill>
                </w14:textFill>
              </w:rPr>
            </w:pPr>
            <w:r>
              <w:rPr>
                <w:rFonts w:hint="eastAsia" w:ascii="宋体" w:hAnsi="宋体" w:eastAsia="宋体" w:cs="宋体"/>
                <w:b/>
                <w:bCs/>
                <w:color w:val="000000" w:themeColor="text1"/>
                <w:sz w:val="18"/>
                <w:szCs w:val="18"/>
                <w:lang w:eastAsia="zh-CN"/>
                <w14:textFill>
                  <w14:solidFill>
                    <w14:schemeClr w14:val="tx1"/>
                  </w14:solidFill>
                </w14:textFill>
              </w:rPr>
              <w:t>指导教师手机号</w:t>
            </w:r>
          </w:p>
        </w:tc>
        <w:tc>
          <w:tcPr>
            <w:tcW w:w="1650" w:type="dxa"/>
            <w:noWrap/>
            <w:vAlign w:val="center"/>
          </w:tcPr>
          <w:p w14:paraId="63C55AC7">
            <w:pPr>
              <w:widowControl/>
              <w:tabs>
                <w:tab w:val="left" w:pos="446"/>
              </w:tabs>
              <w:adjustRightInd w:val="0"/>
              <w:snapToGrid w:val="0"/>
              <w:spacing w:line="240" w:lineRule="auto"/>
              <w:jc w:val="center"/>
              <w:rPr>
                <w:rFonts w:hint="default"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eastAsia="zh-CN"/>
                <w14:textFill>
                  <w14:solidFill>
                    <w14:schemeClr w14:val="tx1"/>
                  </w14:solidFill>
                </w14:textFill>
              </w:rPr>
              <w:t>指导教师</w:t>
            </w:r>
            <w:r>
              <w:rPr>
                <w:rFonts w:hint="eastAsia" w:ascii="宋体" w:hAnsi="宋体" w:cs="宋体"/>
                <w:b/>
                <w:bCs/>
                <w:color w:val="000000" w:themeColor="text1"/>
                <w:sz w:val="18"/>
                <w:szCs w:val="18"/>
                <w:lang w:val="en-US" w:eastAsia="zh-CN"/>
                <w14:textFill>
                  <w14:solidFill>
                    <w14:schemeClr w14:val="tx1"/>
                  </w14:solidFill>
                </w14:textFill>
              </w:rPr>
              <w:t>所在单位</w:t>
            </w:r>
          </w:p>
          <w:p w14:paraId="5B252ACF">
            <w:pPr>
              <w:widowControl/>
              <w:adjustRightInd w:val="0"/>
              <w:snapToGrid w:val="0"/>
              <w:spacing w:line="240" w:lineRule="auto"/>
              <w:jc w:val="center"/>
              <w:rPr>
                <w:rFonts w:hint="eastAsia" w:ascii="宋体" w:hAnsi="宋体" w:eastAsia="宋体" w:cs="宋体"/>
                <w:b/>
                <w:bCs/>
                <w:color w:val="000000" w:themeColor="text1"/>
                <w:kern w:val="0"/>
                <w:sz w:val="18"/>
                <w:szCs w:val="18"/>
                <w:lang w:val="en-US" w:eastAsia="zh-CN"/>
                <w14:textFill>
                  <w14:solidFill>
                    <w14:schemeClr w14:val="tx1"/>
                  </w14:solidFill>
                </w14:textFill>
              </w:rPr>
            </w:pPr>
          </w:p>
        </w:tc>
        <w:tc>
          <w:tcPr>
            <w:tcW w:w="1067" w:type="dxa"/>
            <w:noWrap/>
            <w:vAlign w:val="center"/>
          </w:tcPr>
          <w:p w14:paraId="5BE1DE2C">
            <w:pPr>
              <w:widowControl/>
              <w:adjustRightInd w:val="0"/>
              <w:snapToGrid w:val="0"/>
              <w:spacing w:line="240" w:lineRule="auto"/>
              <w:jc w:val="center"/>
              <w:rPr>
                <w:rFonts w:hint="eastAsia" w:ascii="宋体" w:hAnsi="宋体" w:eastAsia="宋体" w:cs="宋体"/>
                <w:b/>
                <w:bCs/>
                <w:color w:val="000000" w:themeColor="text1"/>
                <w:kern w:val="0"/>
                <w:sz w:val="18"/>
                <w:szCs w:val="18"/>
                <w:lang w:val="en-US" w:eastAsia="zh-CN"/>
                <w14:textFill>
                  <w14:solidFill>
                    <w14:schemeClr w14:val="tx1"/>
                  </w14:solidFill>
                </w14:textFill>
              </w:rPr>
            </w:pPr>
            <w:r>
              <w:rPr>
                <w:rFonts w:hint="eastAsia" w:ascii="宋体" w:hAnsi="宋体" w:eastAsia="宋体" w:cs="宋体"/>
                <w:b/>
                <w:bCs/>
                <w:color w:val="000000" w:themeColor="text1"/>
                <w:kern w:val="0"/>
                <w:sz w:val="18"/>
                <w:szCs w:val="18"/>
                <w:lang w:val="en-US" w:eastAsia="zh-CN"/>
                <w14:textFill>
                  <w14:solidFill>
                    <w14:schemeClr w14:val="tx1"/>
                  </w14:solidFill>
                </w14:textFill>
              </w:rPr>
              <w:t>备注</w:t>
            </w:r>
          </w:p>
        </w:tc>
      </w:tr>
      <w:tr w14:paraId="1326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42" w:type="dxa"/>
            <w:noWrap w:val="0"/>
            <w:vAlign w:val="center"/>
          </w:tcPr>
          <w:p w14:paraId="37DC1AE5">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084" w:type="dxa"/>
            <w:noWrap w:val="0"/>
            <w:vAlign w:val="center"/>
          </w:tcPr>
          <w:p w14:paraId="1AEB2B7A">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809" w:type="dxa"/>
            <w:noWrap w:val="0"/>
            <w:vAlign w:val="center"/>
          </w:tcPr>
          <w:p w14:paraId="12B86913">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39" w:type="dxa"/>
            <w:noWrap/>
            <w:vAlign w:val="center"/>
          </w:tcPr>
          <w:p w14:paraId="5B902310">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552" w:type="dxa"/>
            <w:noWrap/>
            <w:vAlign w:val="center"/>
          </w:tcPr>
          <w:p w14:paraId="1EFF89C1">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17" w:type="dxa"/>
            <w:noWrap/>
            <w:vAlign w:val="center"/>
          </w:tcPr>
          <w:p w14:paraId="59FCBE42">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876" w:type="dxa"/>
            <w:shd w:val="clear" w:color="auto" w:fill="auto"/>
            <w:noWrap/>
            <w:vAlign w:val="center"/>
          </w:tcPr>
          <w:p w14:paraId="0F5C727A">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bidi="ar-SA"/>
                <w14:textFill>
                  <w14:solidFill>
                    <w14:schemeClr w14:val="tx1"/>
                  </w14:solidFill>
                </w14:textFill>
              </w:rPr>
            </w:pPr>
          </w:p>
        </w:tc>
        <w:tc>
          <w:tcPr>
            <w:tcW w:w="1320" w:type="dxa"/>
            <w:noWrap/>
            <w:vAlign w:val="center"/>
          </w:tcPr>
          <w:p w14:paraId="541F8D24">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230" w:type="dxa"/>
            <w:noWrap w:val="0"/>
            <w:vAlign w:val="center"/>
          </w:tcPr>
          <w:p w14:paraId="68E5B563">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500" w:type="dxa"/>
            <w:noWrap/>
            <w:vAlign w:val="center"/>
          </w:tcPr>
          <w:p w14:paraId="421CE101">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984" w:type="dxa"/>
            <w:noWrap/>
            <w:vAlign w:val="center"/>
          </w:tcPr>
          <w:p w14:paraId="4F421D88">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101" w:type="dxa"/>
            <w:noWrap/>
            <w:vAlign w:val="center"/>
          </w:tcPr>
          <w:p w14:paraId="6CC66EF3">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650" w:type="dxa"/>
            <w:noWrap/>
            <w:vAlign w:val="center"/>
          </w:tcPr>
          <w:p w14:paraId="53958782">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c>
          <w:tcPr>
            <w:tcW w:w="1067" w:type="dxa"/>
            <w:noWrap/>
            <w:vAlign w:val="center"/>
          </w:tcPr>
          <w:p w14:paraId="260E1FF8">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r>
      <w:tr w14:paraId="4294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42" w:type="dxa"/>
            <w:noWrap w:val="0"/>
            <w:vAlign w:val="center"/>
          </w:tcPr>
          <w:p w14:paraId="283FAAEA">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084" w:type="dxa"/>
            <w:noWrap w:val="0"/>
            <w:vAlign w:val="center"/>
          </w:tcPr>
          <w:p w14:paraId="5F60C38F">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809" w:type="dxa"/>
            <w:noWrap w:val="0"/>
            <w:vAlign w:val="center"/>
          </w:tcPr>
          <w:p w14:paraId="0DEF04BE">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39" w:type="dxa"/>
            <w:noWrap/>
            <w:vAlign w:val="center"/>
          </w:tcPr>
          <w:p w14:paraId="2DCE554E">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552" w:type="dxa"/>
            <w:noWrap/>
            <w:vAlign w:val="center"/>
          </w:tcPr>
          <w:p w14:paraId="2A1B021F">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17" w:type="dxa"/>
            <w:noWrap/>
            <w:vAlign w:val="center"/>
          </w:tcPr>
          <w:p w14:paraId="7266B1FB">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876" w:type="dxa"/>
            <w:shd w:val="clear" w:color="auto" w:fill="auto"/>
            <w:noWrap/>
            <w:vAlign w:val="center"/>
          </w:tcPr>
          <w:p w14:paraId="0288D9A3">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bidi="ar-SA"/>
                <w14:textFill>
                  <w14:solidFill>
                    <w14:schemeClr w14:val="tx1"/>
                  </w14:solidFill>
                </w14:textFill>
              </w:rPr>
            </w:pPr>
          </w:p>
        </w:tc>
        <w:tc>
          <w:tcPr>
            <w:tcW w:w="1320" w:type="dxa"/>
            <w:noWrap/>
            <w:vAlign w:val="center"/>
          </w:tcPr>
          <w:p w14:paraId="0D817CFB">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230" w:type="dxa"/>
            <w:noWrap w:val="0"/>
            <w:vAlign w:val="center"/>
          </w:tcPr>
          <w:p w14:paraId="4C4B2750">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500" w:type="dxa"/>
            <w:noWrap/>
            <w:vAlign w:val="center"/>
          </w:tcPr>
          <w:p w14:paraId="4B239358">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984" w:type="dxa"/>
            <w:noWrap/>
            <w:vAlign w:val="center"/>
          </w:tcPr>
          <w:p w14:paraId="067530BC">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101" w:type="dxa"/>
            <w:noWrap/>
            <w:vAlign w:val="center"/>
          </w:tcPr>
          <w:p w14:paraId="4DF5380A">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650" w:type="dxa"/>
            <w:noWrap/>
            <w:vAlign w:val="center"/>
          </w:tcPr>
          <w:p w14:paraId="1DB763E9">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c>
          <w:tcPr>
            <w:tcW w:w="1067" w:type="dxa"/>
            <w:noWrap/>
            <w:vAlign w:val="center"/>
          </w:tcPr>
          <w:p w14:paraId="1DF14454">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r>
      <w:tr w14:paraId="3D24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42" w:type="dxa"/>
            <w:noWrap w:val="0"/>
            <w:vAlign w:val="center"/>
          </w:tcPr>
          <w:p w14:paraId="30D4209D">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084" w:type="dxa"/>
            <w:noWrap w:val="0"/>
            <w:vAlign w:val="center"/>
          </w:tcPr>
          <w:p w14:paraId="45B8AD09">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809" w:type="dxa"/>
            <w:noWrap w:val="0"/>
            <w:vAlign w:val="center"/>
          </w:tcPr>
          <w:p w14:paraId="0E645B77">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39" w:type="dxa"/>
            <w:noWrap/>
            <w:vAlign w:val="center"/>
          </w:tcPr>
          <w:p w14:paraId="2A71AE88">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552" w:type="dxa"/>
            <w:noWrap/>
            <w:vAlign w:val="center"/>
          </w:tcPr>
          <w:p w14:paraId="0DCA370F">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17" w:type="dxa"/>
            <w:noWrap/>
            <w:vAlign w:val="center"/>
          </w:tcPr>
          <w:p w14:paraId="64E05427">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876" w:type="dxa"/>
            <w:shd w:val="clear" w:color="auto" w:fill="auto"/>
            <w:noWrap/>
            <w:vAlign w:val="center"/>
          </w:tcPr>
          <w:p w14:paraId="741FC8C2">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bidi="ar-SA"/>
                <w14:textFill>
                  <w14:solidFill>
                    <w14:schemeClr w14:val="tx1"/>
                  </w14:solidFill>
                </w14:textFill>
              </w:rPr>
            </w:pPr>
          </w:p>
        </w:tc>
        <w:tc>
          <w:tcPr>
            <w:tcW w:w="1320" w:type="dxa"/>
            <w:noWrap/>
            <w:vAlign w:val="center"/>
          </w:tcPr>
          <w:p w14:paraId="5285A240">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230" w:type="dxa"/>
            <w:noWrap w:val="0"/>
            <w:vAlign w:val="center"/>
          </w:tcPr>
          <w:p w14:paraId="7B112C87">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500" w:type="dxa"/>
            <w:noWrap/>
            <w:vAlign w:val="center"/>
          </w:tcPr>
          <w:p w14:paraId="2D575A8A">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984" w:type="dxa"/>
            <w:noWrap/>
            <w:vAlign w:val="center"/>
          </w:tcPr>
          <w:p w14:paraId="5D57C36F">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101" w:type="dxa"/>
            <w:noWrap/>
            <w:vAlign w:val="center"/>
          </w:tcPr>
          <w:p w14:paraId="2555365E">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650" w:type="dxa"/>
            <w:noWrap/>
            <w:vAlign w:val="center"/>
          </w:tcPr>
          <w:p w14:paraId="7CACC0BE">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c>
          <w:tcPr>
            <w:tcW w:w="1067" w:type="dxa"/>
            <w:noWrap/>
            <w:vAlign w:val="center"/>
          </w:tcPr>
          <w:p w14:paraId="107F0FC3">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r>
      <w:tr w14:paraId="1463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42" w:type="dxa"/>
            <w:noWrap w:val="0"/>
            <w:vAlign w:val="center"/>
          </w:tcPr>
          <w:p w14:paraId="196C2C33">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084" w:type="dxa"/>
            <w:noWrap w:val="0"/>
            <w:vAlign w:val="center"/>
          </w:tcPr>
          <w:p w14:paraId="40DA466C">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809" w:type="dxa"/>
            <w:noWrap w:val="0"/>
            <w:vAlign w:val="center"/>
          </w:tcPr>
          <w:p w14:paraId="1EF8DA20">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39" w:type="dxa"/>
            <w:noWrap/>
            <w:vAlign w:val="center"/>
          </w:tcPr>
          <w:p w14:paraId="511FDEDA">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552" w:type="dxa"/>
            <w:noWrap/>
            <w:vAlign w:val="center"/>
          </w:tcPr>
          <w:p w14:paraId="27874259">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17" w:type="dxa"/>
            <w:noWrap/>
            <w:vAlign w:val="center"/>
          </w:tcPr>
          <w:p w14:paraId="17A4E30C">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876" w:type="dxa"/>
            <w:shd w:val="clear" w:color="auto" w:fill="auto"/>
            <w:noWrap/>
            <w:vAlign w:val="center"/>
          </w:tcPr>
          <w:p w14:paraId="2FB1AB3C">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bidi="ar-SA"/>
                <w14:textFill>
                  <w14:solidFill>
                    <w14:schemeClr w14:val="tx1"/>
                  </w14:solidFill>
                </w14:textFill>
              </w:rPr>
            </w:pPr>
          </w:p>
        </w:tc>
        <w:tc>
          <w:tcPr>
            <w:tcW w:w="1320" w:type="dxa"/>
            <w:noWrap/>
            <w:vAlign w:val="center"/>
          </w:tcPr>
          <w:p w14:paraId="1A938253">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230" w:type="dxa"/>
            <w:noWrap w:val="0"/>
            <w:vAlign w:val="center"/>
          </w:tcPr>
          <w:p w14:paraId="53E2C97B">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500" w:type="dxa"/>
            <w:noWrap/>
            <w:vAlign w:val="center"/>
          </w:tcPr>
          <w:p w14:paraId="725356E9">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984" w:type="dxa"/>
            <w:noWrap/>
            <w:vAlign w:val="center"/>
          </w:tcPr>
          <w:p w14:paraId="72156151">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101" w:type="dxa"/>
            <w:noWrap/>
            <w:vAlign w:val="center"/>
          </w:tcPr>
          <w:p w14:paraId="4970A37B">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650" w:type="dxa"/>
            <w:noWrap/>
            <w:vAlign w:val="center"/>
          </w:tcPr>
          <w:p w14:paraId="64315816">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c>
          <w:tcPr>
            <w:tcW w:w="1067" w:type="dxa"/>
            <w:noWrap/>
            <w:vAlign w:val="center"/>
          </w:tcPr>
          <w:p w14:paraId="3D31F02B">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r>
      <w:tr w14:paraId="26D0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42" w:type="dxa"/>
            <w:noWrap w:val="0"/>
            <w:vAlign w:val="center"/>
          </w:tcPr>
          <w:p w14:paraId="2F3F62BD">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084" w:type="dxa"/>
            <w:noWrap w:val="0"/>
            <w:vAlign w:val="center"/>
          </w:tcPr>
          <w:p w14:paraId="7104C564">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809" w:type="dxa"/>
            <w:noWrap w:val="0"/>
            <w:vAlign w:val="center"/>
          </w:tcPr>
          <w:p w14:paraId="7F6AF38C">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39" w:type="dxa"/>
            <w:noWrap/>
            <w:vAlign w:val="center"/>
          </w:tcPr>
          <w:p w14:paraId="4819BAA8">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552" w:type="dxa"/>
            <w:noWrap/>
            <w:vAlign w:val="center"/>
          </w:tcPr>
          <w:p w14:paraId="66B1B048">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617" w:type="dxa"/>
            <w:noWrap/>
            <w:vAlign w:val="center"/>
          </w:tcPr>
          <w:p w14:paraId="69680087">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876" w:type="dxa"/>
            <w:shd w:val="clear" w:color="auto" w:fill="auto"/>
            <w:noWrap/>
            <w:vAlign w:val="center"/>
          </w:tcPr>
          <w:p w14:paraId="72FABEA6">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bidi="ar-SA"/>
                <w14:textFill>
                  <w14:solidFill>
                    <w14:schemeClr w14:val="tx1"/>
                  </w14:solidFill>
                </w14:textFill>
              </w:rPr>
            </w:pPr>
          </w:p>
        </w:tc>
        <w:tc>
          <w:tcPr>
            <w:tcW w:w="1320" w:type="dxa"/>
            <w:noWrap/>
            <w:vAlign w:val="center"/>
          </w:tcPr>
          <w:p w14:paraId="4C34A9E8">
            <w:pPr>
              <w:widowControl/>
              <w:adjustRightInd w:val="0"/>
              <w:snapToGrid w:val="0"/>
              <w:spacing w:line="240" w:lineRule="auto"/>
              <w:jc w:val="center"/>
              <w:rPr>
                <w:rFonts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230" w:type="dxa"/>
            <w:noWrap w:val="0"/>
            <w:vAlign w:val="center"/>
          </w:tcPr>
          <w:p w14:paraId="1F60B1C4">
            <w:pPr>
              <w:widowControl/>
              <w:adjustRightInd w:val="0"/>
              <w:snapToGrid w:val="0"/>
              <w:spacing w:line="240" w:lineRule="auto"/>
              <w:jc w:val="center"/>
              <w:rPr>
                <w:rFonts w:hint="eastAsia" w:ascii="仿宋_GB2312" w:hAnsi="仿宋" w:eastAsia="仿宋_GB2312" w:cs="宋体"/>
                <w:bCs/>
                <w:color w:val="000000" w:themeColor="text1"/>
                <w:kern w:val="0"/>
                <w:sz w:val="21"/>
                <w:szCs w:val="21"/>
                <w:lang w:val="en-US" w:eastAsia="zh-CN"/>
                <w14:textFill>
                  <w14:solidFill>
                    <w14:schemeClr w14:val="tx1"/>
                  </w14:solidFill>
                </w14:textFill>
              </w:rPr>
            </w:pPr>
          </w:p>
        </w:tc>
        <w:tc>
          <w:tcPr>
            <w:tcW w:w="1500" w:type="dxa"/>
            <w:noWrap/>
            <w:vAlign w:val="center"/>
          </w:tcPr>
          <w:p w14:paraId="54CF89AF">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984" w:type="dxa"/>
            <w:noWrap/>
            <w:vAlign w:val="center"/>
          </w:tcPr>
          <w:p w14:paraId="336143FC">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101" w:type="dxa"/>
            <w:noWrap/>
            <w:vAlign w:val="center"/>
          </w:tcPr>
          <w:p w14:paraId="781E60C4">
            <w:pPr>
              <w:widowControl/>
              <w:adjustRightInd w:val="0"/>
              <w:snapToGrid w:val="0"/>
              <w:spacing w:line="240" w:lineRule="auto"/>
              <w:jc w:val="center"/>
              <w:rPr>
                <w:rFonts w:hint="eastAsia" w:ascii="汉仪细圆B5" w:hAnsi="汉仪细圆B5" w:eastAsia="汉仪细圆B5" w:cs="汉仪细圆B5"/>
                <w:bCs/>
                <w:color w:val="000000" w:themeColor="text1"/>
                <w:kern w:val="0"/>
                <w:sz w:val="21"/>
                <w:szCs w:val="21"/>
                <w:lang w:val="en-US" w:eastAsia="zh-CN"/>
                <w14:textFill>
                  <w14:solidFill>
                    <w14:schemeClr w14:val="tx1"/>
                  </w14:solidFill>
                </w14:textFill>
              </w:rPr>
            </w:pPr>
          </w:p>
        </w:tc>
        <w:tc>
          <w:tcPr>
            <w:tcW w:w="1650" w:type="dxa"/>
            <w:noWrap/>
            <w:vAlign w:val="center"/>
          </w:tcPr>
          <w:p w14:paraId="3817040D">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c>
          <w:tcPr>
            <w:tcW w:w="1067" w:type="dxa"/>
            <w:noWrap/>
            <w:vAlign w:val="center"/>
          </w:tcPr>
          <w:p w14:paraId="1E2F7BDA">
            <w:pPr>
              <w:widowControl/>
              <w:adjustRightInd w:val="0"/>
              <w:snapToGrid w:val="0"/>
              <w:spacing w:line="240" w:lineRule="auto"/>
              <w:jc w:val="both"/>
              <w:rPr>
                <w:rFonts w:hint="eastAsia" w:ascii="仿宋_GB2312" w:hAnsi="仿宋_GB2312" w:eastAsia="仿宋_GB2312" w:cs="仿宋_GB2312"/>
                <w:bCs/>
                <w:color w:val="000000" w:themeColor="text1"/>
                <w:kern w:val="0"/>
                <w:sz w:val="21"/>
                <w:szCs w:val="21"/>
                <w:lang w:val="en-US" w:eastAsia="zh-CN"/>
                <w14:textFill>
                  <w14:solidFill>
                    <w14:schemeClr w14:val="tx1"/>
                  </w14:solidFill>
                </w14:textFill>
              </w:rPr>
            </w:pPr>
          </w:p>
        </w:tc>
      </w:tr>
    </w:tbl>
    <w:p w14:paraId="2A264C6F">
      <w:pPr>
        <w:keepNext w:val="0"/>
        <w:keepLines w:val="0"/>
        <w:pageBreakBefore w:val="0"/>
        <w:widowControl w:val="0"/>
        <w:kinsoku/>
        <w:wordWrap/>
        <w:overflowPunct/>
        <w:topLinePunct w:val="0"/>
        <w:autoSpaceDE/>
        <w:autoSpaceDN/>
        <w:bidi w:val="0"/>
        <w:adjustRightInd/>
        <w:snapToGrid/>
        <w:spacing w:line="360" w:lineRule="exact"/>
        <w:ind w:right="0" w:rightChars="0" w:firstLine="562" w:firstLineChars="200"/>
        <w:jc w:val="left"/>
        <w:textAlignment w:val="auto"/>
        <w:rPr>
          <w:rFonts w:hint="eastAsia" w:ascii="仿宋_GB2312" w:hAnsi="仿宋_GB2312" w:eastAsia="仿宋_GB2312" w:cs="仿宋_GB2312"/>
          <w:b/>
          <w:bCs/>
          <w:color w:val="000000" w:themeColor="text1"/>
          <w:sz w:val="28"/>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4"/>
          <w:lang w:val="en-US" w:eastAsia="zh-CN"/>
          <w14:textFill>
            <w14:solidFill>
              <w14:schemeClr w14:val="tx1"/>
            </w14:solidFill>
          </w14:textFill>
        </w:rPr>
        <w:t>备注：</w:t>
      </w:r>
    </w:p>
    <w:p w14:paraId="6D5C3036">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eastAsia" w:ascii="宋体" w:hAnsi="宋体" w:eastAsia="宋体" w:cs="宋体"/>
          <w:color w:val="FF0000"/>
          <w:sz w:val="24"/>
          <w:szCs w:val="22"/>
          <w:lang w:eastAsia="zh-CN"/>
        </w:rPr>
      </w:pPr>
      <w:r>
        <w:rPr>
          <w:rFonts w:hint="eastAsia" w:ascii="宋体" w:hAnsi="宋体" w:cs="宋体"/>
          <w:color w:val="auto"/>
          <w:sz w:val="24"/>
          <w:szCs w:val="22"/>
          <w:lang w:val="en-US" w:eastAsia="zh-CN"/>
        </w:rPr>
        <w:t>1</w:t>
      </w:r>
      <w:r>
        <w:rPr>
          <w:rFonts w:hint="eastAsia" w:ascii="宋体" w:hAnsi="宋体" w:eastAsia="宋体" w:cs="宋体"/>
          <w:color w:val="auto"/>
          <w:sz w:val="24"/>
          <w:szCs w:val="22"/>
        </w:rPr>
        <w:t>.</w:t>
      </w:r>
      <w:r>
        <w:rPr>
          <w:rFonts w:hint="eastAsia" w:ascii="宋体" w:hAnsi="宋体" w:eastAsia="宋体" w:cs="宋体"/>
          <w:color w:val="auto"/>
          <w:sz w:val="24"/>
          <w:szCs w:val="22"/>
          <w:lang w:eastAsia="zh-CN"/>
        </w:rPr>
        <w:t>诵读比赛</w:t>
      </w:r>
      <w:r>
        <w:rPr>
          <w:rFonts w:hint="eastAsia" w:ascii="宋体" w:hAnsi="宋体" w:eastAsia="宋体" w:cs="宋体"/>
          <w:color w:val="auto"/>
          <w:sz w:val="24"/>
          <w:szCs w:val="22"/>
        </w:rPr>
        <w:t>集体组要填写本组每一位参赛选手的信息</w:t>
      </w:r>
      <w:r>
        <w:rPr>
          <w:rFonts w:hint="eastAsia" w:ascii="宋体" w:hAnsi="宋体" w:cs="宋体"/>
          <w:color w:val="auto"/>
          <w:sz w:val="24"/>
          <w:szCs w:val="22"/>
          <w:lang w:eastAsia="zh-CN"/>
        </w:rPr>
        <w:t>，每人信息单独填一行</w:t>
      </w:r>
      <w:r>
        <w:rPr>
          <w:rFonts w:hint="eastAsia" w:ascii="宋体" w:hAnsi="宋体" w:eastAsia="宋体" w:cs="宋体"/>
          <w:color w:val="auto"/>
          <w:sz w:val="24"/>
          <w:szCs w:val="22"/>
        </w:rPr>
        <w:t>，并在“备注”栏注明选手是学生或教师</w:t>
      </w:r>
      <w:r>
        <w:rPr>
          <w:rFonts w:hint="eastAsia" w:ascii="宋体" w:hAnsi="宋体" w:eastAsia="宋体" w:cs="宋体"/>
          <w:color w:val="auto"/>
          <w:sz w:val="24"/>
          <w:szCs w:val="22"/>
          <w:lang w:eastAsia="zh-CN"/>
        </w:rPr>
        <w:t>或其他组合</w:t>
      </w:r>
      <w:r>
        <w:rPr>
          <w:rFonts w:hint="eastAsia" w:ascii="宋体" w:hAnsi="宋体" w:cs="宋体"/>
          <w:color w:val="auto"/>
          <w:sz w:val="24"/>
          <w:szCs w:val="22"/>
          <w:lang w:eastAsia="zh-CN"/>
        </w:rPr>
        <w:t>（</w:t>
      </w:r>
      <w:r>
        <w:rPr>
          <w:rFonts w:hint="eastAsia" w:ascii="宋体" w:hAnsi="宋体" w:cs="宋体"/>
          <w:color w:val="auto"/>
          <w:sz w:val="24"/>
          <w:szCs w:val="22"/>
          <w:lang w:val="en-US" w:eastAsia="zh-CN"/>
        </w:rPr>
        <w:t>如学生个人组或者教师集体组</w:t>
      </w:r>
      <w:r>
        <w:rPr>
          <w:rFonts w:hint="eastAsia" w:ascii="宋体" w:hAnsi="宋体" w:eastAsia="宋体" w:cs="宋体"/>
          <w:color w:val="auto"/>
          <w:sz w:val="24"/>
          <w:szCs w:val="22"/>
        </w:rPr>
        <w:t>。</w:t>
      </w:r>
      <w:r>
        <w:rPr>
          <w:rFonts w:hint="eastAsia" w:ascii="宋体" w:hAnsi="宋体" w:cs="宋体"/>
          <w:color w:val="auto"/>
          <w:sz w:val="24"/>
          <w:szCs w:val="22"/>
          <w:lang w:eastAsia="zh-CN"/>
        </w:rPr>
        <w:t>）</w:t>
      </w:r>
    </w:p>
    <w:p w14:paraId="0C762F3C">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eastAsia" w:ascii="宋体" w:hAnsi="宋体" w:eastAsia="宋体" w:cs="宋体"/>
          <w:color w:val="auto"/>
          <w:sz w:val="24"/>
          <w:szCs w:val="22"/>
        </w:rPr>
      </w:pPr>
      <w:r>
        <w:rPr>
          <w:rFonts w:hint="eastAsia" w:ascii="宋体" w:hAnsi="宋体" w:cs="宋体"/>
          <w:color w:val="auto"/>
          <w:sz w:val="24"/>
          <w:szCs w:val="22"/>
          <w:lang w:val="en-US" w:eastAsia="zh-CN"/>
        </w:rPr>
        <w:t>2</w:t>
      </w:r>
      <w:r>
        <w:rPr>
          <w:rFonts w:hint="eastAsia" w:ascii="宋体" w:hAnsi="宋体" w:eastAsia="宋体" w:cs="宋体"/>
          <w:color w:val="auto"/>
          <w:sz w:val="24"/>
          <w:szCs w:val="22"/>
        </w:rPr>
        <w:t>.</w:t>
      </w:r>
      <w:r>
        <w:rPr>
          <w:rFonts w:hint="eastAsia" w:ascii="宋体" w:hAnsi="宋体" w:eastAsia="宋体" w:cs="宋体"/>
          <w:color w:val="auto"/>
          <w:sz w:val="24"/>
          <w:szCs w:val="22"/>
          <w:lang w:eastAsia="zh-CN"/>
        </w:rPr>
        <w:t>诵读比赛</w:t>
      </w:r>
      <w:r>
        <w:rPr>
          <w:rFonts w:hint="eastAsia" w:ascii="宋体" w:hAnsi="宋体" w:eastAsia="宋体" w:cs="宋体"/>
          <w:color w:val="auto"/>
          <w:sz w:val="24"/>
          <w:szCs w:val="22"/>
        </w:rPr>
        <w:t>“指定篇目”和“自选篇目”要填写篇目名称和年代，如“《春江花月夜》/古代”“《春》/现当代”。</w:t>
      </w:r>
    </w:p>
    <w:p w14:paraId="62DE73E1">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eastAsia" w:ascii="宋体" w:hAnsi="宋体" w:eastAsia="宋体" w:cs="宋体"/>
          <w:color w:val="auto"/>
          <w:sz w:val="24"/>
          <w:szCs w:val="22"/>
          <w:lang w:val="en" w:eastAsia="zh-CN"/>
        </w:rPr>
      </w:pPr>
      <w:r>
        <w:rPr>
          <w:rFonts w:hint="eastAsia" w:ascii="宋体" w:hAnsi="宋体" w:cs="宋体"/>
          <w:color w:val="auto"/>
          <w:sz w:val="24"/>
          <w:szCs w:val="22"/>
          <w:lang w:val="en-US" w:eastAsia="zh-CN"/>
        </w:rPr>
        <w:t>3</w:t>
      </w:r>
      <w:r>
        <w:rPr>
          <w:rFonts w:hint="eastAsia" w:ascii="宋体" w:hAnsi="宋体" w:eastAsia="宋体" w:cs="宋体"/>
          <w:color w:val="auto"/>
          <w:sz w:val="24"/>
          <w:szCs w:val="22"/>
          <w:lang w:val="en"/>
        </w:rPr>
        <w:t>.</w:t>
      </w:r>
      <w:r>
        <w:rPr>
          <w:rFonts w:hint="eastAsia" w:ascii="宋体" w:hAnsi="宋体" w:eastAsia="宋体" w:cs="宋体"/>
          <w:color w:val="auto"/>
          <w:sz w:val="24"/>
          <w:szCs w:val="22"/>
          <w:lang w:val="en" w:eastAsia="zh-CN"/>
        </w:rPr>
        <w:t>诵读比赛综合集体组的选手若不属于同一单位或自由职业，则</w:t>
      </w:r>
      <w:r>
        <w:rPr>
          <w:rFonts w:hint="eastAsia" w:ascii="宋体" w:hAnsi="宋体" w:cs="宋体"/>
          <w:color w:val="auto"/>
          <w:sz w:val="24"/>
          <w:szCs w:val="22"/>
          <w:lang w:val="en" w:eastAsia="zh-CN"/>
        </w:rPr>
        <w:t>不</w:t>
      </w:r>
      <w:r>
        <w:rPr>
          <w:rFonts w:hint="eastAsia" w:ascii="宋体" w:hAnsi="宋体" w:eastAsia="宋体" w:cs="宋体"/>
          <w:color w:val="auto"/>
          <w:sz w:val="24"/>
          <w:szCs w:val="22"/>
          <w:lang w:val="en" w:eastAsia="zh-CN"/>
        </w:rPr>
        <w:t>填写报送单位名称。</w:t>
      </w:r>
    </w:p>
    <w:p w14:paraId="3BCABA7F">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eastAsia" w:ascii="宋体" w:hAnsi="宋体" w:eastAsia="宋体" w:cs="宋体"/>
          <w:color w:val="auto"/>
          <w:sz w:val="24"/>
          <w:szCs w:val="22"/>
          <w:lang w:val="en-US" w:eastAsia="zh-CN"/>
        </w:rPr>
      </w:pPr>
      <w:r>
        <w:rPr>
          <w:rFonts w:hint="eastAsia" w:ascii="宋体" w:hAnsi="宋体" w:cs="宋体"/>
          <w:color w:val="auto"/>
          <w:sz w:val="24"/>
          <w:szCs w:val="22"/>
          <w:lang w:val="en-US" w:eastAsia="zh-CN"/>
        </w:rPr>
        <w:t>4</w:t>
      </w:r>
      <w:r>
        <w:rPr>
          <w:rFonts w:hint="eastAsia" w:ascii="宋体" w:hAnsi="宋体" w:eastAsia="宋体" w:cs="宋体"/>
          <w:color w:val="auto"/>
          <w:sz w:val="24"/>
          <w:szCs w:val="22"/>
        </w:rPr>
        <w:t>.表格可根据选手人数</w:t>
      </w:r>
      <w:r>
        <w:rPr>
          <w:rFonts w:hint="eastAsia" w:ascii="宋体" w:hAnsi="宋体" w:eastAsia="宋体" w:cs="宋体"/>
          <w:color w:val="auto"/>
          <w:sz w:val="24"/>
          <w:szCs w:val="22"/>
          <w:lang w:eastAsia="zh-CN"/>
        </w:rPr>
        <w:t>加页，但每页须保留各栏目名称</w:t>
      </w:r>
      <w:r>
        <w:rPr>
          <w:rFonts w:hint="eastAsia" w:ascii="宋体" w:hAnsi="宋体" w:eastAsia="宋体" w:cs="宋体"/>
          <w:color w:val="auto"/>
          <w:sz w:val="24"/>
          <w:szCs w:val="22"/>
        </w:rPr>
        <w:t>。</w:t>
      </w:r>
    </w:p>
    <w:p w14:paraId="393C7841">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eastAsia" w:ascii="宋体" w:hAnsi="宋体" w:cs="宋体"/>
          <w:color w:val="auto"/>
          <w:sz w:val="24"/>
          <w:szCs w:val="22"/>
          <w:lang w:val="en-US" w:eastAsia="zh-CN"/>
        </w:rPr>
      </w:pPr>
      <w:r>
        <w:rPr>
          <w:rFonts w:hint="eastAsia" w:ascii="宋体" w:hAnsi="宋体" w:cs="宋体"/>
          <w:color w:val="auto"/>
          <w:sz w:val="24"/>
          <w:szCs w:val="22"/>
          <w:lang w:val="en-US" w:eastAsia="zh-CN"/>
        </w:rPr>
        <w:t>5</w:t>
      </w:r>
      <w:r>
        <w:rPr>
          <w:rFonts w:hint="eastAsia" w:ascii="宋体" w:hAnsi="宋体" w:eastAsia="宋体" w:cs="宋体"/>
          <w:color w:val="auto"/>
          <w:sz w:val="24"/>
          <w:szCs w:val="22"/>
          <w:lang w:val="en-US" w:eastAsia="zh-CN"/>
        </w:rPr>
        <w:t>.指导教师：诵读比赛集体组不超过2人，个人组1人</w:t>
      </w:r>
      <w:r>
        <w:rPr>
          <w:rFonts w:hint="eastAsia" w:ascii="宋体" w:hAnsi="宋体" w:cs="宋体"/>
          <w:color w:val="auto"/>
          <w:sz w:val="24"/>
          <w:szCs w:val="22"/>
          <w:lang w:val="en-US" w:eastAsia="zh-CN"/>
        </w:rPr>
        <w:t>。</w:t>
      </w:r>
    </w:p>
    <w:p w14:paraId="639525F5">
      <w:pPr>
        <w:keepNext w:val="0"/>
        <w:keepLines w:val="0"/>
        <w:pageBreakBefore w:val="0"/>
        <w:widowControl w:val="0"/>
        <w:kinsoku/>
        <w:wordWrap/>
        <w:overflowPunct/>
        <w:topLinePunct w:val="0"/>
        <w:autoSpaceDE/>
        <w:autoSpaceDN/>
        <w:bidi w:val="0"/>
        <w:adjustRightInd/>
        <w:snapToGrid/>
        <w:spacing w:line="360" w:lineRule="exact"/>
        <w:ind w:right="0" w:rightChars="0" w:firstLine="480" w:firstLineChars="200"/>
        <w:jc w:val="left"/>
        <w:textAlignment w:val="auto"/>
        <w:rPr>
          <w:rFonts w:hint="default" w:ascii="Times New Roman" w:hAnsi="Times New Roman" w:eastAsia="仿宋_GB2312" w:cs="Times New Roman"/>
          <w:sz w:val="32"/>
          <w:szCs w:val="32"/>
          <w:lang w:val="en-US" w:eastAsia="zh-CN"/>
        </w:rPr>
      </w:pPr>
      <w:r>
        <w:rPr>
          <w:rFonts w:hint="eastAsia" w:ascii="宋体" w:hAnsi="宋体" w:cs="宋体"/>
          <w:color w:val="auto"/>
          <w:sz w:val="24"/>
          <w:szCs w:val="22"/>
          <w:lang w:val="en-US" w:eastAsia="zh-CN"/>
        </w:rPr>
        <w:t>6</w:t>
      </w:r>
      <w:r>
        <w:rPr>
          <w:rFonts w:hint="eastAsia" w:ascii="宋体" w:hAnsi="宋体" w:eastAsia="宋体" w:cs="宋体"/>
          <w:color w:val="auto"/>
          <w:sz w:val="24"/>
          <w:szCs w:val="22"/>
          <w:lang w:val="en-US" w:eastAsia="zh-CN"/>
        </w:rPr>
        <w:t>.本表由</w:t>
      </w:r>
      <w:r>
        <w:rPr>
          <w:rFonts w:hint="eastAsia" w:ascii="宋体" w:hAnsi="宋体" w:cs="宋体"/>
          <w:color w:val="auto"/>
          <w:sz w:val="24"/>
          <w:szCs w:val="22"/>
          <w:lang w:val="en-US" w:eastAsia="zh-CN"/>
        </w:rPr>
        <w:t>各学校</w:t>
      </w:r>
      <w:r>
        <w:rPr>
          <w:rFonts w:hint="eastAsia" w:ascii="宋体" w:hAnsi="宋体" w:eastAsia="宋体" w:cs="宋体"/>
          <w:color w:val="auto"/>
          <w:sz w:val="24"/>
          <w:szCs w:val="22"/>
          <w:lang w:val="en-US" w:eastAsia="zh-CN"/>
        </w:rPr>
        <w:t>统一填报，务必</w:t>
      </w:r>
      <w:r>
        <w:rPr>
          <w:rFonts w:hint="eastAsia" w:ascii="宋体" w:hAnsi="宋体" w:cs="宋体"/>
          <w:color w:val="auto"/>
          <w:sz w:val="24"/>
          <w:szCs w:val="22"/>
          <w:lang w:val="en-US" w:eastAsia="zh-CN"/>
        </w:rPr>
        <w:t>于5月7日下午下班前</w:t>
      </w:r>
      <w:r>
        <w:rPr>
          <w:rFonts w:hint="eastAsia" w:ascii="宋体" w:hAnsi="宋体" w:eastAsia="宋体" w:cs="宋体"/>
          <w:color w:val="auto"/>
          <w:sz w:val="24"/>
          <w:szCs w:val="22"/>
          <w:lang w:val="en-US" w:eastAsia="zh-CN"/>
        </w:rPr>
        <w:t>以电子表格形式报送指定邮箱</w:t>
      </w:r>
      <w:r>
        <w:rPr>
          <w:rFonts w:hint="eastAsia" w:ascii="宋体" w:hAnsi="宋体" w:cs="宋体"/>
          <w:color w:val="auto"/>
          <w:sz w:val="24"/>
          <w:szCs w:val="22"/>
          <w:lang w:val="en-US" w:eastAsia="zh-CN"/>
        </w:rPr>
        <w:t>：rsywb2010@163.com，逾期不能参加比赛。</w:t>
      </w:r>
    </w:p>
    <w:sectPr>
      <w:footerReference r:id="rId4" w:type="default"/>
      <w:pgSz w:w="16838" w:h="11906" w:orient="landscape"/>
      <w:pgMar w:top="1417" w:right="1474" w:bottom="1417" w:left="1417" w:header="851" w:footer="992" w:gutter="0"/>
      <w:paperSrc w:first="1"/>
      <w:pgBorders>
        <w:top w:val="none" w:sz="0" w:space="0"/>
        <w:left w:val="none" w:sz="0" w:space="0"/>
        <w:bottom w:val="none" w:sz="0" w:space="0"/>
        <w:right w:val="none" w:sz="0" w:space="0"/>
      </w:pgBorders>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68719E-CCD0-4C24-944F-F3662744DE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E004D98-5865-41DE-B6CD-A48A495C796D}"/>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6C372332-84E4-47D5-918D-C9DD4782A191}"/>
  </w:font>
  <w:font w:name="方正小标宋简体">
    <w:panose1 w:val="02000000000000000000"/>
    <w:charset w:val="86"/>
    <w:family w:val="auto"/>
    <w:pitch w:val="default"/>
    <w:sig w:usb0="00000001" w:usb1="080E0000" w:usb2="00000000" w:usb3="00000000" w:csb0="00040000" w:csb1="00000000"/>
    <w:embedRegular r:id="rId4" w:fontKey="{91277A78-AACC-458C-B876-940C5B4B2871}"/>
  </w:font>
  <w:font w:name="仿宋">
    <w:panose1 w:val="02010609060101010101"/>
    <w:charset w:val="86"/>
    <w:family w:val="modern"/>
    <w:pitch w:val="default"/>
    <w:sig w:usb0="800002BF" w:usb1="38CF7CFA" w:usb2="00000016" w:usb3="00000000" w:csb0="00040001" w:csb1="00000000"/>
    <w:embedRegular r:id="rId5" w:fontKey="{D81FE214-8F1B-4450-9570-6B1C2DFA6310}"/>
  </w:font>
  <w:font w:name="楷体_GB2312">
    <w:panose1 w:val="02010609030101010101"/>
    <w:charset w:val="86"/>
    <w:family w:val="auto"/>
    <w:pitch w:val="default"/>
    <w:sig w:usb0="00000001" w:usb1="080E0000" w:usb2="00000000" w:usb3="00000000" w:csb0="00040000" w:csb1="00000000"/>
    <w:embedRegular r:id="rId6" w:fontKey="{8FEC4703-3FBA-41E0-9DC8-DE573CAA4F35}"/>
  </w:font>
  <w:font w:name="楷体">
    <w:panose1 w:val="02010609060101010101"/>
    <w:charset w:val="86"/>
    <w:family w:val="auto"/>
    <w:pitch w:val="default"/>
    <w:sig w:usb0="800002BF" w:usb1="38CF7CFA" w:usb2="00000016" w:usb3="00000000" w:csb0="00040001" w:csb1="00000000"/>
    <w:embedRegular r:id="rId7" w:fontKey="{A9C004BB-5093-42F3-B940-4841BD78714B}"/>
  </w:font>
  <w:font w:name="汉仪细圆B5">
    <w:altName w:val="Microsoft JhengHei"/>
    <w:panose1 w:val="02010600000101010101"/>
    <w:charset w:val="88"/>
    <w:family w:val="auto"/>
    <w:pitch w:val="default"/>
    <w:sig w:usb0="00000000" w:usb1="00000000" w:usb2="00000002" w:usb3="00000000" w:csb0="00100000" w:csb1="00000000"/>
    <w:embedRegular r:id="rId8" w:fontKey="{3450D022-B894-45E9-8C35-E0E4FBE0320B}"/>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1EC4E">
    <w:pPr>
      <w:pStyle w:val="8"/>
      <w:framePr w:wrap="around" w:vAnchor="text" w:hAnchor="margin" w:xAlign="outside" w:y="1"/>
      <w:adjustRightInd w:val="0"/>
      <w:ind w:right="210" w:rightChars="100"/>
      <w:rPr>
        <w:rStyle w:val="14"/>
        <w:rFonts w:ascii="仿宋" w:hAnsi="仿宋" w:eastAsia="仿宋"/>
        <w:sz w:val="28"/>
        <w:szCs w:val="28"/>
      </w:rPr>
    </w:pPr>
    <w:r>
      <w:rPr>
        <w:rStyle w:val="14"/>
        <w:rFonts w:hint="eastAsia" w:ascii="仿宋" w:hAnsi="仿宋" w:eastAsia="仿宋"/>
        <w:sz w:val="28"/>
        <w:szCs w:val="28"/>
      </w:rPr>
      <w:t>—</w:t>
    </w:r>
    <w:r>
      <w:rPr>
        <w:rFonts w:ascii="仿宋" w:hAnsi="仿宋" w:eastAsia="仿宋"/>
        <w:sz w:val="28"/>
        <w:szCs w:val="28"/>
      </w:rPr>
      <w:fldChar w:fldCharType="begin"/>
    </w:r>
    <w:r>
      <w:rPr>
        <w:rStyle w:val="14"/>
        <w:rFonts w:ascii="仿宋" w:hAnsi="仿宋" w:eastAsia="仿宋"/>
        <w:sz w:val="28"/>
        <w:szCs w:val="28"/>
      </w:rPr>
      <w:instrText xml:space="preserve">PAGE  </w:instrText>
    </w:r>
    <w:r>
      <w:rPr>
        <w:rFonts w:ascii="仿宋" w:hAnsi="仿宋" w:eastAsia="仿宋"/>
        <w:sz w:val="28"/>
        <w:szCs w:val="28"/>
      </w:rPr>
      <w:fldChar w:fldCharType="separate"/>
    </w:r>
    <w:r>
      <w:rPr>
        <w:rStyle w:val="14"/>
        <w:rFonts w:ascii="仿宋" w:hAnsi="仿宋" w:eastAsia="仿宋"/>
        <w:sz w:val="28"/>
        <w:szCs w:val="28"/>
      </w:rPr>
      <w:t>3</w:t>
    </w:r>
    <w:r>
      <w:rPr>
        <w:rFonts w:ascii="仿宋" w:hAnsi="仿宋" w:eastAsia="仿宋"/>
        <w:sz w:val="28"/>
        <w:szCs w:val="28"/>
      </w:rPr>
      <w:fldChar w:fldCharType="end"/>
    </w:r>
    <w:r>
      <w:rPr>
        <w:rStyle w:val="14"/>
        <w:rFonts w:hint="eastAsia" w:ascii="仿宋" w:hAnsi="仿宋" w:eastAsia="仿宋"/>
        <w:sz w:val="28"/>
        <w:szCs w:val="28"/>
      </w:rPr>
      <w:t>—</w:t>
    </w:r>
  </w:p>
  <w:p w14:paraId="0312EC90">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2362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A0241">
                          <w:pPr>
                            <w:pStyle w:val="8"/>
                            <w:wordWrap w:val="0"/>
                            <w:jc w:val="right"/>
                            <w:rPr>
                              <w:rFonts w:hint="default" w:eastAsia="宋体"/>
                              <w:sz w:val="28"/>
                              <w:szCs w:val="28"/>
                              <w:lang w:val="en-US" w:eastAsia="zh-CN"/>
                            </w:rPr>
                          </w:pPr>
                          <w:r>
                            <w:rPr>
                              <w:rFonts w:hint="eastAsia"/>
                              <w:sz w:val="28"/>
                              <w:szCs w:val="28"/>
                              <w:lang w:val="en-US"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0A0241">
                    <w:pPr>
                      <w:pStyle w:val="8"/>
                      <w:wordWrap w:val="0"/>
                      <w:jc w:val="right"/>
                      <w:rPr>
                        <w:rFonts w:hint="default" w:eastAsia="宋体"/>
                        <w:sz w:val="28"/>
                        <w:szCs w:val="28"/>
                        <w:lang w:val="en-US" w:eastAsia="zh-CN"/>
                      </w:rPr>
                    </w:pPr>
                    <w:r>
                      <w:rPr>
                        <w:rFonts w:hint="eastAsia"/>
                        <w:sz w:val="28"/>
                        <w:szCs w:val="28"/>
                        <w:lang w:val="en-US"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B91DC"/>
    <w:multiLevelType w:val="singleLevel"/>
    <w:tmpl w:val="A78B91DC"/>
    <w:lvl w:ilvl="0" w:tentative="0">
      <w:start w:val="4"/>
      <w:numFmt w:val="chineseCounting"/>
      <w:suff w:val="nothing"/>
      <w:lvlText w:val="%1、"/>
      <w:lvlJc w:val="left"/>
      <w:rPr>
        <w:rFonts w:hint="eastAsia"/>
      </w:rPr>
    </w:lvl>
  </w:abstractNum>
  <w:abstractNum w:abstractNumId="1">
    <w:nsid w:val="6854E959"/>
    <w:multiLevelType w:val="singleLevel"/>
    <w:tmpl w:val="6854E959"/>
    <w:lvl w:ilvl="0" w:tentative="0">
      <w:start w:val="1"/>
      <w:numFmt w:val="chineseCounting"/>
      <w:suff w:val="nothing"/>
      <w:lvlText w:val="（%1）"/>
      <w:lvlJc w:val="left"/>
      <w:pPr>
        <w:ind w:left="58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ZTY0YTlmNTZhZWZhMDM1OGM2OGU0N2ZhN2MzYWIifQ=="/>
  </w:docVars>
  <w:rsids>
    <w:rsidRoot w:val="00E94E28"/>
    <w:rsid w:val="000A1696"/>
    <w:rsid w:val="001D111C"/>
    <w:rsid w:val="00227FCB"/>
    <w:rsid w:val="00350E26"/>
    <w:rsid w:val="003A52B2"/>
    <w:rsid w:val="003B7AB4"/>
    <w:rsid w:val="003E16EA"/>
    <w:rsid w:val="0040252A"/>
    <w:rsid w:val="00416E30"/>
    <w:rsid w:val="00461DB8"/>
    <w:rsid w:val="004B6BD5"/>
    <w:rsid w:val="004D21C6"/>
    <w:rsid w:val="004F533E"/>
    <w:rsid w:val="00596ED7"/>
    <w:rsid w:val="005D7612"/>
    <w:rsid w:val="00626E22"/>
    <w:rsid w:val="00690D3D"/>
    <w:rsid w:val="006A3A48"/>
    <w:rsid w:val="006F5D2D"/>
    <w:rsid w:val="00766698"/>
    <w:rsid w:val="007746B2"/>
    <w:rsid w:val="00783144"/>
    <w:rsid w:val="007C0613"/>
    <w:rsid w:val="00860EFC"/>
    <w:rsid w:val="00897DB1"/>
    <w:rsid w:val="008D1C31"/>
    <w:rsid w:val="008E29AB"/>
    <w:rsid w:val="0092740E"/>
    <w:rsid w:val="00A1335B"/>
    <w:rsid w:val="00A42CF3"/>
    <w:rsid w:val="00A72172"/>
    <w:rsid w:val="00B04B05"/>
    <w:rsid w:val="00B32038"/>
    <w:rsid w:val="00B41956"/>
    <w:rsid w:val="00BE344E"/>
    <w:rsid w:val="00C73F84"/>
    <w:rsid w:val="00D222D6"/>
    <w:rsid w:val="00D74E60"/>
    <w:rsid w:val="00DA2E6A"/>
    <w:rsid w:val="00DB314F"/>
    <w:rsid w:val="00DC0E41"/>
    <w:rsid w:val="00E10A3C"/>
    <w:rsid w:val="00E94E28"/>
    <w:rsid w:val="00EA4A8F"/>
    <w:rsid w:val="00EF3D69"/>
    <w:rsid w:val="00F21678"/>
    <w:rsid w:val="00F25B91"/>
    <w:rsid w:val="00F27E24"/>
    <w:rsid w:val="00F4045A"/>
    <w:rsid w:val="00F54817"/>
    <w:rsid w:val="00F921DF"/>
    <w:rsid w:val="00FD58D0"/>
    <w:rsid w:val="01040B84"/>
    <w:rsid w:val="01BD0368"/>
    <w:rsid w:val="02D84338"/>
    <w:rsid w:val="040F5B6C"/>
    <w:rsid w:val="0559775B"/>
    <w:rsid w:val="0586462F"/>
    <w:rsid w:val="07BC125F"/>
    <w:rsid w:val="08ED1D35"/>
    <w:rsid w:val="09B5169F"/>
    <w:rsid w:val="0B5B7E94"/>
    <w:rsid w:val="0B915894"/>
    <w:rsid w:val="0D864F0D"/>
    <w:rsid w:val="0DC93F14"/>
    <w:rsid w:val="0E13305C"/>
    <w:rsid w:val="0E3C6923"/>
    <w:rsid w:val="0F6106B8"/>
    <w:rsid w:val="103709CC"/>
    <w:rsid w:val="1090632E"/>
    <w:rsid w:val="10B4272B"/>
    <w:rsid w:val="10F3545F"/>
    <w:rsid w:val="13E31587"/>
    <w:rsid w:val="142007B3"/>
    <w:rsid w:val="15B45AE3"/>
    <w:rsid w:val="16077FB7"/>
    <w:rsid w:val="16F413C5"/>
    <w:rsid w:val="191F7EF1"/>
    <w:rsid w:val="1941466A"/>
    <w:rsid w:val="19CE7F80"/>
    <w:rsid w:val="1A0E73F4"/>
    <w:rsid w:val="1A6A20C8"/>
    <w:rsid w:val="1AB822C9"/>
    <w:rsid w:val="1B7B0307"/>
    <w:rsid w:val="1CA906CC"/>
    <w:rsid w:val="1CB90328"/>
    <w:rsid w:val="1CD76FED"/>
    <w:rsid w:val="1CD81FE7"/>
    <w:rsid w:val="1D826ABA"/>
    <w:rsid w:val="1DA10BA9"/>
    <w:rsid w:val="1E633477"/>
    <w:rsid w:val="1ECF7353"/>
    <w:rsid w:val="1FE3151A"/>
    <w:rsid w:val="23B74608"/>
    <w:rsid w:val="247A75E9"/>
    <w:rsid w:val="24A835B0"/>
    <w:rsid w:val="24F32999"/>
    <w:rsid w:val="261D1FBA"/>
    <w:rsid w:val="268A6650"/>
    <w:rsid w:val="26A036DB"/>
    <w:rsid w:val="2702378F"/>
    <w:rsid w:val="296F3889"/>
    <w:rsid w:val="29D62E38"/>
    <w:rsid w:val="2BAF5D67"/>
    <w:rsid w:val="2BD46751"/>
    <w:rsid w:val="2CA90A4C"/>
    <w:rsid w:val="2F1166FB"/>
    <w:rsid w:val="30272830"/>
    <w:rsid w:val="30330D58"/>
    <w:rsid w:val="309D7413"/>
    <w:rsid w:val="30B42E66"/>
    <w:rsid w:val="31464603"/>
    <w:rsid w:val="31571A6C"/>
    <w:rsid w:val="324A096D"/>
    <w:rsid w:val="33D861EB"/>
    <w:rsid w:val="33F22CD8"/>
    <w:rsid w:val="34E029A9"/>
    <w:rsid w:val="352D6558"/>
    <w:rsid w:val="35B0678D"/>
    <w:rsid w:val="35D71AB7"/>
    <w:rsid w:val="368A498F"/>
    <w:rsid w:val="36F06083"/>
    <w:rsid w:val="37647713"/>
    <w:rsid w:val="38885035"/>
    <w:rsid w:val="38F52E00"/>
    <w:rsid w:val="39205BF2"/>
    <w:rsid w:val="39A607ED"/>
    <w:rsid w:val="3ADA68B3"/>
    <w:rsid w:val="3BD9604A"/>
    <w:rsid w:val="3BE1247F"/>
    <w:rsid w:val="3C501E97"/>
    <w:rsid w:val="3C5923C8"/>
    <w:rsid w:val="3C6E4331"/>
    <w:rsid w:val="3EF0450F"/>
    <w:rsid w:val="3FF4673B"/>
    <w:rsid w:val="403B4E2A"/>
    <w:rsid w:val="40690777"/>
    <w:rsid w:val="41ED0502"/>
    <w:rsid w:val="42832069"/>
    <w:rsid w:val="42DC324E"/>
    <w:rsid w:val="43A8220A"/>
    <w:rsid w:val="440702A4"/>
    <w:rsid w:val="448C608F"/>
    <w:rsid w:val="44EE08CD"/>
    <w:rsid w:val="46AF05B5"/>
    <w:rsid w:val="46B359FD"/>
    <w:rsid w:val="4740778C"/>
    <w:rsid w:val="48E91EBC"/>
    <w:rsid w:val="49A31456"/>
    <w:rsid w:val="4C167B54"/>
    <w:rsid w:val="4D752DA2"/>
    <w:rsid w:val="4DDB2573"/>
    <w:rsid w:val="4E0C76DB"/>
    <w:rsid w:val="4E6A5B02"/>
    <w:rsid w:val="4EE35F2B"/>
    <w:rsid w:val="4F0D1BBA"/>
    <w:rsid w:val="4FAA2AD1"/>
    <w:rsid w:val="50A520C6"/>
    <w:rsid w:val="50FE3463"/>
    <w:rsid w:val="513F0557"/>
    <w:rsid w:val="53B75191"/>
    <w:rsid w:val="53BF608F"/>
    <w:rsid w:val="54870CBF"/>
    <w:rsid w:val="5498219B"/>
    <w:rsid w:val="553E6869"/>
    <w:rsid w:val="55EF09CE"/>
    <w:rsid w:val="56242D6E"/>
    <w:rsid w:val="564B02FA"/>
    <w:rsid w:val="5684380C"/>
    <w:rsid w:val="57AB1E8A"/>
    <w:rsid w:val="58B548CD"/>
    <w:rsid w:val="58DB7DC9"/>
    <w:rsid w:val="59C168FF"/>
    <w:rsid w:val="5B2D06C7"/>
    <w:rsid w:val="5BC61B36"/>
    <w:rsid w:val="5C1A625A"/>
    <w:rsid w:val="5D263085"/>
    <w:rsid w:val="5E3A64F9"/>
    <w:rsid w:val="5E542E77"/>
    <w:rsid w:val="5EB312A3"/>
    <w:rsid w:val="5F557AF4"/>
    <w:rsid w:val="60135919"/>
    <w:rsid w:val="60283A3B"/>
    <w:rsid w:val="60A866D3"/>
    <w:rsid w:val="61AD359D"/>
    <w:rsid w:val="61CB4DFE"/>
    <w:rsid w:val="6426614B"/>
    <w:rsid w:val="658D448B"/>
    <w:rsid w:val="6597145A"/>
    <w:rsid w:val="65E82B5C"/>
    <w:rsid w:val="668B029F"/>
    <w:rsid w:val="66D631C0"/>
    <w:rsid w:val="676F59BF"/>
    <w:rsid w:val="683105C0"/>
    <w:rsid w:val="687761F1"/>
    <w:rsid w:val="69162847"/>
    <w:rsid w:val="698B1065"/>
    <w:rsid w:val="69D962B4"/>
    <w:rsid w:val="6B25447E"/>
    <w:rsid w:val="6BAD4A5B"/>
    <w:rsid w:val="6BE92A11"/>
    <w:rsid w:val="6CC61A4D"/>
    <w:rsid w:val="6D7C0026"/>
    <w:rsid w:val="6D8F2035"/>
    <w:rsid w:val="6DA76FB9"/>
    <w:rsid w:val="6E89044C"/>
    <w:rsid w:val="6ED92668"/>
    <w:rsid w:val="6F5801CB"/>
    <w:rsid w:val="6F6D675F"/>
    <w:rsid w:val="6FC52A74"/>
    <w:rsid w:val="70B54984"/>
    <w:rsid w:val="70C54171"/>
    <w:rsid w:val="71496C2B"/>
    <w:rsid w:val="71D11813"/>
    <w:rsid w:val="72227D09"/>
    <w:rsid w:val="72D26538"/>
    <w:rsid w:val="732D5E85"/>
    <w:rsid w:val="735F4070"/>
    <w:rsid w:val="73D7399B"/>
    <w:rsid w:val="744D6708"/>
    <w:rsid w:val="76955353"/>
    <w:rsid w:val="770A4B25"/>
    <w:rsid w:val="788D5B4D"/>
    <w:rsid w:val="79C1605A"/>
    <w:rsid w:val="79D77145"/>
    <w:rsid w:val="7A684727"/>
    <w:rsid w:val="7B1E7754"/>
    <w:rsid w:val="7BF5173F"/>
    <w:rsid w:val="7C047AE7"/>
    <w:rsid w:val="7D285992"/>
    <w:rsid w:val="7E9E360D"/>
    <w:rsid w:val="7F1A645B"/>
    <w:rsid w:val="7F687E94"/>
    <w:rsid w:val="7F8552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99"/>
    <w:pPr>
      <w:keepNext/>
      <w:keepLines/>
      <w:spacing w:before="260" w:after="260" w:line="416" w:lineRule="auto"/>
      <w:outlineLvl w:val="2"/>
    </w:pPr>
    <w:rPr>
      <w:b/>
      <w:bCs/>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firstLine="420" w:firstLineChars="200"/>
    </w:pPr>
    <w:rPr>
      <w:rFonts w:ascii="Calibri" w:hAnsi="Calibri"/>
    </w:rPr>
  </w:style>
  <w:style w:type="paragraph" w:customStyle="1" w:styleId="3">
    <w:name w:val="Body Text Indent1"/>
    <w:basedOn w:val="1"/>
    <w:qFormat/>
    <w:uiPriority w:val="0"/>
    <w:pPr>
      <w:ind w:left="420" w:leftChars="200"/>
    </w:pPr>
  </w:style>
  <w:style w:type="paragraph" w:styleId="5">
    <w:name w:val="Body Text"/>
    <w:basedOn w:val="1"/>
    <w:qFormat/>
    <w:uiPriority w:val="0"/>
    <w:pPr>
      <w:jc w:val="center"/>
    </w:pPr>
    <w:rPr>
      <w:rFonts w:eastAsia="黑体"/>
      <w:sz w:val="44"/>
    </w:rPr>
  </w:style>
  <w:style w:type="paragraph" w:styleId="6">
    <w:name w:val="Body Text Indent"/>
    <w:basedOn w:val="1"/>
    <w:qFormat/>
    <w:uiPriority w:val="0"/>
    <w:pPr>
      <w:spacing w:after="120"/>
      <w:ind w:left="420" w:leftChars="200"/>
    </w:pPr>
  </w:style>
  <w:style w:type="paragraph" w:styleId="7">
    <w:name w:val="Date"/>
    <w:basedOn w:val="1"/>
    <w:next w:val="1"/>
    <w:qFormat/>
    <w:uiPriority w:val="0"/>
    <w:pPr>
      <w:ind w:left="100" w:leftChars="25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rPr>
      <w:rFonts w:eastAsia="宋体"/>
      <w:lang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unhideWhenUsed/>
    <w:qFormat/>
    <w:uiPriority w:val="99"/>
    <w:rPr>
      <w:color w:val="0000FF"/>
      <w:u w:val="single"/>
    </w:rPr>
  </w:style>
  <w:style w:type="paragraph" w:customStyle="1" w:styleId="16">
    <w:name w:val=" Char1"/>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17">
    <w:name w:val="apple-converted-space"/>
    <w:basedOn w:val="13"/>
    <w:qFormat/>
    <w:uiPriority w:val="0"/>
  </w:style>
  <w:style w:type="paragraph" w:styleId="18">
    <w:name w:val="List Paragraph"/>
    <w:basedOn w:val="1"/>
    <w:qFormat/>
    <w:uiPriority w:val="34"/>
    <w:pPr>
      <w:ind w:firstLine="420" w:firstLineChars="200"/>
    </w:pPr>
  </w:style>
  <w:style w:type="paragraph" w:styleId="1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a780d7b3-e665-4f24-9ea5-30227e3e784b</errorID>
      <errorWord>以</errorWord>
      <group>L1_Grammar</group>
      <groupName>语法问题</groupName>
      <ability>L2_Order</ability>
      <abilityName>语序不当</abilityName>
      <candidateList>
        <item>以以</item>
      </candidateList>
      <explain>句子可能没有遵循时空、逻辑顺序，或者介词、关联词等位置不当。</explain>
      <paraID>5AAD129A</paraID>
      <start>47</start>
      <end>48</end>
      <status>ignored</status>
      <modifiedWord/>
      <trackRevisions>false</trackRevisions>
    </reviewItem>
    <reviewItem>
      <errorID>374feefb-61cd-408c-8452-40e70c55f3ec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6A40477</paraID>
      <start>0</start>
      <end>2</end>
      <status>modified</status>
      <modifiedWord>1.</modifiedWord>
      <trackRevisions>false</trackRevisions>
    </reviewItem>
    <reviewItem>
      <errorID>56ccfa1f-e4c5-430e-9c21-7d03896ed57c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6C638D5C</paraID>
      <start>0</start>
      <end>2</end>
      <status>modified</status>
      <modifiedWord>2.</modifiedWord>
      <trackRevisions>false</trackRevisions>
    </reviewItem>
    <reviewItem>
      <errorID>fc69acec-bc73-4fb5-9a3d-a27437b9d8cc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5943995A</paraID>
      <start>0</start>
      <end>2</end>
      <status>modified</status>
      <modifiedWord>3.</modifiedWord>
      <trackRevisions>false</trackRevisions>
    </reviewItem>
    <reviewItem>
      <errorID>4e146900-5b44-460a-97d7-c188de5df0e9</errorID>
      <errorWord>代</errorWord>
      <group>L1_Word</group>
      <groupName>字词问题</groupName>
      <ability>L2_Typo</ability>
      <abilityName>字词错误</abilityName>
      <candidateList>
        <item>代具</item>
      </candidateList>
      <explain/>
      <paraID>5943995A</paraID>
      <start>10</start>
      <end>12</end>
      <status>modified</status>
      <modifiedWord>代具</modifiedWord>
      <trackRevisions>false</trackRevisions>
    </reviewItem>
    <reviewItem>
      <errorID>70a212f4-4868-4804-99ab-b7aca76f017e</errorID>
      <errorWord>至少2年以上</errorWord>
      <group>L1_Grammar</group>
      <groupName>语法问题</groupName>
      <ability>L2_Grammar</ability>
      <abilityName>语法错误</abilityName>
      <candidateList>
        <item>至少2年</item>
      </candidateList>
      <explain/>
      <paraID>5943995A</paraID>
      <start>92</start>
      <end>98</end>
      <status>ignored</status>
      <modifiedWord/>
      <trackRevisions>false</trackRevisions>
    </reviewItem>
    <reviewItem>
      <errorID>5c0b7a8f-25ac-48ef-84e3-1ef83a01a2dc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452424C3</paraID>
      <start>0</start>
      <end>2</end>
      <status>modified</status>
      <modifiedWord>4.</modifiedWord>
      <trackRevisions>false</trackRevisions>
    </reviewItem>
    <reviewItem>
      <errorID>28c2fdcb-3569-4045-b452-765a7c1aab0f</errorID>
      <errorWord>连接好</errorWord>
      <group>L1_Word</group>
      <groupName>字词问题</groupName>
      <ability>L2_Typo</ability>
      <abilityName>字词错误</abilityName>
      <candidateList>
        <item>连接</item>
      </candidateList>
      <explain>（联接）liánjiē〈动〉❶（事物）互相衔接：山岭～。❷使连接：～线路。</explain>
      <paraID>41BC5929</paraID>
      <start>89</start>
      <end>91</end>
      <status>modified</status>
      <modifiedWord>连接</modifiedWord>
      <trackRevisions>false</trackRevisions>
    </reviewItem>
    <reviewItem>
      <errorID>2851361a-8765-4171-ad69-062ffa497754</errorID>
      <errorWord>下午15:00</errorWord>
      <group>L1_Knowledge</group>
      <groupName>知识性问题</groupName>
      <ability>L2_Time</ability>
      <abilityName>日期时间</abilityName>
      <candidateList>
        <item>15:00</item>
      </candidateList>
      <explain>24小时制的时间，不需要强调“下午”。</explain>
      <paraID>277D3FD4</paraID>
      <start>29</start>
      <end>34</end>
      <status>modified</status>
      <modifiedWord>15:00</modifiedWord>
      <trackRevisions>false</trackRevisions>
    </reviewItem>
    <reviewItem>
      <errorID>b949d09f-5268-4b56-bcef-e4f5a228b069</errorID>
      <errorWord>下午15：00</errorWord>
      <group>L1_Knowledge</group>
      <groupName>知识性问题</groupName>
      <ability>L2_Time</ability>
      <abilityName>日期时间</abilityName>
      <candidateList>
        <item>15:00</item>
      </candidateList>
      <explain>24小时制的时间，不需要强调“下午”，并且冒号应使用半角。</explain>
      <paraID> 1BB9142</paraID>
      <start>30</start>
      <end>35</end>
      <status>modified</status>
      <modifiedWord>15:00</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66efc-cb02-48b4-abc1-906af6ed262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2828</Words>
  <Characters>2965</Characters>
  <Lines>11</Lines>
  <Paragraphs>3</Paragraphs>
  <TotalTime>6</TotalTime>
  <ScaleCrop>false</ScaleCrop>
  <LinksUpToDate>false</LinksUpToDate>
  <CharactersWithSpaces>3088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2015-05-22T01:08:00Z</dcterms:created>
  <dc:creator>island</dc:creator>
  <cp:lastModifiedBy>吴丹丹</cp:lastModifiedBy>
  <cp:lastPrinted>2025-04-15T01:20:00Z</cp:lastPrinted>
  <dcterms:modified xsi:type="dcterms:W3CDTF">2026-05-06T08:47:23Z</dcterms:modified>
  <dc:title>关于开展“艾滋病防治知识进校园”活动的通知</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0EDC4DCF563D46B095D986050F9A40A5_13</vt:lpwstr>
  </property>
  <property fmtid="{D5CDD505-2E9C-101B-9397-08002B2CF9AE}" pid="4" name="KSOTemplateDocerSaveRecord">
    <vt:lpwstr>eyJoZGlkIjoiOGIyOTIwYmI4ZmI1YTU1MDk2NDYxZjczYWJjMmJkMzUiLCJ1c2VySWQiOiIxOTU0MjA5MDgifQ==</vt:lpwstr>
  </property>
</Properties>
</file>