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C8F741">
      <w:pPr>
        <w:spacing w:line="590" w:lineRule="exact"/>
        <w:rPr>
          <w:rFonts w:hint="eastAsia" w:ascii="黑体" w:hAnsi="黑体" w:eastAsia="黑体" w:cs="仿宋"/>
          <w:sz w:val="32"/>
          <w:szCs w:val="32"/>
        </w:rPr>
      </w:pPr>
      <w:r>
        <w:rPr>
          <w:rFonts w:hint="eastAsia" w:ascii="仿宋" w:hAnsi="仿宋" w:eastAsia="仿宋" w:cs="仿宋"/>
          <w:sz w:val="32"/>
          <w:szCs w:val="32"/>
        </w:rPr>
        <w:t>附件</w:t>
      </w:r>
      <w:r>
        <w:rPr>
          <w:rFonts w:hint="eastAsia" w:ascii="仿宋" w:hAnsi="仿宋" w:eastAsia="仿宋" w:cs="仿宋"/>
          <w:sz w:val="32"/>
          <w:szCs w:val="32"/>
          <w:lang w:val="en-US" w:eastAsia="zh-CN"/>
        </w:rPr>
        <w:t>1</w:t>
      </w:r>
    </w:p>
    <w:p w14:paraId="4422395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0"/>
          <w:szCs w:val="40"/>
          <w:lang w:val="en-US" w:eastAsia="zh-CN"/>
        </w:rPr>
      </w:pPr>
    </w:p>
    <w:p w14:paraId="5088BBF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2025</w:t>
      </w:r>
      <w:r>
        <w:rPr>
          <w:rFonts w:hint="eastAsia" w:ascii="方正小标宋简体" w:hAnsi="黑体" w:eastAsia="方正小标宋简体" w:cs="Times New Roman"/>
          <w:color w:val="auto"/>
          <w:sz w:val="44"/>
          <w:szCs w:val="44"/>
          <w:lang w:val="en-US" w:eastAsia="zh-CN"/>
        </w:rPr>
        <w:t>年融水苗族自治县</w:t>
      </w:r>
      <w:r>
        <w:rPr>
          <w:rFonts w:hint="eastAsia" w:ascii="方正小标宋简体" w:hAnsi="黑体" w:eastAsia="方正小标宋简体" w:cs="Times New Roman"/>
          <w:sz w:val="44"/>
          <w:szCs w:val="44"/>
          <w:lang w:val="en-US" w:eastAsia="zh-CN"/>
        </w:rPr>
        <w:t>中华经典诵读</w:t>
      </w:r>
    </w:p>
    <w:p w14:paraId="0F06C1B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黑体" w:eastAsia="方正小标宋简体" w:cs="Times New Roman"/>
          <w:sz w:val="44"/>
          <w:szCs w:val="44"/>
          <w:lang w:val="en-US" w:eastAsia="zh-CN"/>
        </w:rPr>
      </w:pPr>
      <w:r>
        <w:rPr>
          <w:rFonts w:hint="eastAsia" w:ascii="方正小标宋简体" w:hAnsi="黑体" w:eastAsia="方正小标宋简体" w:cs="Times New Roman"/>
          <w:sz w:val="44"/>
          <w:szCs w:val="44"/>
          <w:lang w:val="en-US" w:eastAsia="zh-CN"/>
        </w:rPr>
        <w:t>比赛方案</w:t>
      </w:r>
    </w:p>
    <w:p w14:paraId="43A8CDC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黑体" w:eastAsia="方正小标宋简体" w:cs="Times New Roman"/>
          <w:sz w:val="40"/>
          <w:szCs w:val="40"/>
          <w:lang w:val="en-US" w:eastAsia="zh-CN"/>
        </w:rPr>
      </w:pPr>
    </w:p>
    <w:p w14:paraId="6CC96611">
      <w:pPr>
        <w:keepNext w:val="0"/>
        <w:keepLines w:val="0"/>
        <w:pageBreakBefore w:val="0"/>
        <w:widowControl w:val="0"/>
        <w:numPr>
          <w:ilvl w:val="0"/>
          <w:numId w:val="0"/>
        </w:numPr>
        <w:kinsoku/>
        <w:overflowPunct/>
        <w:topLinePunct w:val="0"/>
        <w:autoSpaceDE/>
        <w:autoSpaceDN/>
        <w:bidi w:val="0"/>
        <w:spacing w:line="560" w:lineRule="exact"/>
        <w:ind w:left="63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一、参赛组别</w:t>
      </w:r>
    </w:p>
    <w:p w14:paraId="05D8ED9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个人组设置5个组别：</w:t>
      </w:r>
      <w:r>
        <w:rPr>
          <w:rFonts w:hint="eastAsia" w:ascii="仿宋_GB2312" w:hAnsi="仿宋_GB2312" w:eastAsia="仿宋_GB2312" w:cs="仿宋_GB2312"/>
          <w:color w:val="000000" w:themeColor="text1"/>
          <w:spacing w:val="-1"/>
          <w:sz w:val="32"/>
          <w:szCs w:val="32"/>
          <w14:textFill>
            <w14:solidFill>
              <w14:schemeClr w14:val="tx1"/>
            </w14:solidFill>
          </w14:textFill>
        </w:rPr>
        <w:t>小学生组、初中学生组、高中和中</w:t>
      </w:r>
      <w:r>
        <w:rPr>
          <w:rFonts w:hint="eastAsia" w:ascii="仿宋_GB2312" w:hAnsi="仿宋_GB2312" w:eastAsia="仿宋_GB2312" w:cs="仿宋_GB2312"/>
          <w:color w:val="000000" w:themeColor="text1"/>
          <w:spacing w:val="7"/>
          <w:sz w:val="32"/>
          <w:szCs w:val="32"/>
          <w14:textFill>
            <w14:solidFill>
              <w14:schemeClr w14:val="tx1"/>
            </w14:solidFill>
          </w14:textFill>
        </w:rPr>
        <w:t>职学生组、</w:t>
      </w: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教师组、综合组。</w:t>
      </w:r>
    </w:p>
    <w:p w14:paraId="35CFD3C5">
      <w:pPr>
        <w:keepNext w:val="0"/>
        <w:keepLines w:val="0"/>
        <w:pageBreakBefore w:val="0"/>
        <w:widowControl w:val="0"/>
        <w:kinsoku/>
        <w:wordWrap/>
        <w:overflowPunct/>
        <w:topLinePunct w:val="0"/>
        <w:autoSpaceDE/>
        <w:autoSpaceDN/>
        <w:bidi w:val="0"/>
        <w:adjustRightInd/>
        <w:snapToGrid/>
        <w:spacing w:line="560" w:lineRule="exact"/>
        <w:ind w:firstLine="668" w:firstLineChars="200"/>
        <w:jc w:val="left"/>
        <w:textAlignment w:val="auto"/>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pPr>
      <w:r>
        <w:rPr>
          <w:rFonts w:hint="eastAsia" w:ascii="仿宋_GB2312" w:hAnsi="仿宋_GB2312" w:eastAsia="仿宋_GB2312" w:cs="仿宋_GB2312"/>
          <w:color w:val="000000" w:themeColor="text1"/>
          <w:spacing w:val="7"/>
          <w:sz w:val="32"/>
          <w:szCs w:val="32"/>
          <w:lang w:eastAsia="zh-CN"/>
          <w14:textFill>
            <w14:solidFill>
              <w14:schemeClr w14:val="tx1"/>
            </w14:solidFill>
          </w14:textFill>
        </w:rPr>
        <w:t>集体组设置</w:t>
      </w:r>
      <w:r>
        <w:rPr>
          <w:rFonts w:hint="eastAsia" w:ascii="仿宋_GB2312" w:hAnsi="仿宋_GB2312" w:eastAsia="仿宋_GB2312" w:cs="仿宋_GB2312"/>
          <w:color w:val="000000" w:themeColor="text1"/>
          <w:spacing w:val="7"/>
          <w:sz w:val="32"/>
          <w:szCs w:val="32"/>
          <w:lang w:val="en-US" w:eastAsia="zh-CN"/>
          <w14:textFill>
            <w14:solidFill>
              <w14:schemeClr w14:val="tx1"/>
            </w14:solidFill>
          </w14:textFill>
        </w:rPr>
        <w:t>4个组别：</w:t>
      </w:r>
      <w:r>
        <w:rPr>
          <w:rFonts w:hint="eastAsia" w:ascii="仿宋_GB2312" w:hAnsi="仿宋_GB2312" w:eastAsia="仿宋_GB2312" w:cs="仿宋_GB2312"/>
          <w:color w:val="000000" w:themeColor="text1"/>
          <w:spacing w:val="-1"/>
          <w:sz w:val="32"/>
          <w:szCs w:val="32"/>
          <w14:textFill>
            <w14:solidFill>
              <w14:schemeClr w14:val="tx1"/>
            </w14:solidFill>
          </w14:textFill>
        </w:rPr>
        <w:t>小学生</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集体</w:t>
      </w:r>
      <w:r>
        <w:rPr>
          <w:rFonts w:hint="eastAsia" w:ascii="仿宋_GB2312" w:hAnsi="仿宋_GB2312" w:eastAsia="仿宋_GB2312" w:cs="仿宋_GB2312"/>
          <w:color w:val="000000" w:themeColor="text1"/>
          <w:spacing w:val="-1"/>
          <w:sz w:val="32"/>
          <w:szCs w:val="32"/>
          <w14:textFill>
            <w14:solidFill>
              <w14:schemeClr w14:val="tx1"/>
            </w14:solidFill>
          </w14:textFill>
        </w:rPr>
        <w:t>组、</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中学（中职）生集体组、教师集体组、综合集体组。</w:t>
      </w:r>
    </w:p>
    <w:p w14:paraId="75B7B5FE">
      <w:pPr>
        <w:keepNext w:val="0"/>
        <w:keepLines w:val="0"/>
        <w:pageBreakBefore w:val="0"/>
        <w:widowControl w:val="0"/>
        <w:numPr>
          <w:ilvl w:val="0"/>
          <w:numId w:val="0"/>
        </w:numPr>
        <w:kinsoku/>
        <w:overflowPunct/>
        <w:topLinePunct w:val="0"/>
        <w:autoSpaceDE/>
        <w:autoSpaceDN/>
        <w:bidi w:val="0"/>
        <w:spacing w:line="560" w:lineRule="exact"/>
        <w:ind w:left="630" w:leftChars="0"/>
        <w:jc w:val="both"/>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二、参赛对象</w:t>
      </w:r>
    </w:p>
    <w:p w14:paraId="7319067E">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（一）学生组选手为在我县学校就读的在校生。</w:t>
      </w:r>
    </w:p>
    <w:p w14:paraId="5F3448F9">
      <w:pPr>
        <w:pStyle w:val="2"/>
        <w:ind w:left="0" w:leftChars="0"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（二）教师组选手为在我县各级各类学校任教的在职教师。</w:t>
      </w:r>
    </w:p>
    <w:p w14:paraId="7AEA429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pP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综合组参赛对象为各乡镇干部职工、</w:t>
      </w:r>
      <w:r>
        <w:rPr>
          <w:rFonts w:hint="eastAsia" w:ascii="仿宋_GB2312" w:hAnsi="仿宋_GB2312" w:eastAsia="仿宋_GB2312" w:cs="仿宋_GB2312"/>
          <w:spacing w:val="5"/>
          <w:sz w:val="32"/>
          <w:szCs w:val="32"/>
        </w:rPr>
        <w:t>语言文字规范化试点村</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群众、社会各界人士，</w:t>
      </w:r>
      <w:r>
        <w:rPr>
          <w:rFonts w:hint="eastAsia" w:ascii="仿宋_GB2312" w:hAnsi="仿宋_GB2312" w:eastAsia="仿宋_GB2312" w:cs="仿宋_GB2312"/>
          <w:spacing w:val="-3"/>
          <w:sz w:val="32"/>
          <w:szCs w:val="32"/>
        </w:rPr>
        <w:t>鼓励以家庭为单位，</w:t>
      </w:r>
      <w:r>
        <w:rPr>
          <w:rFonts w:hint="eastAsia" w:ascii="仿宋_GB2312" w:hAnsi="仿宋_GB2312" w:eastAsia="仿宋_GB2312" w:cs="仿宋_GB2312"/>
          <w:spacing w:val="8"/>
          <w:sz w:val="32"/>
          <w:szCs w:val="32"/>
        </w:rPr>
        <w:t>小手拉大手参加</w:t>
      </w:r>
      <w:r>
        <w:rPr>
          <w:rFonts w:hint="eastAsia" w:ascii="仿宋_GB2312" w:hAnsi="仿宋_GB2312" w:eastAsia="仿宋_GB2312" w:cs="仿宋_GB2312"/>
          <w:color w:val="000000" w:themeColor="text1"/>
          <w:spacing w:val="-1"/>
          <w:sz w:val="32"/>
          <w:szCs w:val="32"/>
          <w:lang w:eastAsia="zh-CN"/>
          <w14:textFill>
            <w14:solidFill>
              <w14:schemeClr w14:val="tx1"/>
            </w14:solidFill>
          </w14:textFill>
        </w:rPr>
        <w:t>。</w:t>
      </w:r>
    </w:p>
    <w:p w14:paraId="775E2585">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三、参赛方式</w:t>
      </w:r>
    </w:p>
    <w:p w14:paraId="323438C6">
      <w:pPr>
        <w:keepNext w:val="0"/>
        <w:keepLines w:val="0"/>
        <w:pageBreakBefore w:val="0"/>
        <w:widowControl w:val="0"/>
        <w:kinsoku/>
        <w:overflowPunct/>
        <w:topLinePunct w:val="0"/>
        <w:autoSpaceDE/>
        <w:autoSpaceDN/>
        <w:bidi w:val="0"/>
        <w:snapToGrid w:val="0"/>
        <w:spacing w:line="560" w:lineRule="exact"/>
        <w:ind w:firstLine="640" w:firstLineChars="200"/>
        <w:textAlignment w:val="auto"/>
        <w:rPr>
          <w:rFonts w:hint="default"/>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所有选手都参加现场比赛。</w:t>
      </w:r>
    </w:p>
    <w:p w14:paraId="479368C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sz w:val="32"/>
          <w:szCs w:val="32"/>
          <w:lang w:val="en-US" w:eastAsia="zh-CN"/>
        </w:rPr>
        <w:t>四、参赛名额分配</w:t>
      </w:r>
    </w:p>
    <w:p w14:paraId="088DDB52">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各学校根据本校实际情况推选选手参加比赛。</w:t>
      </w:r>
    </w:p>
    <w:p w14:paraId="4AD371CA">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（一）个人组</w:t>
      </w:r>
    </w:p>
    <w:p w14:paraId="06FDB1B5">
      <w:pPr>
        <w:pStyle w:val="2"/>
        <w:keepNext w:val="0"/>
        <w:keepLines w:val="0"/>
        <w:pageBreakBefore w:val="0"/>
        <w:widowControl w:val="0"/>
        <w:kinsoku/>
        <w:overflowPunct/>
        <w:topLinePunct w:val="0"/>
        <w:autoSpaceDE/>
        <w:autoSpaceDN/>
        <w:bidi w:val="0"/>
        <w:spacing w:line="560" w:lineRule="exact"/>
        <w:ind w:left="0" w:leftChars="0" w:firstLine="640" w:firstLineChars="200"/>
        <w:textAlignment w:val="auto"/>
        <w:rPr>
          <w:rFonts w:hint="eastAsia" w:ascii="仿宋_GB2312" w:hAnsi="仿宋_GB2312" w:eastAsia="仿宋_GB2312" w:cs="仿宋_GB231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1.县城小学学校、初级中学，</w:t>
      </w:r>
      <w:bookmarkStart w:id="0" w:name="OLE_LINK2"/>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每校推选学生、教师各1-2名选手；</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乡镇小学学校、初级中学、特殊教育学校，每校推选学生、教师各1名选手。</w:t>
      </w:r>
    </w:p>
    <w:p w14:paraId="3A07D7C8">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高中学生组（含中职）每所学校推选2名选手，每年播音主持艺考超过10名的高中段学校可加报1名。</w:t>
      </w:r>
    </w:p>
    <w:p w14:paraId="5499B696">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全县公办幼儿园（教师），每园推选1名教师选手。</w:t>
      </w:r>
    </w:p>
    <w:p w14:paraId="75ED4BF0">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综合组：</w:t>
      </w: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一个</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人可以报名参加个人组赛和集体组中的一队比赛。</w:t>
      </w:r>
    </w:p>
    <w:p w14:paraId="69170626">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楷体_GB2312" w:hAnsi="楷体_GB2312" w:eastAsia="楷体_GB2312" w:cs="楷体_GB2312"/>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color w:val="000000" w:themeColor="text1"/>
          <w:sz w:val="32"/>
          <w:szCs w:val="32"/>
          <w:lang w:val="en-US" w:eastAsia="zh-CN"/>
          <w14:textFill>
            <w14:solidFill>
              <w14:schemeClr w14:val="tx1"/>
            </w14:solidFill>
          </w14:textFill>
        </w:rPr>
        <w:t>（二）集体组</w:t>
      </w:r>
    </w:p>
    <w:p w14:paraId="15CD2CDB">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全县公办幼儿园（教师）每园推选1队参赛；中小学校每校推选学生、教师各1队</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参赛，</w:t>
      </w:r>
      <w:r>
        <w:rPr>
          <w:rFonts w:hint="eastAsia" w:ascii="仿宋_GB2312" w:hAnsi="仿宋_GB2312" w:eastAsia="仿宋_GB2312" w:cs="仿宋_GB2312"/>
          <w:spacing w:val="5"/>
          <w:sz w:val="32"/>
          <w:szCs w:val="32"/>
        </w:rPr>
        <w:t>每个参赛</w:t>
      </w:r>
      <w:r>
        <w:rPr>
          <w:rFonts w:hint="eastAsia" w:ascii="仿宋_GB2312" w:hAnsi="仿宋_GB2312" w:eastAsia="仿宋_GB2312" w:cs="仿宋_GB2312"/>
          <w:spacing w:val="-74"/>
          <w:sz w:val="32"/>
          <w:szCs w:val="32"/>
        </w:rPr>
        <w:t xml:space="preserve"> </w:t>
      </w:r>
      <w:r>
        <w:rPr>
          <w:rFonts w:hint="eastAsia" w:ascii="仿宋_GB2312" w:hAnsi="仿宋_GB2312" w:eastAsia="仿宋_GB2312" w:cs="仿宋_GB2312"/>
          <w:spacing w:val="5"/>
          <w:sz w:val="32"/>
          <w:szCs w:val="32"/>
        </w:rPr>
        <w:t>队诵读人数为</w:t>
      </w:r>
      <w:r>
        <w:rPr>
          <w:rFonts w:hint="eastAsia" w:ascii="仿宋_GB2312" w:hAnsi="仿宋_GB2312" w:eastAsia="仿宋_GB2312" w:cs="仿宋_GB2312"/>
          <w:spacing w:val="-70"/>
          <w:sz w:val="32"/>
          <w:szCs w:val="32"/>
        </w:rPr>
        <w:t xml:space="preserve"> </w:t>
      </w:r>
      <w:r>
        <w:rPr>
          <w:rFonts w:hint="eastAsia" w:ascii="仿宋_GB2312" w:hAnsi="仿宋_GB2312" w:eastAsia="仿宋_GB2312" w:cs="仿宋_GB2312"/>
          <w:spacing w:val="5"/>
          <w:sz w:val="32"/>
          <w:szCs w:val="32"/>
        </w:rPr>
        <w:t>2—20人</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。除综合组外</w:t>
      </w:r>
      <w:bookmarkStart w:id="1" w:name="OLE_LINK10"/>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spacing w:val="2"/>
          <w:sz w:val="32"/>
          <w:szCs w:val="32"/>
        </w:rPr>
        <w:t>不同组别的选手不能联合组队，作品</w:t>
      </w:r>
      <w:r>
        <w:rPr>
          <w:rFonts w:hint="eastAsia" w:ascii="仿宋_GB2312" w:hAnsi="仿宋_GB2312" w:eastAsia="仿宋_GB2312" w:cs="仿宋_GB2312"/>
          <w:spacing w:val="-72"/>
          <w:sz w:val="32"/>
          <w:szCs w:val="32"/>
        </w:rPr>
        <w:t xml:space="preserve"> </w:t>
      </w:r>
      <w:r>
        <w:rPr>
          <w:rFonts w:hint="eastAsia" w:ascii="仿宋_GB2312" w:hAnsi="仿宋_GB2312" w:eastAsia="仿宋_GB2312" w:cs="仿宋_GB2312"/>
          <w:spacing w:val="2"/>
          <w:sz w:val="32"/>
          <w:szCs w:val="32"/>
        </w:rPr>
        <w:t>报送后人员不</w:t>
      </w:r>
      <w:bookmarkEnd w:id="1"/>
      <w:r>
        <w:rPr>
          <w:rFonts w:hint="eastAsia" w:ascii="仿宋_GB2312" w:hAnsi="仿宋_GB2312" w:eastAsia="仿宋_GB2312" w:cs="仿宋_GB2312"/>
          <w:spacing w:val="6"/>
          <w:sz w:val="32"/>
          <w:szCs w:val="32"/>
        </w:rPr>
        <w:t>得替换、不得增加。</w:t>
      </w:r>
    </w:p>
    <w:p w14:paraId="4E762CEC">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五、参赛要求</w:t>
      </w:r>
    </w:p>
    <w:p w14:paraId="062E6CE7">
      <w:pPr>
        <w:pStyle w:val="6"/>
        <w:keepNext w:val="0"/>
        <w:keepLines w:val="0"/>
        <w:pageBreakBefore w:val="0"/>
        <w:widowControl w:val="0"/>
        <w:kinsoku/>
        <w:overflowPunct/>
        <w:topLinePunct w:val="0"/>
        <w:autoSpaceDE/>
        <w:autoSpaceDN/>
        <w:bidi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kern w:val="0"/>
          <w:sz w:val="32"/>
          <w:szCs w:val="32"/>
          <w:lang w:val="en-US" w:eastAsia="zh-CN"/>
          <w14:textFill>
            <w14:solidFill>
              <w14:schemeClr w14:val="tx1"/>
            </w14:solidFill>
          </w14:textFill>
        </w:rPr>
        <w:t>（一）篇目要求。</w:t>
      </w:r>
      <w:r>
        <w:rPr>
          <w:rFonts w:hint="eastAsia" w:ascii="仿宋_GB2312" w:hAnsi="仿宋_GB2312" w:eastAsia="仿宋_GB2312" w:cs="仿宋_GB2312"/>
          <w:color w:val="000000" w:themeColor="text1"/>
          <w:kern w:val="0"/>
          <w:sz w:val="32"/>
          <w:szCs w:val="32"/>
          <w14:textFill>
            <w14:solidFill>
              <w14:schemeClr w14:val="tx1"/>
            </w14:solidFill>
          </w14:textFill>
        </w:rPr>
        <w:t>每个</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（队）参赛选手诵读</w:t>
      </w:r>
      <w:r>
        <w:rPr>
          <w:rFonts w:hint="eastAsia" w:ascii="仿宋_GB2312" w:hAnsi="仿宋_GB2312" w:eastAsia="仿宋_GB2312" w:cs="仿宋_GB2312"/>
          <w:color w:val="000000" w:themeColor="text1"/>
          <w:kern w:val="0"/>
          <w:sz w:val="32"/>
          <w:szCs w:val="32"/>
          <w14:textFill>
            <w14:solidFill>
              <w14:schemeClr w14:val="tx1"/>
            </w14:solidFill>
          </w14:textFill>
        </w:rPr>
        <w:t>作品2篇，其中指定篇目和自选篇目各</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kern w:val="0"/>
          <w:sz w:val="32"/>
          <w:szCs w:val="32"/>
          <w14:textFill>
            <w14:solidFill>
              <w14:schemeClr w14:val="tx1"/>
            </w14:solidFill>
          </w14:textFill>
        </w:rPr>
        <w:t>篇</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，每个篇目诵读时间为</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3—4分钟（从配乐或诵读声响起开始计时）。</w:t>
      </w:r>
      <w:r>
        <w:rPr>
          <w:rFonts w:hint="eastAsia" w:ascii="仿宋_GB2312" w:hAnsi="仿宋_GB2312" w:eastAsia="仿宋_GB2312" w:cs="仿宋_GB2312"/>
          <w:color w:val="000000" w:themeColor="text1"/>
          <w:kern w:val="0"/>
          <w:sz w:val="32"/>
          <w:szCs w:val="32"/>
          <w14:textFill>
            <w14:solidFill>
              <w14:schemeClr w14:val="tx1"/>
            </w14:solidFill>
          </w14:textFill>
        </w:rPr>
        <w:t>指定篇目为古代作品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（可选择</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1个或者多个古代作品诵读</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自选篇目</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由</w:t>
      </w:r>
      <w:r>
        <w:rPr>
          <w:rFonts w:hint="eastAsia" w:ascii="仿宋_GB2312" w:hAnsi="仿宋_GB2312" w:eastAsia="仿宋_GB2312" w:cs="仿宋_GB2312"/>
          <w:color w:val="000000" w:themeColor="text1"/>
          <w:kern w:val="0"/>
          <w:sz w:val="32"/>
          <w:szCs w:val="32"/>
          <w14:textFill>
            <w14:solidFill>
              <w14:schemeClr w14:val="tx1"/>
            </w14:solidFill>
          </w14:textFill>
        </w:rPr>
        <w:t>选手</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自行选择，</w:t>
      </w:r>
      <w:r>
        <w:rPr>
          <w:rFonts w:hint="eastAsia" w:ascii="仿宋_GB2312" w:hAnsi="仿宋_GB2312" w:eastAsia="仿宋_GB2312" w:cs="仿宋_GB2312"/>
          <w:color w:val="000000" w:themeColor="text1"/>
          <w:kern w:val="0"/>
          <w:sz w:val="32"/>
          <w:szCs w:val="32"/>
          <w14:textFill>
            <w14:solidFill>
              <w14:schemeClr w14:val="tx1"/>
            </w14:solidFill>
          </w14:textFill>
        </w:rPr>
        <w:t>古代</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w:t>
      </w:r>
      <w:r>
        <w:rPr>
          <w:rFonts w:hint="eastAsia" w:ascii="仿宋_GB2312" w:hAnsi="仿宋_GB2312" w:eastAsia="仿宋_GB2312" w:cs="仿宋_GB2312"/>
          <w:color w:val="000000" w:themeColor="text1"/>
          <w:kern w:val="0"/>
          <w:sz w:val="32"/>
          <w:szCs w:val="32"/>
          <w14:textFill>
            <w14:solidFill>
              <w14:schemeClr w14:val="tx1"/>
            </w14:solidFill>
          </w14:textFill>
        </w:rPr>
        <w:t>近现代作品</w:t>
      </w:r>
      <w:r>
        <w:rPr>
          <w:rFonts w:hint="eastAsia" w:ascii="仿宋_GB2312" w:hAnsi="仿宋_GB2312" w:eastAsia="仿宋_GB2312" w:cs="仿宋_GB2312"/>
          <w:color w:val="000000" w:themeColor="text1"/>
          <w:kern w:val="0"/>
          <w:sz w:val="32"/>
          <w:szCs w:val="32"/>
          <w:lang w:eastAsia="zh-CN"/>
          <w14:textFill>
            <w14:solidFill>
              <w14:schemeClr w14:val="tx1"/>
            </w14:solidFill>
          </w14:textFill>
        </w:rPr>
        <w:t>均可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。按照先指定篇目、后自选篇目的顺序</w:t>
      </w:r>
      <w:r>
        <w:rPr>
          <w:rFonts w:hint="eastAsia" w:ascii="仿宋_GB2312" w:hAnsi="仿宋_GB2312" w:eastAsia="仿宋_GB2312" w:cs="仿宋_GB2312"/>
          <w:bCs/>
          <w:color w:val="000000" w:themeColor="text1"/>
          <w:spacing w:val="24"/>
          <w:kern w:val="0"/>
          <w:sz w:val="32"/>
          <w:szCs w:val="32"/>
          <w:lang w:eastAsia="zh-CN"/>
          <w14:textFill>
            <w14:solidFill>
              <w14:schemeClr w14:val="tx1"/>
            </w14:solidFill>
          </w14:textFill>
        </w:rPr>
        <w:t>一并完成。</w:t>
      </w: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可以选择二个篇目均不配乐，如需配乐则必须在第一个篇目诵读时播放。</w:t>
      </w:r>
    </w:p>
    <w:p w14:paraId="35B03614">
      <w:pPr>
        <w:pStyle w:val="6"/>
        <w:keepNext w:val="0"/>
        <w:keepLines w:val="0"/>
        <w:pageBreakBefore w:val="0"/>
        <w:widowControl w:val="0"/>
        <w:kinsoku/>
        <w:overflowPunct/>
        <w:topLinePunct w:val="0"/>
        <w:autoSpaceDE/>
        <w:autoSpaceDN/>
        <w:bidi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诵读的作品应符合以下要求：</w:t>
      </w:r>
    </w:p>
    <w:p w14:paraId="25622C2F">
      <w:pPr>
        <w:pStyle w:val="6"/>
        <w:keepNext w:val="0"/>
        <w:keepLines w:val="0"/>
        <w:pageBreakBefore w:val="0"/>
        <w:widowControl w:val="0"/>
        <w:kinsoku/>
        <w:overflowPunct/>
        <w:topLinePunct w:val="0"/>
        <w:autoSpaceDE/>
        <w:autoSpaceDN/>
        <w:bidi w:val="0"/>
        <w:snapToGrid w:val="0"/>
        <w:spacing w:after="0" w:line="560" w:lineRule="exact"/>
        <w:ind w:left="0" w:leftChars="0" w:firstLine="656" w:firstLineChars="200"/>
        <w:textAlignment w:val="auto"/>
        <w:rPr>
          <w:rFonts w:hint="eastAsia" w:ascii="仿宋_GB2312" w:hAnsi="仿宋_GB2312" w:eastAsia="仿宋_GB2312" w:cs="仿宋_GB2312"/>
          <w:color w:val="000000" w:themeColor="text1"/>
          <w:spacing w:val="7"/>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4"/>
          <w:sz w:val="32"/>
          <w:szCs w:val="32"/>
          <w14:textFill>
            <w14:solidFill>
              <w14:schemeClr w14:val="tx1"/>
            </w14:solidFill>
          </w14:textFill>
        </w:rPr>
        <w:t>内容健康向上，体现中华优秀传统文化、革命文化和社会主义先进文化，或彰显中华语言文化魅力，展现当地深厚历史文</w:t>
      </w:r>
      <w:r>
        <w:rPr>
          <w:rFonts w:hint="eastAsia" w:ascii="仿宋_GB2312" w:hAnsi="仿宋_GB2312" w:eastAsia="仿宋_GB2312" w:cs="仿宋_GB2312"/>
          <w:color w:val="000000" w:themeColor="text1"/>
          <w:spacing w:val="7"/>
          <w:sz w:val="32"/>
          <w:szCs w:val="32"/>
          <w14:textFill>
            <w14:solidFill>
              <w14:schemeClr w14:val="tx1"/>
            </w14:solidFill>
          </w14:textFill>
        </w:rPr>
        <w:t>化特点的中华经典诗文。</w:t>
      </w:r>
    </w:p>
    <w:p w14:paraId="2ABB7E4A">
      <w:pPr>
        <w:pStyle w:val="6"/>
        <w:keepNext w:val="0"/>
        <w:keepLines w:val="0"/>
        <w:pageBreakBefore w:val="0"/>
        <w:widowControl w:val="0"/>
        <w:kinsoku/>
        <w:overflowPunct/>
        <w:topLinePunct w:val="0"/>
        <w:autoSpaceDE/>
        <w:autoSpaceDN/>
        <w:bidi w:val="0"/>
        <w:snapToGrid w:val="0"/>
        <w:spacing w:after="0" w:line="560" w:lineRule="exact"/>
        <w:ind w:left="0" w:leftChars="0" w:firstLine="668"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仿宋_GB2312" w:hAnsi="仿宋_GB2312" w:eastAsia="仿宋_GB2312" w:cs="仿宋_GB2312"/>
          <w:color w:val="000000" w:themeColor="text1"/>
          <w:spacing w:val="7"/>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4"/>
          <w:sz w:val="32"/>
          <w:szCs w:val="32"/>
          <w14:textFill>
            <w14:solidFill>
              <w14:schemeClr w14:val="tx1"/>
            </w14:solidFill>
          </w14:textFill>
        </w:rPr>
        <w:t>反映人民群众对美好生活的向往，抒发家国情怀，弘扬正能量，以及歌颂为全面建成小康社会而奋斗的英雄楷模的优秀作品；生动讲述中国共产党奋斗历程，歌颂建党以来我国取得的伟</w:t>
      </w:r>
      <w:r>
        <w:rPr>
          <w:rFonts w:hint="eastAsia" w:ascii="仿宋_GB2312" w:hAnsi="仿宋_GB2312" w:eastAsia="仿宋_GB2312" w:cs="仿宋_GB2312"/>
          <w:color w:val="000000" w:themeColor="text1"/>
          <w:spacing w:val="6"/>
          <w:sz w:val="32"/>
          <w:szCs w:val="32"/>
          <w14:textFill>
            <w14:solidFill>
              <w14:schemeClr w14:val="tx1"/>
            </w14:solidFill>
          </w14:textFill>
        </w:rPr>
        <w:t>大成就的优秀作品。</w:t>
      </w:r>
    </w:p>
    <w:p w14:paraId="18316924">
      <w:pPr>
        <w:pStyle w:val="6"/>
        <w:keepNext w:val="0"/>
        <w:keepLines w:val="0"/>
        <w:pageBreakBefore w:val="0"/>
        <w:widowControl w:val="0"/>
        <w:kinsoku/>
        <w:overflowPunct/>
        <w:topLinePunct w:val="0"/>
        <w:autoSpaceDE/>
        <w:autoSpaceDN/>
        <w:bidi w:val="0"/>
        <w:snapToGrid w:val="0"/>
        <w:spacing w:after="0" w:line="560" w:lineRule="exact"/>
        <w:ind w:left="0" w:leftChars="0" w:firstLine="664" w:firstLineChars="200"/>
        <w:textAlignment w:val="auto"/>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6"/>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pacing w:val="4"/>
          <w:sz w:val="32"/>
          <w:szCs w:val="32"/>
          <w14:textFill>
            <w14:solidFill>
              <w14:schemeClr w14:val="tx1"/>
            </w14:solidFill>
          </w14:textFill>
        </w:rPr>
        <w:t>赞扬为脱贫攻坚、乡村振兴工作做出贡献的一线干部、各</w:t>
      </w:r>
      <w:r>
        <w:rPr>
          <w:rFonts w:hint="eastAsia" w:ascii="仿宋_GB2312" w:hAnsi="仿宋_GB2312" w:eastAsia="仿宋_GB2312" w:cs="仿宋_GB2312"/>
          <w:color w:val="000000" w:themeColor="text1"/>
          <w:spacing w:val="7"/>
          <w:sz w:val="32"/>
          <w:szCs w:val="32"/>
          <w14:textFill>
            <w14:solidFill>
              <w14:schemeClr w14:val="tx1"/>
            </w14:solidFill>
          </w14:textFill>
        </w:rPr>
        <w:t>行业英雄，体现全国各族人民干事创业、艰苦奋斗的优秀作品。</w:t>
      </w:r>
    </w:p>
    <w:p w14:paraId="555264B2">
      <w:pPr>
        <w:pStyle w:val="6"/>
        <w:keepNext w:val="0"/>
        <w:keepLines w:val="0"/>
        <w:pageBreakBefore w:val="0"/>
        <w:widowControl w:val="0"/>
        <w:kinsoku/>
        <w:overflowPunct/>
        <w:topLinePunct w:val="0"/>
        <w:autoSpaceDE/>
        <w:autoSpaceDN/>
        <w:bidi w:val="0"/>
        <w:snapToGrid w:val="0"/>
        <w:spacing w:after="0" w:line="560" w:lineRule="exact"/>
        <w:ind w:left="0" w:leftChars="0" w:firstLine="656" w:firstLineChars="200"/>
        <w:textAlignment w:val="auto"/>
        <w:rPr>
          <w:rFonts w:hint="eastAsia" w:ascii="仿宋_GB2312" w:hAnsi="仿宋_GB2312" w:eastAsia="仿宋_GB2312" w:cs="仿宋_GB2312"/>
          <w:color w:val="000000" w:themeColor="text1"/>
          <w:spacing w:val="-2"/>
          <w:sz w:val="32"/>
          <w:szCs w:val="32"/>
          <w14:textFill>
            <w14:solidFill>
              <w14:schemeClr w14:val="tx1"/>
            </w14:solidFill>
          </w14:textFill>
        </w:rPr>
      </w:pPr>
      <w:r>
        <w:rPr>
          <w:rFonts w:hint="eastAsia" w:ascii="仿宋_GB2312" w:hAnsi="仿宋_GB2312" w:eastAsia="仿宋_GB2312" w:cs="仿宋_GB2312"/>
          <w:color w:val="000000" w:themeColor="text1"/>
          <w:spacing w:val="4"/>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pacing w:val="4"/>
          <w:sz w:val="32"/>
          <w:szCs w:val="32"/>
          <w14:textFill>
            <w14:solidFill>
              <w14:schemeClr w14:val="tx1"/>
            </w14:solidFill>
          </w14:textFill>
        </w:rPr>
        <w:t>古代、近现代和当代有社会影响力的优秀文学作品，教育部统编版中小学语文教材、以及高校和中职学校相关教材中的课</w:t>
      </w:r>
      <w:r>
        <w:rPr>
          <w:rFonts w:hint="eastAsia" w:ascii="仿宋_GB2312" w:hAnsi="仿宋_GB2312" w:eastAsia="仿宋_GB2312" w:cs="仿宋_GB2312"/>
          <w:color w:val="000000" w:themeColor="text1"/>
          <w:spacing w:val="6"/>
          <w:sz w:val="32"/>
          <w:szCs w:val="32"/>
          <w14:textFill>
            <w14:solidFill>
              <w14:schemeClr w14:val="tx1"/>
            </w14:solidFill>
          </w14:textFill>
        </w:rPr>
        <w:t>文等，体裁不限</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。当代作品应已经正式出版或由省级以上广播电视主流媒体公开发布或发表。</w:t>
      </w:r>
      <w:r>
        <w:rPr>
          <w:rFonts w:hint="eastAsia" w:ascii="仿宋_GB2312" w:hAnsi="仿宋_GB2312" w:eastAsia="仿宋_GB2312" w:cs="仿宋_GB2312"/>
          <w:color w:val="000000" w:themeColor="text1"/>
          <w:spacing w:val="-2"/>
          <w:sz w:val="32"/>
          <w:szCs w:val="32"/>
          <w14:textFill>
            <w14:solidFill>
              <w14:schemeClr w14:val="tx1"/>
            </w14:solidFill>
          </w14:textFill>
        </w:rPr>
        <w:t>外国作品、网络作品、佚名作品和自创作品等不能作为自选篇目。</w:t>
      </w:r>
    </w:p>
    <w:p w14:paraId="29975D17">
      <w:pPr>
        <w:pStyle w:val="6"/>
        <w:keepNext w:val="0"/>
        <w:keepLines w:val="0"/>
        <w:pageBreakBefore w:val="0"/>
        <w:widowControl w:val="0"/>
        <w:kinsoku/>
        <w:overflowPunct/>
        <w:topLinePunct w:val="0"/>
        <w:autoSpaceDE/>
        <w:autoSpaceDN/>
        <w:bidi w:val="0"/>
        <w:snapToGrid w:val="0"/>
        <w:spacing w:after="0" w:line="560" w:lineRule="exact"/>
        <w:ind w:left="0" w:leftChars="0" w:firstLine="632" w:firstLineChars="200"/>
        <w:textAlignment w:val="auto"/>
        <w:rPr>
          <w:rFonts w:hint="default" w:ascii="仿宋_GB2312" w:hAnsi="仿宋_GB2312" w:eastAsia="仿宋_GB2312" w:cs="仿宋_GB2312"/>
          <w:color w:val="000000" w:themeColor="text1"/>
          <w:spacing w:val="-2"/>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5.诵读文本主体前后可根据需要增加总计不超过200字的过渡语，计入比赛时长。</w:t>
      </w:r>
      <w:r>
        <w:rPr>
          <w:rFonts w:hint="eastAsia" w:ascii="仿宋_GB2312" w:hAnsi="仿宋_GB2312" w:eastAsia="仿宋_GB2312" w:cs="仿宋_GB2312"/>
          <w:color w:val="auto"/>
          <w:spacing w:val="-2"/>
          <w:sz w:val="32"/>
          <w:szCs w:val="32"/>
          <w:u w:val="none"/>
          <w:lang w:val="en-US" w:eastAsia="zh-CN"/>
        </w:rPr>
        <w:t>参赛</w:t>
      </w:r>
      <w:r>
        <w:rPr>
          <w:rFonts w:hint="eastAsia" w:eastAsia="仿宋_GB2312"/>
          <w:color w:val="auto"/>
          <w:sz w:val="32"/>
          <w:szCs w:val="32"/>
          <w:u w:val="none"/>
          <w:lang w:eastAsia="zh-CN"/>
        </w:rPr>
        <w:t>篇目报送后不得更改</w:t>
      </w:r>
      <w:r>
        <w:rPr>
          <w:rFonts w:eastAsia="仿宋_GB2312"/>
          <w:color w:val="auto"/>
          <w:sz w:val="32"/>
          <w:szCs w:val="32"/>
          <w:u w:val="none"/>
        </w:rPr>
        <w:t>。</w:t>
      </w:r>
    </w:p>
    <w:p w14:paraId="0E19AA72">
      <w:pPr>
        <w:pStyle w:val="6"/>
        <w:keepNext w:val="0"/>
        <w:keepLines w:val="0"/>
        <w:pageBreakBefore w:val="0"/>
        <w:widowControl w:val="0"/>
        <w:kinsoku/>
        <w:overflowPunct/>
        <w:topLinePunct w:val="0"/>
        <w:autoSpaceDE/>
        <w:autoSpaceDN/>
        <w:bidi w:val="0"/>
        <w:snapToGrid w:val="0"/>
        <w:spacing w:after="0" w:line="560" w:lineRule="exact"/>
        <w:ind w:left="0" w:leftChars="0" w:firstLine="736" w:firstLineChars="200"/>
        <w:textAlignment w:val="auto"/>
        <w:rPr>
          <w:rFonts w:hint="eastAsia" w:ascii="楷体_GB2312" w:hAnsi="楷体_GB2312" w:eastAsia="楷体_GB2312" w:cs="楷体_GB2312"/>
          <w:b w:val="0"/>
          <w:bCs/>
          <w:color w:val="000000" w:themeColor="text1"/>
          <w:kern w:val="0"/>
          <w:sz w:val="32"/>
          <w:szCs w:val="32"/>
          <w:lang w:val="en-US" w:eastAsia="zh-CN" w:bidi="ar-SA"/>
          <w14:textFill>
            <w14:solidFill>
              <w14:schemeClr w14:val="tx1"/>
            </w14:solidFill>
          </w14:textFill>
        </w:rPr>
      </w:pPr>
      <w:r>
        <w:rPr>
          <w:rFonts w:hint="eastAsia" w:ascii="楷体_GB2312" w:hAnsi="楷体_GB2312" w:eastAsia="楷体_GB2312" w:cs="楷体_GB2312"/>
          <w:b w:val="0"/>
          <w:bCs/>
          <w:color w:val="000000" w:themeColor="text1"/>
          <w:spacing w:val="24"/>
          <w:kern w:val="0"/>
          <w:sz w:val="32"/>
          <w:szCs w:val="32"/>
          <w:lang w:eastAsia="zh-CN"/>
          <w14:textFill>
            <w14:solidFill>
              <w14:schemeClr w14:val="tx1"/>
            </w14:solidFill>
          </w14:textFill>
        </w:rPr>
        <w:t>（二）</w:t>
      </w:r>
      <w:r>
        <w:rPr>
          <w:rFonts w:hint="eastAsia" w:ascii="楷体_GB2312" w:hAnsi="楷体_GB2312" w:eastAsia="楷体_GB2312" w:cs="楷体_GB2312"/>
          <w:b w:val="0"/>
          <w:bCs/>
          <w:color w:val="000000" w:themeColor="text1"/>
          <w:kern w:val="0"/>
          <w:sz w:val="32"/>
          <w:szCs w:val="32"/>
          <w:lang w:val="en-US" w:eastAsia="zh-CN" w:bidi="ar-SA"/>
          <w14:textFill>
            <w14:solidFill>
              <w14:schemeClr w14:val="tx1"/>
            </w14:solidFill>
          </w14:textFill>
        </w:rPr>
        <w:t>比赛形式</w:t>
      </w:r>
    </w:p>
    <w:p w14:paraId="2048B6DD">
      <w:pPr>
        <w:pStyle w:val="6"/>
        <w:keepNext w:val="0"/>
        <w:keepLines w:val="0"/>
        <w:pageBreakBefore w:val="0"/>
        <w:widowControl w:val="0"/>
        <w:kinsoku/>
        <w:overflowPunct/>
        <w:topLinePunct w:val="0"/>
        <w:autoSpaceDE/>
        <w:autoSpaceDN/>
        <w:bidi w:val="0"/>
        <w:snapToGrid w:val="0"/>
        <w:spacing w:after="0" w:line="560" w:lineRule="exact"/>
        <w:ind w:left="0" w:leftChars="0" w:firstLine="640" w:firstLineChars="200"/>
        <w:textAlignment w:val="auto"/>
        <w:rPr>
          <w:rFonts w:hint="default"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选手全程使用普通话脱稿诵读。每个（队）诵读作品2篇，其中指定篇目和自选篇目各1篇，按照先指定篇目，后自选篇目的顺序诵读。为便于区分，2个篇目之间的配乐间隔3—5秒，每个篇目片头要显示篇目名称</w:t>
      </w:r>
    </w:p>
    <w:p w14:paraId="58F0976A">
      <w:pPr>
        <w:pStyle w:val="6"/>
        <w:keepNext w:val="0"/>
        <w:keepLines w:val="0"/>
        <w:pageBreakBefore w:val="0"/>
        <w:widowControl w:val="0"/>
        <w:kinsoku/>
        <w:overflowPunct/>
        <w:topLinePunct w:val="0"/>
        <w:autoSpaceDE/>
        <w:autoSpaceDN/>
        <w:bidi w:val="0"/>
        <w:snapToGrid w:val="0"/>
        <w:spacing w:after="0" w:line="560" w:lineRule="exact"/>
        <w:ind w:left="0" w:leftChars="0" w:firstLine="640" w:firstLineChars="200"/>
        <w:textAlignment w:val="auto"/>
        <w:rPr>
          <w:rFonts w:hint="eastAsia" w:ascii="仿宋_GB2312" w:hAnsi="仿宋_GB2312" w:eastAsia="仿宋_GB2312" w:cs="仿宋_GB2312"/>
          <w:color w:val="000000" w:themeColor="text1"/>
          <w:spacing w:val="8"/>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小学生组古代和现当代作品诵读时长分别不少于2分钟、不多于3分10秒。中学生及成人组古代和现当代作品诵读时长分别不少于3分，不多于4分，配乐声起开始计时。配乐要在赛前指定时间提交。</w:t>
      </w:r>
      <w:r>
        <w:rPr>
          <w:rFonts w:hint="eastAsia" w:ascii="仿宋_GB2312" w:hAnsi="仿宋_GB2312" w:eastAsia="仿宋_GB2312" w:cs="仿宋_GB2312"/>
          <w:color w:val="000000" w:themeColor="text1"/>
          <w:spacing w:val="4"/>
          <w:sz w:val="32"/>
          <w:szCs w:val="32"/>
          <w14:textFill>
            <w14:solidFill>
              <w14:schemeClr w14:val="tx1"/>
            </w14:solidFill>
          </w14:textFill>
        </w:rPr>
        <w:t>选手</w:t>
      </w:r>
      <w:r>
        <w:rPr>
          <w:rFonts w:hint="eastAsia" w:ascii="仿宋_GB2312" w:hAnsi="仿宋_GB2312" w:eastAsia="仿宋_GB2312" w:cs="仿宋_GB2312"/>
          <w:color w:val="000000" w:themeColor="text1"/>
          <w:spacing w:val="4"/>
          <w:sz w:val="32"/>
          <w:szCs w:val="32"/>
          <w:lang w:eastAsia="zh-CN"/>
          <w14:textFill>
            <w14:solidFill>
              <w14:schemeClr w14:val="tx1"/>
            </w14:solidFill>
          </w14:textFill>
        </w:rPr>
        <w:t>比赛时只报参赛序号</w:t>
      </w:r>
      <w:r>
        <w:rPr>
          <w:rFonts w:hint="eastAsia" w:ascii="仿宋_GB2312" w:hAnsi="仿宋_GB2312" w:eastAsia="仿宋_GB2312" w:cs="仿宋_GB2312"/>
          <w:color w:val="000000" w:themeColor="text1"/>
          <w:spacing w:val="4"/>
          <w:sz w:val="32"/>
          <w:szCs w:val="32"/>
          <w14:textFill>
            <w14:solidFill>
              <w14:schemeClr w14:val="tx1"/>
            </w14:solidFill>
          </w14:textFill>
        </w:rPr>
        <w:t>不</w:t>
      </w:r>
      <w:r>
        <w:rPr>
          <w:rFonts w:hint="eastAsia" w:ascii="仿宋_GB2312" w:hAnsi="仿宋_GB2312" w:eastAsia="仿宋_GB2312" w:cs="仿宋_GB2312"/>
          <w:color w:val="000000" w:themeColor="text1"/>
          <w:spacing w:val="8"/>
          <w:sz w:val="32"/>
          <w:szCs w:val="32"/>
          <w14:textFill>
            <w14:solidFill>
              <w14:schemeClr w14:val="tx1"/>
            </w14:solidFill>
          </w14:textFill>
        </w:rPr>
        <w:t>能透露个人信息</w:t>
      </w:r>
      <w:r>
        <w:rPr>
          <w:rFonts w:hint="eastAsia" w:ascii="仿宋_GB2312" w:hAnsi="仿宋_GB2312" w:eastAsia="仿宋_GB2312" w:cs="仿宋_GB2312"/>
          <w:color w:val="000000" w:themeColor="text1"/>
          <w:spacing w:val="8"/>
          <w:sz w:val="32"/>
          <w:szCs w:val="32"/>
          <w:lang w:eastAsia="zh-CN"/>
          <w14:textFill>
            <w14:solidFill>
              <w14:schemeClr w14:val="tx1"/>
            </w14:solidFill>
          </w14:textFill>
        </w:rPr>
        <w:t>，</w:t>
      </w:r>
      <w:r>
        <w:rPr>
          <w:rFonts w:hint="eastAsia" w:ascii="仿宋_GB2312" w:hAnsi="仿宋_GB2312" w:eastAsia="仿宋_GB2312" w:cs="仿宋_GB2312"/>
          <w:color w:val="000000" w:themeColor="text1"/>
          <w:spacing w:val="8"/>
          <w:sz w:val="32"/>
          <w:szCs w:val="32"/>
          <w14:textFill>
            <w14:solidFill>
              <w14:schemeClr w14:val="tx1"/>
            </w14:solidFill>
          </w14:textFill>
        </w:rPr>
        <w:t>否则将被取消参赛资格。</w:t>
      </w:r>
    </w:p>
    <w:p w14:paraId="093D4248">
      <w:pPr>
        <w:pStyle w:val="6"/>
        <w:keepNext w:val="0"/>
        <w:keepLines w:val="0"/>
        <w:pageBreakBefore w:val="0"/>
        <w:widowControl w:val="0"/>
        <w:kinsoku/>
        <w:overflowPunct/>
        <w:topLinePunct w:val="0"/>
        <w:autoSpaceDE/>
        <w:autoSpaceDN/>
        <w:bidi w:val="0"/>
        <w:snapToGrid w:val="0"/>
        <w:spacing w:after="0" w:line="560" w:lineRule="exact"/>
        <w:ind w:left="0" w:leftChars="0" w:firstLine="736" w:firstLineChars="200"/>
        <w:textAlignment w:val="auto"/>
        <w:rPr>
          <w:rFonts w:hint="eastAsia" w:ascii="楷体_GB2312" w:hAnsi="楷体_GB2312" w:eastAsia="楷体_GB2312" w:cs="楷体_GB2312"/>
          <w:b w:val="0"/>
          <w:bCs/>
          <w:color w:val="000000" w:themeColor="text1"/>
          <w:spacing w:val="24"/>
          <w:kern w:val="0"/>
          <w:sz w:val="32"/>
          <w:szCs w:val="32"/>
          <w:lang w:eastAsia="zh-CN"/>
          <w14:textFill>
            <w14:solidFill>
              <w14:schemeClr w14:val="tx1"/>
            </w14:solidFill>
          </w14:textFill>
        </w:rPr>
      </w:pPr>
      <w:r>
        <w:rPr>
          <w:rFonts w:hint="eastAsia" w:ascii="楷体_GB2312" w:hAnsi="楷体_GB2312" w:eastAsia="楷体_GB2312" w:cs="楷体_GB2312"/>
          <w:b w:val="0"/>
          <w:bCs/>
          <w:color w:val="000000" w:themeColor="text1"/>
          <w:spacing w:val="24"/>
          <w:kern w:val="0"/>
          <w:sz w:val="32"/>
          <w:szCs w:val="32"/>
          <w:lang w:eastAsia="zh-CN"/>
          <w14:textFill>
            <w14:solidFill>
              <w14:schemeClr w14:val="tx1"/>
            </w14:solidFill>
          </w14:textFill>
        </w:rPr>
        <w:t>（三）指导教师</w:t>
      </w:r>
    </w:p>
    <w:p w14:paraId="4EC0CCD8">
      <w:pPr>
        <w:pStyle w:val="6"/>
        <w:keepNext w:val="0"/>
        <w:keepLines w:val="0"/>
        <w:pageBreakBefore w:val="0"/>
        <w:widowControl w:val="0"/>
        <w:numPr>
          <w:ilvl w:val="0"/>
          <w:numId w:val="0"/>
        </w:numPr>
        <w:kinsoku/>
        <w:overflowPunct/>
        <w:topLinePunct w:val="0"/>
        <w:autoSpaceDE/>
        <w:autoSpaceDN/>
        <w:bidi w:val="0"/>
        <w:snapToGrid w:val="0"/>
        <w:spacing w:after="0" w:line="560" w:lineRule="exact"/>
        <w:ind w:leftChars="200"/>
        <w:textAlignment w:val="auto"/>
        <w:rPr>
          <w:rFonts w:hint="default" w:ascii="仿宋_GB2312" w:hAnsi="仿宋_GB2312" w:eastAsia="仿宋_GB2312" w:cs="仿宋_GB2312"/>
          <w:color w:val="000000" w:themeColor="text1"/>
          <w:spacing w:val="8"/>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pacing w:val="8"/>
          <w:sz w:val="32"/>
          <w:szCs w:val="32"/>
          <w:lang w:val="en-US" w:eastAsia="zh-CN"/>
          <w14:textFill>
            <w14:solidFill>
              <w14:schemeClr w14:val="tx1"/>
            </w14:solidFill>
          </w14:textFill>
        </w:rPr>
        <w:t xml:space="preserve">  个人组每个参赛选手指导老师1人，集体组每队指导老师不超过2人，同一作品参赛选手不得同时是该作品的指导老师。</w:t>
      </w:r>
    </w:p>
    <w:p w14:paraId="44C9D173">
      <w:pPr>
        <w:keepNext w:val="0"/>
        <w:keepLines w:val="0"/>
        <w:pageBreakBefore w:val="0"/>
        <w:widowControl w:val="0"/>
        <w:numPr>
          <w:ilvl w:val="0"/>
          <w:numId w:val="1"/>
        </w:numPr>
        <w:kinsoku/>
        <w:wordWrap/>
        <w:overflowPunct/>
        <w:topLinePunct w:val="0"/>
        <w:autoSpaceDE/>
        <w:autoSpaceDN/>
        <w:bidi w:val="0"/>
        <w:spacing w:line="560" w:lineRule="exact"/>
        <w:ind w:left="0" w:leftChars="0" w:firstLine="640" w:firstLineChars="200"/>
        <w:jc w:val="both"/>
        <w:textAlignment w:val="auto"/>
        <w:rPr>
          <w:rFonts w:hint="eastAsia" w:ascii="黑体" w:hAnsi="黑体" w:eastAsia="黑体" w:cs="黑体"/>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bidi="ar-SA"/>
          <w14:textFill>
            <w14:solidFill>
              <w14:schemeClr w14:val="tx1"/>
            </w14:solidFill>
          </w14:textFill>
        </w:rPr>
        <w:t>比赛具体事项</w:t>
      </w:r>
    </w:p>
    <w:p w14:paraId="56051B07">
      <w:pPr>
        <w:pStyle w:val="2"/>
        <w:numPr>
          <w:ilvl w:val="0"/>
          <w:numId w:val="2"/>
        </w:numPr>
        <w:ind w:left="58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比赛时间：2025年4月27—29日。</w:t>
      </w:r>
    </w:p>
    <w:p w14:paraId="33FD9C53">
      <w:pPr>
        <w:pStyle w:val="2"/>
        <w:numPr>
          <w:ilvl w:val="0"/>
          <w:numId w:val="0"/>
        </w:num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27日上午10:00-12:00分组抽比赛顺序签、拷贝配乐，下午15:00—18:00赛前培训、选手熟悉场地。</w:t>
      </w:r>
    </w:p>
    <w:p w14:paraId="4323C7A8">
      <w:pPr>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28日、29日比赛，上午8:00签到，8:20比赛正式开始；下午15：00签到，15:20比赛正式开始。</w:t>
      </w:r>
      <w:r>
        <w:rPr>
          <w:rFonts w:hint="eastAsia" w:ascii="仿宋_GB2312" w:hAnsi="仿宋_GB2312" w:eastAsia="仿宋_GB2312" w:cs="仿宋_GB2312"/>
          <w:color w:val="auto"/>
          <w:sz w:val="32"/>
          <w:szCs w:val="32"/>
        </w:rPr>
        <w:t>各参赛选手（队）在本组比赛开始前15分钟签到候场，</w:t>
      </w:r>
      <w:r>
        <w:rPr>
          <w:rFonts w:hint="eastAsia" w:ascii="仿宋_GB2312" w:hAnsi="仿宋_GB2312" w:eastAsia="仿宋_GB2312" w:cs="仿宋_GB2312"/>
          <w:sz w:val="32"/>
          <w:szCs w:val="32"/>
        </w:rPr>
        <w:t>选手因迟到等原因造成无法按时比赛的视为弃权。此次比赛不举办现场颁奖仪式，各奖项名单待赛事结束后另行下文公布。</w:t>
      </w:r>
    </w:p>
    <w:p w14:paraId="3613E24F">
      <w:pPr>
        <w:pStyle w:val="2"/>
        <w:numPr>
          <w:ilvl w:val="0"/>
          <w:numId w:val="0"/>
        </w:numPr>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（二）比赛顺序：小学生组、小学生集体组、初中学生组、</w:t>
      </w:r>
      <w:r>
        <w:rPr>
          <w:rFonts w:hint="eastAsia" w:ascii="仿宋_GB2312" w:hAnsi="仿宋_GB2312" w:eastAsia="仿宋_GB2312" w:cs="仿宋_GB2312"/>
          <w:color w:val="auto"/>
          <w:sz w:val="32"/>
          <w:szCs w:val="32"/>
        </w:rPr>
        <w:t>中学（中职）生集体组</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高中和中职学生组</w:t>
      </w:r>
      <w:r>
        <w:rPr>
          <w:rFonts w:hint="eastAsia" w:ascii="仿宋_GB2312" w:hAnsi="仿宋_GB2312" w:eastAsia="仿宋_GB2312" w:cs="仿宋_GB2312"/>
          <w:color w:val="auto"/>
          <w:sz w:val="32"/>
          <w:szCs w:val="32"/>
          <w:lang w:eastAsia="zh-CN"/>
        </w:rPr>
        <w:t>、教师组、教师集体组、综合组（个人、集体）。</w:t>
      </w:r>
    </w:p>
    <w:p w14:paraId="32AE9EA5">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cs="黑体"/>
          <w:color w:val="000000" w:themeColor="text1"/>
          <w:kern w:val="0"/>
          <w:sz w:val="32"/>
          <w:szCs w:val="32"/>
          <w:lang w:val="en-US" w:eastAsia="zh-CN" w:bidi="ar-SA"/>
          <w14:textFill>
            <w14:solidFill>
              <w14:schemeClr w14:val="tx1"/>
            </w14:solidFill>
          </w14:textFill>
        </w:rPr>
      </w:pPr>
      <w:r>
        <w:rPr>
          <w:rFonts w:hint="eastAsia" w:ascii="黑体" w:hAnsi="黑体" w:eastAsia="黑体" w:cs="黑体"/>
          <w:color w:val="000000" w:themeColor="text1"/>
          <w:kern w:val="0"/>
          <w:sz w:val="32"/>
          <w:szCs w:val="32"/>
          <w:lang w:val="en-US" w:eastAsia="zh-CN" w:bidi="ar-SA"/>
          <w14:textFill>
            <w14:solidFill>
              <w14:schemeClr w14:val="tx1"/>
            </w14:solidFill>
          </w14:textFill>
        </w:rPr>
        <w:t>七、奖项设置</w:t>
      </w:r>
    </w:p>
    <w:p w14:paraId="0C197B36">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（一）各组分别设一等奖、二等奖、三等奖和优秀奖。</w:t>
      </w:r>
    </w:p>
    <w:p w14:paraId="0B9D3A2F">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jc w:val="both"/>
        <w:textAlignment w:val="auto"/>
        <w:rPr>
          <w:rFonts w:hint="default"/>
          <w:lang w:val="en-US" w:eastAsia="zh-CN"/>
        </w:rPr>
      </w:pPr>
      <w:r>
        <w:rPr>
          <w:rFonts w:hint="eastAsia" w:ascii="仿宋_GB2312" w:hAnsi="仿宋_GB2312" w:eastAsia="仿宋_GB2312" w:cs="仿宋_GB2312"/>
          <w:color w:val="000000" w:themeColor="text1"/>
          <w:kern w:val="0"/>
          <w:sz w:val="32"/>
          <w:szCs w:val="32"/>
          <w:lang w:val="en-US" w:eastAsia="zh-CN" w:bidi="ar-SA"/>
          <w14:textFill>
            <w14:solidFill>
              <w14:schemeClr w14:val="tx1"/>
            </w14:solidFill>
          </w14:textFill>
        </w:rPr>
        <w:t>（二）一至三等奖选手的指导教师获优秀指导教师奖。</w:t>
      </w:r>
    </w:p>
    <w:p w14:paraId="220597D3">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US" w:eastAsia="zh-CN"/>
          <w14:textFill>
            <w14:solidFill>
              <w14:schemeClr w14:val="tx1"/>
            </w14:solidFill>
          </w14:textFill>
        </w:rPr>
        <w:t>八、其他要求</w:t>
      </w:r>
    </w:p>
    <w:p w14:paraId="2A9DABFD">
      <w:pPr>
        <w:keepNext w:val="0"/>
        <w:keepLines w:val="0"/>
        <w:pageBreakBefore w:val="0"/>
        <w:widowControl w:val="0"/>
        <w:numPr>
          <w:ilvl w:val="0"/>
          <w:numId w:val="0"/>
        </w:numPr>
        <w:kinsoku/>
        <w:wordWrap/>
        <w:overflowPunct/>
        <w:topLinePunct w:val="0"/>
        <w:autoSpaceDE/>
        <w:autoSpaceDN/>
        <w:bidi w:val="0"/>
        <w:spacing w:line="58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（一）比赛坚持公益性原则，任何人不得以任何名义向参赛选手收取费用。</w:t>
      </w:r>
    </w:p>
    <w:p w14:paraId="7D99520F">
      <w:pPr>
        <w:pStyle w:val="2"/>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（二）报送参赛信息时，要认真核对确保报送选手信息、资料的准确性和一致性。如果出现材料相关信息不符的情况，将取消参加比赛资格。</w:t>
      </w:r>
    </w:p>
    <w:p w14:paraId="40513AE2">
      <w:pPr>
        <w:pStyle w:val="2"/>
        <w:rPr>
          <w:rFonts w:hint="default" w:ascii="仿宋" w:hAnsi="仿宋" w:eastAsia="仿宋" w:cs="仿宋"/>
          <w:color w:val="000000" w:themeColor="text1"/>
          <w:sz w:val="32"/>
          <w:szCs w:val="32"/>
          <w:lang w:val="en-US" w:eastAsia="zh-CN"/>
          <w14:textFill>
            <w14:solidFill>
              <w14:schemeClr w14:val="tx1"/>
            </w14:solidFill>
          </w14:textFill>
        </w:rPr>
        <w:sectPr>
          <w:footerReference r:id="rId3" w:type="default"/>
          <w:pgSz w:w="11906" w:h="16838"/>
          <w:pgMar w:top="1417" w:right="1417" w:bottom="1417" w:left="1417" w:header="851" w:footer="992" w:gutter="0"/>
          <w:cols w:space="720" w:num="1"/>
          <w:rtlGutter w:val="0"/>
          <w:docGrid w:type="lines" w:linePitch="318" w:charSpace="0"/>
        </w:sect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（三）各单位要高度重视，指派责任心强的同志组织和带队参赛，要全程掌握本队参赛人员的具体情况，在选手比赛和往返期间要安排专人管理，确保参赛人员的人身及财物安全。</w:t>
      </w:r>
    </w:p>
    <w:p w14:paraId="087AC7FA">
      <w:pPr>
        <w:keepNext w:val="0"/>
        <w:keepLines w:val="0"/>
        <w:pageBreakBefore w:val="0"/>
        <w:widowControl w:val="0"/>
        <w:kinsoku/>
        <w:wordWrap/>
        <w:overflowPunct/>
        <w:topLinePunct w:val="0"/>
        <w:autoSpaceDE/>
        <w:autoSpaceDN/>
        <w:bidi w:val="0"/>
        <w:adjustRightInd/>
        <w:snapToGrid/>
        <w:spacing w:line="320" w:lineRule="exact"/>
        <w:ind w:right="0" w:rightChars="0"/>
        <w:jc w:val="left"/>
        <w:textAlignment w:val="auto"/>
        <w:rPr>
          <w:rFonts w:hint="default" w:ascii="Times New Roman" w:hAnsi="Times New Roman" w:eastAsia="仿宋_GB2312" w:cs="Times New Roman"/>
          <w:sz w:val="32"/>
          <w:szCs w:val="32"/>
          <w:lang w:val="en-US" w:eastAsia="zh-CN"/>
        </w:rPr>
      </w:pPr>
      <w:bookmarkStart w:id="2" w:name="_GoBack"/>
    </w:p>
    <w:bookmarkEnd w:id="2"/>
    <w:sectPr>
      <w:footerReference r:id="rId4" w:type="default"/>
      <w:pgSz w:w="11906" w:h="16838"/>
      <w:pgMar w:top="1474" w:right="1417" w:bottom="1417" w:left="1417" w:header="851" w:footer="992" w:gutter="0"/>
      <w:paperSrc w:first="1"/>
      <w:pgBorders>
        <w:top w:val="none" w:sz="0" w:space="0"/>
        <w:left w:val="none" w:sz="0" w:space="0"/>
        <w:bottom w:val="none" w:sz="0" w:space="0"/>
        <w:right w:val="none" w:sz="0" w:space="0"/>
      </w:pgBorders>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汉仪细圆B5">
    <w:altName w:val="Microsoft JhengHei"/>
    <w:panose1 w:val="02010600000101010101"/>
    <w:charset w:val="88"/>
    <w:family w:val="auto"/>
    <w:pitch w:val="default"/>
    <w:sig w:usb0="00000000" w:usb1="00000000" w:usb2="00000002" w:usb3="00000000" w:csb0="00100000" w:csb1="00000000"/>
  </w:font>
  <w:font w:name="Microsoft JhengHe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8ADE3">
    <w:pPr>
      <w:pStyle w:val="8"/>
      <w:framePr w:wrap="around" w:vAnchor="text" w:hAnchor="margin" w:xAlign="outside" w:y="1"/>
      <w:adjustRightInd w:val="0"/>
      <w:ind w:right="210" w:rightChars="100"/>
      <w:rPr>
        <w:rStyle w:val="14"/>
        <w:rFonts w:ascii="仿宋" w:hAnsi="仿宋" w:eastAsia="仿宋"/>
        <w:sz w:val="28"/>
        <w:szCs w:val="28"/>
      </w:rPr>
    </w:pPr>
    <w:r>
      <w:rPr>
        <w:rStyle w:val="14"/>
        <w:rFonts w:hint="eastAsia" w:ascii="仿宋" w:hAnsi="仿宋" w:eastAsia="仿宋"/>
        <w:sz w:val="28"/>
        <w:szCs w:val="28"/>
      </w:rPr>
      <w:t>—</w:t>
    </w:r>
    <w:r>
      <w:rPr>
        <w:rFonts w:ascii="仿宋" w:hAnsi="仿宋" w:eastAsia="仿宋"/>
        <w:sz w:val="28"/>
        <w:szCs w:val="28"/>
      </w:rPr>
      <w:fldChar w:fldCharType="begin"/>
    </w:r>
    <w:r>
      <w:rPr>
        <w:rStyle w:val="14"/>
        <w:rFonts w:ascii="仿宋" w:hAnsi="仿宋" w:eastAsia="仿宋"/>
        <w:sz w:val="28"/>
        <w:szCs w:val="28"/>
      </w:rPr>
      <w:instrText xml:space="preserve">PAGE  </w:instrText>
    </w:r>
    <w:r>
      <w:rPr>
        <w:rFonts w:ascii="仿宋" w:hAnsi="仿宋" w:eastAsia="仿宋"/>
        <w:sz w:val="28"/>
        <w:szCs w:val="28"/>
      </w:rPr>
      <w:fldChar w:fldCharType="separate"/>
    </w:r>
    <w:r>
      <w:rPr>
        <w:rStyle w:val="14"/>
        <w:rFonts w:ascii="仿宋" w:hAnsi="仿宋" w:eastAsia="仿宋"/>
        <w:sz w:val="28"/>
        <w:szCs w:val="28"/>
      </w:rPr>
      <w:t>3</w:t>
    </w:r>
    <w:r>
      <w:rPr>
        <w:rFonts w:ascii="仿宋" w:hAnsi="仿宋" w:eastAsia="仿宋"/>
        <w:sz w:val="28"/>
        <w:szCs w:val="28"/>
      </w:rPr>
      <w:fldChar w:fldCharType="end"/>
    </w:r>
    <w:r>
      <w:rPr>
        <w:rStyle w:val="14"/>
        <w:rFonts w:hint="eastAsia" w:ascii="仿宋" w:hAnsi="仿宋" w:eastAsia="仿宋"/>
        <w:sz w:val="28"/>
        <w:szCs w:val="28"/>
      </w:rPr>
      <w:t>—</w:t>
    </w:r>
  </w:p>
  <w:p w14:paraId="2470A636">
    <w:pP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AFD2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3E321">
                          <w:pPr>
                            <w:pStyle w:val="8"/>
                            <w:wordWrap w:val="0"/>
                            <w:jc w:val="right"/>
                            <w:rPr>
                              <w:rFonts w:hint="default" w:eastAsia="宋体"/>
                              <w:sz w:val="28"/>
                              <w:szCs w:val="28"/>
                              <w:lang w:val="en-US" w:eastAsia="zh-CN"/>
                            </w:rPr>
                          </w:pPr>
                          <w:r>
                            <w:rPr>
                              <w:rFonts w:hint="eastAsia"/>
                              <w:sz w:val="28"/>
                              <w:szCs w:val="28"/>
                              <w:lang w:val="en-US"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E3E321">
                    <w:pPr>
                      <w:pStyle w:val="8"/>
                      <w:wordWrap w:val="0"/>
                      <w:jc w:val="right"/>
                      <w:rPr>
                        <w:rFonts w:hint="default" w:eastAsia="宋体"/>
                        <w:sz w:val="28"/>
                        <w:szCs w:val="28"/>
                        <w:lang w:val="en-US" w:eastAsia="zh-CN"/>
                      </w:rPr>
                    </w:pPr>
                    <w:r>
                      <w:rPr>
                        <w:rFonts w:hint="eastAsia"/>
                        <w:sz w:val="28"/>
                        <w:szCs w:val="28"/>
                        <w:lang w:val="en-US" w:eastAsia="zh-CN"/>
                      </w:rPr>
                      <w:t>－</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val="en-US" w:eastAsia="zh-CN"/>
                      </w:rPr>
                      <w:t>－</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8B91DC"/>
    <w:multiLevelType w:val="singleLevel"/>
    <w:tmpl w:val="A78B91DC"/>
    <w:lvl w:ilvl="0" w:tentative="0">
      <w:start w:val="4"/>
      <w:numFmt w:val="chineseCounting"/>
      <w:suff w:val="nothing"/>
      <w:lvlText w:val="%1、"/>
      <w:lvlJc w:val="left"/>
      <w:rPr>
        <w:rFonts w:hint="eastAsia"/>
      </w:rPr>
    </w:lvl>
  </w:abstractNum>
  <w:abstractNum w:abstractNumId="1">
    <w:nsid w:val="6854E959"/>
    <w:multiLevelType w:val="singleLevel"/>
    <w:tmpl w:val="6854E959"/>
    <w:lvl w:ilvl="0" w:tentative="0">
      <w:start w:val="1"/>
      <w:numFmt w:val="chineseCounting"/>
      <w:suff w:val="nothing"/>
      <w:lvlText w:val="（%1）"/>
      <w:lvlJc w:val="left"/>
      <w:pPr>
        <w:ind w:left="580"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0ZTY0YTlmNTZhZWZhMDM1OGM2OGU0N2ZhN2MzYWIifQ=="/>
  </w:docVars>
  <w:rsids>
    <w:rsidRoot w:val="00E94E28"/>
    <w:rsid w:val="000A1696"/>
    <w:rsid w:val="001D111C"/>
    <w:rsid w:val="00227FCB"/>
    <w:rsid w:val="00350E26"/>
    <w:rsid w:val="003A52B2"/>
    <w:rsid w:val="003B7AB4"/>
    <w:rsid w:val="003E16EA"/>
    <w:rsid w:val="0040252A"/>
    <w:rsid w:val="00416E30"/>
    <w:rsid w:val="00461DB8"/>
    <w:rsid w:val="004B6BD5"/>
    <w:rsid w:val="004D21C6"/>
    <w:rsid w:val="004F533E"/>
    <w:rsid w:val="00596ED7"/>
    <w:rsid w:val="005D7612"/>
    <w:rsid w:val="00626E22"/>
    <w:rsid w:val="00690D3D"/>
    <w:rsid w:val="006A3A48"/>
    <w:rsid w:val="006F5D2D"/>
    <w:rsid w:val="00766698"/>
    <w:rsid w:val="007746B2"/>
    <w:rsid w:val="00783144"/>
    <w:rsid w:val="007C0613"/>
    <w:rsid w:val="00860EFC"/>
    <w:rsid w:val="00897DB1"/>
    <w:rsid w:val="008D1C31"/>
    <w:rsid w:val="008E29AB"/>
    <w:rsid w:val="0092740E"/>
    <w:rsid w:val="00A1335B"/>
    <w:rsid w:val="00A42CF3"/>
    <w:rsid w:val="00A72172"/>
    <w:rsid w:val="00B04B05"/>
    <w:rsid w:val="00B32038"/>
    <w:rsid w:val="00B41956"/>
    <w:rsid w:val="00BE344E"/>
    <w:rsid w:val="00C73F84"/>
    <w:rsid w:val="00D222D6"/>
    <w:rsid w:val="00D74E60"/>
    <w:rsid w:val="00DA2E6A"/>
    <w:rsid w:val="00DB314F"/>
    <w:rsid w:val="00DC0E41"/>
    <w:rsid w:val="00E10A3C"/>
    <w:rsid w:val="00E94E28"/>
    <w:rsid w:val="00EA4A8F"/>
    <w:rsid w:val="00EF3D69"/>
    <w:rsid w:val="00F21678"/>
    <w:rsid w:val="00F25B91"/>
    <w:rsid w:val="00F27E24"/>
    <w:rsid w:val="00F4045A"/>
    <w:rsid w:val="00F54817"/>
    <w:rsid w:val="00F921DF"/>
    <w:rsid w:val="00FD58D0"/>
    <w:rsid w:val="01040B84"/>
    <w:rsid w:val="01BD0368"/>
    <w:rsid w:val="02D84338"/>
    <w:rsid w:val="040F5B6C"/>
    <w:rsid w:val="0559775B"/>
    <w:rsid w:val="07BC125F"/>
    <w:rsid w:val="08ED1D35"/>
    <w:rsid w:val="09B5169F"/>
    <w:rsid w:val="0B5B7E94"/>
    <w:rsid w:val="0B915894"/>
    <w:rsid w:val="0D864F0D"/>
    <w:rsid w:val="0DC93F14"/>
    <w:rsid w:val="0E13305C"/>
    <w:rsid w:val="0E3C6923"/>
    <w:rsid w:val="0F6106B8"/>
    <w:rsid w:val="1090632E"/>
    <w:rsid w:val="10B4272B"/>
    <w:rsid w:val="10F3545F"/>
    <w:rsid w:val="13E31587"/>
    <w:rsid w:val="142007B3"/>
    <w:rsid w:val="15B45AE3"/>
    <w:rsid w:val="16077FB7"/>
    <w:rsid w:val="191F7EF1"/>
    <w:rsid w:val="19CE7F80"/>
    <w:rsid w:val="1A0E73F4"/>
    <w:rsid w:val="1A6A20C8"/>
    <w:rsid w:val="1AB822C9"/>
    <w:rsid w:val="1B7B0307"/>
    <w:rsid w:val="1CA906CC"/>
    <w:rsid w:val="1CB90328"/>
    <w:rsid w:val="1CD76FED"/>
    <w:rsid w:val="1CD81FE7"/>
    <w:rsid w:val="1D826ABA"/>
    <w:rsid w:val="1DA10BA9"/>
    <w:rsid w:val="1E633477"/>
    <w:rsid w:val="1ECF7353"/>
    <w:rsid w:val="1FE3151A"/>
    <w:rsid w:val="23B74608"/>
    <w:rsid w:val="247A75E9"/>
    <w:rsid w:val="24A835B0"/>
    <w:rsid w:val="24F32999"/>
    <w:rsid w:val="268A6650"/>
    <w:rsid w:val="26A036DB"/>
    <w:rsid w:val="2702378F"/>
    <w:rsid w:val="296F3889"/>
    <w:rsid w:val="29D62E38"/>
    <w:rsid w:val="2BAF5D67"/>
    <w:rsid w:val="2BD46751"/>
    <w:rsid w:val="2CA90A4C"/>
    <w:rsid w:val="2F1166FB"/>
    <w:rsid w:val="30272830"/>
    <w:rsid w:val="309D7413"/>
    <w:rsid w:val="30B42E66"/>
    <w:rsid w:val="31464603"/>
    <w:rsid w:val="31571A6C"/>
    <w:rsid w:val="324A096D"/>
    <w:rsid w:val="33D861EB"/>
    <w:rsid w:val="34E029A9"/>
    <w:rsid w:val="352D6558"/>
    <w:rsid w:val="35B0678D"/>
    <w:rsid w:val="35D71AB7"/>
    <w:rsid w:val="368A498F"/>
    <w:rsid w:val="36F06083"/>
    <w:rsid w:val="37647713"/>
    <w:rsid w:val="38885035"/>
    <w:rsid w:val="38F52E00"/>
    <w:rsid w:val="3ADA68B3"/>
    <w:rsid w:val="3BD9604A"/>
    <w:rsid w:val="3BE1247F"/>
    <w:rsid w:val="3C501E97"/>
    <w:rsid w:val="3C5923C8"/>
    <w:rsid w:val="3C6E4331"/>
    <w:rsid w:val="3EF0450F"/>
    <w:rsid w:val="3FF4673B"/>
    <w:rsid w:val="403B4E2A"/>
    <w:rsid w:val="40690777"/>
    <w:rsid w:val="41ED0502"/>
    <w:rsid w:val="42832069"/>
    <w:rsid w:val="42DC324E"/>
    <w:rsid w:val="43A8220A"/>
    <w:rsid w:val="440702A4"/>
    <w:rsid w:val="448C608F"/>
    <w:rsid w:val="44EE08CD"/>
    <w:rsid w:val="46AF05B5"/>
    <w:rsid w:val="46B359FD"/>
    <w:rsid w:val="4740778C"/>
    <w:rsid w:val="48E91EBC"/>
    <w:rsid w:val="49A31456"/>
    <w:rsid w:val="4D752DA2"/>
    <w:rsid w:val="4DDB2573"/>
    <w:rsid w:val="4E0C76DB"/>
    <w:rsid w:val="4E6A5B02"/>
    <w:rsid w:val="4EE35F2B"/>
    <w:rsid w:val="4F0D1BBA"/>
    <w:rsid w:val="50FE3463"/>
    <w:rsid w:val="513057CC"/>
    <w:rsid w:val="513F0557"/>
    <w:rsid w:val="53B75191"/>
    <w:rsid w:val="53BF608F"/>
    <w:rsid w:val="54870CBF"/>
    <w:rsid w:val="5498219B"/>
    <w:rsid w:val="553E6869"/>
    <w:rsid w:val="56242D6E"/>
    <w:rsid w:val="57AB1E8A"/>
    <w:rsid w:val="58066696"/>
    <w:rsid w:val="58B548CD"/>
    <w:rsid w:val="58DB7DC9"/>
    <w:rsid w:val="5B2D06C7"/>
    <w:rsid w:val="5BC61B36"/>
    <w:rsid w:val="5C1A625A"/>
    <w:rsid w:val="5D263085"/>
    <w:rsid w:val="5E3A64F9"/>
    <w:rsid w:val="5E542E77"/>
    <w:rsid w:val="5EB312A3"/>
    <w:rsid w:val="5F557AF4"/>
    <w:rsid w:val="60135919"/>
    <w:rsid w:val="60283A3B"/>
    <w:rsid w:val="60A866D3"/>
    <w:rsid w:val="61AD359D"/>
    <w:rsid w:val="61CB4DFE"/>
    <w:rsid w:val="6426614B"/>
    <w:rsid w:val="658D448B"/>
    <w:rsid w:val="65E82B5C"/>
    <w:rsid w:val="66D631C0"/>
    <w:rsid w:val="676F59BF"/>
    <w:rsid w:val="683105C0"/>
    <w:rsid w:val="69162847"/>
    <w:rsid w:val="698B1065"/>
    <w:rsid w:val="69D962B4"/>
    <w:rsid w:val="6B25447E"/>
    <w:rsid w:val="6BAD4A5B"/>
    <w:rsid w:val="6BE92A11"/>
    <w:rsid w:val="6CC61A4D"/>
    <w:rsid w:val="6D7C0026"/>
    <w:rsid w:val="6D8F2035"/>
    <w:rsid w:val="6DA76FB9"/>
    <w:rsid w:val="6E89044C"/>
    <w:rsid w:val="6ED92668"/>
    <w:rsid w:val="6F5801CB"/>
    <w:rsid w:val="6F6D675F"/>
    <w:rsid w:val="70B54984"/>
    <w:rsid w:val="71496C2B"/>
    <w:rsid w:val="71D11813"/>
    <w:rsid w:val="732D5E85"/>
    <w:rsid w:val="735F4070"/>
    <w:rsid w:val="73D7399B"/>
    <w:rsid w:val="744D6708"/>
    <w:rsid w:val="76955353"/>
    <w:rsid w:val="770A4B25"/>
    <w:rsid w:val="788D5B4D"/>
    <w:rsid w:val="79C1605A"/>
    <w:rsid w:val="79D77145"/>
    <w:rsid w:val="7B1E7754"/>
    <w:rsid w:val="7BF5173F"/>
    <w:rsid w:val="7C047AE7"/>
    <w:rsid w:val="7D285992"/>
    <w:rsid w:val="7E9E360D"/>
    <w:rsid w:val="7F1A645B"/>
    <w:rsid w:val="7F687E94"/>
    <w:rsid w:val="7F85524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3"/>
    <w:basedOn w:val="1"/>
    <w:next w:val="1"/>
    <w:qFormat/>
    <w:uiPriority w:val="99"/>
    <w:pPr>
      <w:keepNext/>
      <w:keepLines/>
      <w:spacing w:before="260" w:after="260" w:line="416" w:lineRule="auto"/>
      <w:outlineLvl w:val="2"/>
    </w:pPr>
    <w:rPr>
      <w:b/>
      <w:bCs/>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Body Text First Indent 21"/>
    <w:basedOn w:val="3"/>
    <w:qFormat/>
    <w:uiPriority w:val="0"/>
    <w:pPr>
      <w:ind w:firstLine="420" w:firstLineChars="200"/>
    </w:pPr>
    <w:rPr>
      <w:rFonts w:ascii="Calibri" w:hAnsi="Calibri"/>
    </w:rPr>
  </w:style>
  <w:style w:type="paragraph" w:customStyle="1" w:styleId="3">
    <w:name w:val="Body Text Indent1"/>
    <w:basedOn w:val="1"/>
    <w:qFormat/>
    <w:uiPriority w:val="0"/>
    <w:pPr>
      <w:ind w:left="420" w:leftChars="200"/>
    </w:pPr>
  </w:style>
  <w:style w:type="paragraph" w:styleId="5">
    <w:name w:val="Body Text"/>
    <w:basedOn w:val="1"/>
    <w:qFormat/>
    <w:uiPriority w:val="0"/>
    <w:pPr>
      <w:jc w:val="center"/>
    </w:pPr>
    <w:rPr>
      <w:rFonts w:eastAsia="黑体"/>
      <w:sz w:val="44"/>
    </w:rPr>
  </w:style>
  <w:style w:type="paragraph" w:styleId="6">
    <w:name w:val="Body Text Indent"/>
    <w:basedOn w:val="1"/>
    <w:qFormat/>
    <w:uiPriority w:val="0"/>
    <w:pPr>
      <w:spacing w:after="120"/>
      <w:ind w:left="420" w:leftChars="200"/>
    </w:pPr>
  </w:style>
  <w:style w:type="paragraph" w:styleId="7">
    <w:name w:val="Date"/>
    <w:basedOn w:val="1"/>
    <w:next w:val="1"/>
    <w:qFormat/>
    <w:uiPriority w:val="0"/>
    <w:pPr>
      <w:ind w:left="100" w:leftChars="2500"/>
    </w:p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table" w:styleId="12">
    <w:name w:val="Table Grid"/>
    <w:basedOn w:val="11"/>
    <w:qFormat/>
    <w:uiPriority w:val="0"/>
    <w:pPr>
      <w:widowControl w:val="0"/>
      <w:jc w:val="both"/>
    </w:pPr>
    <w:rPr>
      <w:rFonts w:eastAsia="宋体"/>
      <w:lang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 w:type="character" w:styleId="15">
    <w:name w:val="Hyperlink"/>
    <w:basedOn w:val="13"/>
    <w:unhideWhenUsed/>
    <w:qFormat/>
    <w:uiPriority w:val="99"/>
    <w:rPr>
      <w:color w:val="0000FF"/>
      <w:u w:val="single"/>
    </w:rPr>
  </w:style>
  <w:style w:type="paragraph" w:customStyle="1" w:styleId="16">
    <w:name w:val=" Char1"/>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17">
    <w:name w:val="apple-converted-space"/>
    <w:basedOn w:val="13"/>
    <w:qFormat/>
    <w:uiPriority w:val="0"/>
  </w:style>
  <w:style w:type="paragraph" w:styleId="18">
    <w:name w:val="List Paragraph"/>
    <w:basedOn w:val="1"/>
    <w:qFormat/>
    <w:uiPriority w:val="34"/>
    <w:pPr>
      <w:ind w:firstLine="420" w:firstLineChars="200"/>
    </w:pPr>
  </w:style>
  <w:style w:type="paragraph" w:styleId="19">
    <w:name w:val="No Spacing"/>
    <w:qFormat/>
    <w:uiPriority w:val="1"/>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2190</Words>
  <Characters>2274</Characters>
  <Lines>11</Lines>
  <Paragraphs>3</Paragraphs>
  <TotalTime>16</TotalTime>
  <ScaleCrop>false</ScaleCrop>
  <LinksUpToDate>false</LinksUpToDate>
  <CharactersWithSpaces>2340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2015-05-22T01:08:00Z</dcterms:created>
  <dc:creator>island</dc:creator>
  <cp:lastModifiedBy>梁海东</cp:lastModifiedBy>
  <cp:lastPrinted>2025-04-15T01:20:00Z</cp:lastPrinted>
  <dcterms:modified xsi:type="dcterms:W3CDTF">2025-04-16T02:12:23Z</dcterms:modified>
  <dc:title>关于开展“艾滋病防治知识进校园”活动的通知</dc:title>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86F5507CE8CB43AAA7CF1F71D4CFE42B_13</vt:lpwstr>
  </property>
  <property fmtid="{D5CDD505-2E9C-101B-9397-08002B2CF9AE}" pid="4" name="KSOTemplateDocerSaveRecord">
    <vt:lpwstr>eyJoZGlkIjoiOGIyOTIwYmI4ZmI1YTU1MDk2NDYxZjczYWJjMmJkMzUiLCJ1c2VySWQiOiI1OTM1NTQ5NzEifQ==</vt:lpwstr>
  </property>
</Properties>
</file>