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</w:rPr>
        <w:t>融水苗族自治县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>供销合作社联合社文件</w:t>
      </w: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融供字〔2022〕 3号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color w:val="FF0000"/>
          <w:sz w:val="36"/>
          <w:szCs w:val="36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  <w:u w:val="single"/>
          <w:lang w:val="en-US" w:eastAsia="zh-CN"/>
        </w:rPr>
        <w:t xml:space="preserve">                                 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融水苗族自治县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供销合作社联合社关于转发《关于印发〈融水苗族自治县2022-2023年创建自治区文明城市网格化管理实施方案〉的通知》的通知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各基层社、县社直属各公司、机关各股室：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关于印发〈融水苗族自治县2022-2023年创建自治区文明城市网格化管理实施方案〉的通知》转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发给你们，请结合实际，认真贯彻落实。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6" w:firstLineChars="11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融水苗族自治县供销合作社联合社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2022年2月22日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20" w:firstLineChars="100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文件公开属性：主动公开</w:t>
      </w:r>
    </w:p>
    <w:p>
      <w:pPr>
        <w:pBdr>
          <w:top w:val="single" w:color="auto" w:sz="4" w:space="1"/>
          <w:bottom w:val="single" w:color="auto" w:sz="4" w:space="1"/>
        </w:pBdr>
        <w:spacing w:line="560" w:lineRule="exact"/>
        <w:ind w:right="105" w:rightChars="50" w:firstLine="212" w:firstLineChars="100"/>
        <w:textAlignment w:val="center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20"/>
          <w:w w:val="90"/>
          <w:sz w:val="28"/>
          <w:szCs w:val="28"/>
          <w:lang w:eastAsia="zh-CN"/>
        </w:rPr>
        <w:t>融水苗族自治县</w:t>
      </w:r>
      <w:r>
        <w:rPr>
          <w:rFonts w:hint="eastAsia" w:eastAsia="仿宋_GB2312" w:cs="Times New Roman"/>
          <w:b w:val="0"/>
          <w:bCs/>
          <w:color w:val="auto"/>
          <w:spacing w:val="-20"/>
          <w:w w:val="90"/>
          <w:sz w:val="28"/>
          <w:szCs w:val="28"/>
          <w:lang w:val="en-US" w:eastAsia="zh-CN"/>
        </w:rPr>
        <w:t>供销合作社联合社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-20"/>
          <w:w w:val="90"/>
          <w:sz w:val="28"/>
          <w:szCs w:val="28"/>
          <w:lang w:eastAsia="zh-CN"/>
        </w:rPr>
        <w:t>办公室</w:t>
      </w:r>
      <w:r>
        <w:rPr>
          <w:rFonts w:hint="eastAsia" w:eastAsia="仿宋_GB2312"/>
          <w:spacing w:val="-20"/>
          <w:w w:val="90"/>
          <w:sz w:val="28"/>
          <w:szCs w:val="28"/>
          <w:highlight w:val="none"/>
        </w:rPr>
        <w:t xml:space="preserve">  </w:t>
      </w:r>
      <w:r>
        <w:rPr>
          <w:rFonts w:hint="eastAsia" w:eastAsia="仿宋_GB2312"/>
          <w:spacing w:val="-4"/>
          <w:sz w:val="28"/>
          <w:szCs w:val="28"/>
          <w:highlight w:val="none"/>
        </w:rPr>
        <w:t xml:space="preserve"> </w:t>
      </w:r>
      <w:r>
        <w:rPr>
          <w:rFonts w:hint="eastAsia" w:eastAsia="仿宋_GB2312"/>
          <w:spacing w:val="-4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eastAsia="仿宋_GB2312"/>
          <w:spacing w:val="-20"/>
          <w:sz w:val="28"/>
          <w:szCs w:val="28"/>
          <w:highlight w:val="none"/>
        </w:rPr>
        <w:t>202</w:t>
      </w:r>
      <w:r>
        <w:rPr>
          <w:rFonts w:hint="eastAsia" w:eastAsia="仿宋_GB2312"/>
          <w:spacing w:val="-20"/>
          <w:sz w:val="28"/>
          <w:szCs w:val="28"/>
          <w:highlight w:val="none"/>
          <w:lang w:val="en-US" w:eastAsia="zh-CN"/>
        </w:rPr>
        <w:t>2</w:t>
      </w:r>
      <w:r>
        <w:rPr>
          <w:rFonts w:eastAsia="仿宋_GB2312"/>
          <w:spacing w:val="-20"/>
          <w:sz w:val="28"/>
          <w:szCs w:val="28"/>
          <w:highlight w:val="none"/>
        </w:rPr>
        <w:t>年</w:t>
      </w:r>
      <w:r>
        <w:rPr>
          <w:rFonts w:hint="eastAsia" w:eastAsia="仿宋_GB2312"/>
          <w:spacing w:val="-20"/>
          <w:sz w:val="28"/>
          <w:szCs w:val="28"/>
          <w:highlight w:val="none"/>
          <w:lang w:val="en-US" w:eastAsia="zh-CN"/>
        </w:rPr>
        <w:t>2</w:t>
      </w:r>
      <w:r>
        <w:rPr>
          <w:rFonts w:eastAsia="仿宋_GB2312"/>
          <w:spacing w:val="-20"/>
          <w:sz w:val="28"/>
          <w:szCs w:val="28"/>
          <w:highlight w:val="none"/>
        </w:rPr>
        <w:t>月</w:t>
      </w:r>
      <w:r>
        <w:rPr>
          <w:rFonts w:hint="eastAsia" w:eastAsia="仿宋_GB2312"/>
          <w:spacing w:val="-20"/>
          <w:sz w:val="28"/>
          <w:szCs w:val="28"/>
          <w:highlight w:val="none"/>
          <w:lang w:val="en-US" w:eastAsia="zh-CN"/>
        </w:rPr>
        <w:t>22</w:t>
      </w:r>
      <w:r>
        <w:rPr>
          <w:rFonts w:eastAsia="仿宋_GB2312"/>
          <w:spacing w:val="-20"/>
          <w:sz w:val="28"/>
          <w:szCs w:val="28"/>
          <w:highlight w:val="none"/>
        </w:rPr>
        <w:t>日印发</w:t>
      </w:r>
    </w:p>
    <w:p/>
    <w:p/>
    <w:p>
      <w:pPr>
        <w:spacing w:line="900" w:lineRule="exact"/>
        <w:ind w:firstLine="648" w:firstLineChars="100"/>
        <w:jc w:val="both"/>
        <w:rPr>
          <w:rFonts w:hint="eastAsia" w:ascii="方正小标宋简体" w:hAnsi="方正小标宋简体" w:eastAsia="方正小标宋简体" w:cs="方正小标宋简体"/>
          <w:color w:val="FF0000"/>
          <w:spacing w:val="0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w w:val="90"/>
          <w:sz w:val="72"/>
          <w:szCs w:val="72"/>
        </w:rPr>
        <w:t>融水苗族自治县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w w:val="90"/>
          <w:sz w:val="72"/>
          <w:szCs w:val="72"/>
          <w:lang w:eastAsia="zh-CN"/>
        </w:rPr>
        <w:t>创建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w w:val="90"/>
          <w:sz w:val="72"/>
          <w:szCs w:val="72"/>
        </w:rPr>
        <w:t>自治区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color w:val="FF0000"/>
          <w:spacing w:val="0"/>
          <w:w w:val="8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w w:val="80"/>
          <w:sz w:val="72"/>
          <w:szCs w:val="72"/>
        </w:rPr>
        <w:t>文明城市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w w:val="80"/>
          <w:sz w:val="72"/>
          <w:szCs w:val="72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w w:val="80"/>
          <w:sz w:val="72"/>
          <w:szCs w:val="72"/>
        </w:rPr>
        <w:t>领导小组办公室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w w:val="80"/>
          <w:sz w:val="72"/>
          <w:szCs w:val="72"/>
          <w:lang w:eastAsia="zh-CN"/>
        </w:rPr>
        <w:t>文件</w:t>
      </w:r>
    </w:p>
    <w:p>
      <w:pPr>
        <w:spacing w:line="60" w:lineRule="exact"/>
        <w:ind w:firstLine="641"/>
        <w:rPr>
          <w:rFonts w:hint="eastAsia" w:ascii="楷体_GB2312" w:eastAsia="楷体_GB2312"/>
          <w:b/>
          <w:bCs/>
          <w:sz w:val="34"/>
          <w:szCs w:val="34"/>
        </w:rPr>
      </w:pPr>
    </w:p>
    <w:p>
      <w:pPr>
        <w:spacing w:line="60" w:lineRule="exact"/>
        <w:ind w:firstLine="641"/>
        <w:rPr>
          <w:rFonts w:hint="eastAsia" w:ascii="楷体_GB2312" w:eastAsia="楷体_GB2312"/>
          <w:b/>
          <w:bCs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融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创城办发〔202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楷体_GB2312" w:eastAsia="楷体_GB2312"/>
          <w:spacing w:val="-28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margin">
                  <wp:posOffset>2385060</wp:posOffset>
                </wp:positionV>
                <wp:extent cx="2463165" cy="13970"/>
                <wp:effectExtent l="0" t="15875" r="13335" b="2730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13970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.7pt;margin-top:187.8pt;height:1.1pt;width:193.95pt;mso-position-vertical-relative:margin;z-index:251659264;mso-width-relative:page;mso-height-relative:page;" filled="f" stroked="t" coordsize="21600,21600" o:gfxdata="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vPWu9cAAAAKAQAADwAAAAAAAAABACAAAAAi&#10;AAAAZHJzL2Rvd25yZXYueG1sUEsBAhQAFAAAAAgAh07iQFoGdYwLAgAA+wMAAA4AAAAAAAAAAQAg&#10;AAAAJgEAAGRycy9lMm9Eb2MueG1sUEsFBgAAAAAGAAYAWQEAAKMFAAAAAA=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_GB2312" w:eastAsia="楷体_GB2312"/>
          <w:spacing w:val="-28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margin">
                  <wp:posOffset>2385060</wp:posOffset>
                </wp:positionV>
                <wp:extent cx="2463165" cy="13970"/>
                <wp:effectExtent l="0" t="15875" r="13335" b="2730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13970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5.7pt;margin-top:187.8pt;height:1.1pt;width:193.95pt;mso-position-vertical-relative:margin;z-index:251660288;mso-width-relative:page;mso-height-relative:page;" filled="f" stroked="t" coordsize="21600,21600" o:gfxdata="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8IPI+2QAAAAsBAAAPAAAAAAAAAAEAIAAA&#10;ACIAAABkcnMvZG93bnJldi54bWxQSwECFAAUAAAACACHTuJAbLCGBQsCAAD7AwAADgAAAAAAAAAB&#10;ACAAAAAoAQAAZHJzL2Uyb0RvYy54bWxQSwUGAAAAAAYABgBZAQAApQUAAAAA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entury Schoolbook" w:hAnsi="Century Schoolbook"/>
          <w:color w:val="FF3300"/>
          <w:sz w:val="56"/>
        </w:rPr>
        <w:t>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关于印发《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融水苗族自治县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2022-2023年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创建自治区文明城市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网格化管理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实施方案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》的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知</w:t>
      </w:r>
    </w:p>
    <w:p>
      <w:pPr>
        <w:spacing w:line="500" w:lineRule="exact"/>
        <w:jc w:val="left"/>
        <w:rPr>
          <w:rFonts w:hint="eastAsia" w:eastAsia="仿宋_GB2312"/>
          <w:color w:val="auto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各乡镇党委，县委各部委，县级国家机关各委办局党组（党委、党工委），各人民团体党组，各企事业单位党组织，自治区、市驻融各单位党组织：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现将《融水苗族自治县2022-2023年创建自治区文明城市网格化管理实施方案》的通知印发给你们，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20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20"/>
          <w:sz w:val="32"/>
          <w:szCs w:val="32"/>
          <w:lang w:eastAsia="zh-CN"/>
        </w:rPr>
        <w:t>融水苗族自治县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创建自治区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文明城市工作领导小组办公室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                2022年2月17日</w:t>
      </w:r>
    </w:p>
    <w:p>
      <w:pPr>
        <w:pStyle w:val="5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</w:p>
    <w:p>
      <w:pPr>
        <w:pStyle w:val="5"/>
        <w:rPr>
          <w:rFonts w:hint="eastAsia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融水苗族自治县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2022-2023年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创建自治区</w:t>
      </w:r>
    </w:p>
    <w:p>
      <w:pPr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文明城市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网格化管理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实施方案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before="0" w:after="0" w:line="540" w:lineRule="exact"/>
        <w:ind w:left="0" w:leftChars="0" w:firstLine="422" w:firstLineChars="200"/>
        <w:rPr>
          <w:rFonts w:hint="default" w:ascii="Times New Roman" w:hAnsi="Times New Roman" w:cs="Times New Roman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4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为扎实推进全县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创城网格化管理，进一步深化社区、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街道、背街小巷等区域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分级负责的管理体制，明确创建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自治区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文明城市工作网格化管理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划定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区域、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责任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单位、人员和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职责，实现创建工作常态化、信息化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无缝隙、全覆盖，确保巡查、管控、整改工作到位，提升创建工作规范化、精细化水平，在全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构建起了各方参与、全面覆盖、上下联动管理模式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助推创建工作常态化全覆盖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确保顺利完成各项创建任务。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根据《广西壮族自治区文明城市（县级城市）测评体系操作手册（2021年版定稿）》《关于调整部分县直单位县城城乡清洁工程卫生秩序责任区的通知》（融办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〔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2020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39号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）、《融水苗族自治县县城地名规划》等文件精神，结合我县实际，制定本实施方案。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4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深入贯彻习近平新时代中国特色社会主义思想和党的十九大精神，以创新、协调、绿色、开放、共享的发展理念为引领，以创建全国县级文明城市、建设宜居宜业幸福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融水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主线，以完善城市功能、优化城市环境、提升城市品位、塑造城市形象、提高文明程度为着力点，坚持高起点规划建设和精细化管理运行并重、着力改善提升城市管理，建立常态化的全民参与文明城市管理机制，努力实现城市共建、共管、共享的良好氛围，以持续推进文明城市创建，巩固国家卫生县城成果，努力营造整洁干净、畅通有序、安全便利、舒适宜居、文明和谐的城市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40" w:lineRule="exact"/>
        <w:ind w:left="0" w:leftChars="0"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二、工作思路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文明城市长效管理遵循政府主导、部门联动、志愿服务、全民参与的原则。探索建立政府部门分工负责、城市网格管理、市民门前三包的长效创建和管理机制，建管并举、标本兼治，规范作业、严格执法，群众动员、全民参与，使市民文明素质得到明显提高，城市管理水平得到明显提升，县城人居环境得到明显改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zh-CN"/>
        </w:rPr>
        <w:t>目标措施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</w:rPr>
        <w:t>全面推进城市网格化管理。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zh-CN"/>
        </w:rPr>
        <w:t>根据城市管理发展规划，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按照“分级负责、责任到人、全面覆盖”原则，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主要街道、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住宅小区及背街小巷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、单位宿舍区三大板块划分（详见附件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通过完善包点网格化创城常态化工作机制，强化“网上有格、格中有点、点上有人”的工作模式，结合所有网格开展常态化创城工作。各牵头单位主要领导任责任人，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负责落实网格化管理责任，从各责任单位抽调人员每天对责任区进行巡查。落实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网格化管理内路段路面、绿地、花坛的卫生保洁，加强网格区域门前“三包”和路段流动摊点、车辆乱停乱放行为的劝阻疏导，清除乱贴乱画、占道经营、出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  <w:t>店经营、马路市场、门前乱堆乱放和卫生死角。合理布置本单位、本网格以社会主义核心价值观、“讲文明树新风”、传统美德、生态文明、文明礼仪、良好家风、关爱保护未成年人、学雷锋志愿服务等为主题的公益广告的宣传。各责任区牵头单位责任人每月要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  <w:t>联系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  <w:t>县领导汇报一次本月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  <w:t>推进城市网格化管理工作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  <w:t>情况；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  <w:t>联系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  <w:t>县领导每月要召开一次本网格管理区责任单位领导会议，研究解决出现的问题；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  <w:t>联系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  <w:t>县领导每月要向县委、县政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府主要领导汇报一次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推进城市网格化管理工作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）进一步抓好氛围营造。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创城办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宣传工作要全面升温，要运用各种有效方式和载体，开展全方位、广覆盖的宣传活动，多形式、常态化的宣传教育，高密度、多视角的宣传报道。大力宣传创建知识、创建典型、创建亮点，利用宣传海报、固定标语、LED、媒体等多种方式宣传创城工作，提高市民对创建工作的知晓率、支持率和参与度。把宣传普及工作延伸到每个角落、每个层面和每一个人，最大限度地动员广大市民自觉投身创建活动，争当城市主人翁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坚持新闻宣传与曝光并重的原则。充分发挥新闻媒体的监督作用，重点曝光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城市网格化长效管理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工作中存在的突出问题。县属媒体平台要及时宣传正面典型和曝光反面典型。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leftChars="0" w:firstLine="643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val="zh-CN"/>
        </w:rPr>
        <w:t>（三）加强保洁管理。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加强清扫保洁工作，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根据城市规模的扩张，扩充环卫工人队伍，有计划地推进先进环卫清扫设施的使用，提高工作效率。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加快城市基础设施建设，加快旧城改造步伐，有计划对大街小巷的道路进行硬化改造和绿化美化，打造优美整洁的街容街貌，对主次干道要定期进行清洗；加强城区市容市貌及临街店面门前乱堆乱放的监管；负责划定专门的经营区域解决零星摊点经营的需要，坚决取缔违章搭建、流动占道经营摊点。加强水域保洁工作，确保县城区河面清洁无飘浮物，无污水乱排放现象；保洁员对工作区域乱扔垃圾、违规张贴广告行为负有劝导和向上级报告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val="zh-CN"/>
        </w:rPr>
        <w:t>（四）加强执法管理。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城市管理执法部门对城市公共场所和设施归口管理到位，无不整洁、不齐全、不文明现象；按照“谁执法谁普法、谁审批谁监管”原则开展城市执法普法监管行动；对部门职责交叉或管理空档的部分，城市管理执法部门之间要协调一致、无缝对接、管理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zh-CN"/>
        </w:rPr>
        <w:t>1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zh-CN"/>
        </w:rPr>
        <w:t>强化市政设施管理。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损坏后能够及时修补或更换；加大城市管理执法力度，落实责任，严厉打击偷盗、破坏、侵占公共设施的行为；加强户外广告管理，本着“规范设置，凸显特色，打造精品，提升品味”的原则，规范店牌和户外广告设置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建立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非法小广告等城市“牛皮癣”治理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有效管理的办法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。强化城市道路挖掘管理，任何单位和个人未经审批不得随意开挖城市道路（含人行道）、不得擅自在车行道和人行道之间的台阶处建设斜坡。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zh-CN"/>
        </w:rPr>
        <w:t>2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zh-CN"/>
        </w:rPr>
        <w:t>强化交通行为管理。</w:t>
      </w:r>
      <w:r>
        <w:rPr>
          <w:rFonts w:hint="eastAsia" w:eastAsia="仿宋_GB2312"/>
          <w:b w:val="0"/>
          <w:bCs/>
          <w:color w:val="auto"/>
          <w:sz w:val="32"/>
          <w:szCs w:val="32"/>
          <w:lang w:val="zh-CN"/>
        </w:rPr>
        <w:t>根据城市道路车辆的增加，</w:t>
      </w:r>
      <w:r>
        <w:rPr>
          <w:rFonts w:hint="eastAsia" w:eastAsia="仿宋_GB2312"/>
          <w:b w:val="0"/>
          <w:bCs/>
          <w:color w:val="auto"/>
          <w:sz w:val="32"/>
          <w:szCs w:val="32"/>
          <w:lang w:val="en-US" w:eastAsia="zh-CN"/>
        </w:rPr>
        <w:t>科学落实</w:t>
      </w:r>
      <w:r>
        <w:rPr>
          <w:rFonts w:hint="eastAsia" w:eastAsia="仿宋_GB2312"/>
          <w:b w:val="0"/>
          <w:bCs/>
          <w:color w:val="auto"/>
          <w:sz w:val="32"/>
          <w:szCs w:val="32"/>
          <w:lang w:val="zh-CN"/>
        </w:rPr>
        <w:t>网格化管理，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严肃查处车辆乱停放的行为；加强对机动车、非机动车停放点的管理，取缔擅自设置的停放点，规范经批准设置的停放点，做到停车进场进点，停放有序；加大对违章入市、无牌无证、假牌假证、非法拼装、超期报废、非法营运车辆的查处力度；加快停车场建设步伐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引导沿街单位开放闲置停车场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，解决车辆停放问题；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规范完善停车标识，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保持路面斑马线清晰；加强对占道、随意调头、闯红灯等违规车辆的处罚力度，为人民群众创造一个安全、畅通的交通环境。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zh-CN"/>
        </w:rPr>
        <w:t>3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zh-CN"/>
        </w:rPr>
        <w:t>强化工地管理。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各建筑施工工地须符合《建筑工地现场环境与卫生标准》要求，规范施工场地设置的隔离护栏；施工现场整洁，进出车辆无带泥污染路面，物料堆放整齐；规范建设垃圾管理和运输，设置车辆冲洗设施，进行全面密闭运输，严禁违规运输和乱倾倒渣土余泥；职工食堂、宿舍、厕所等符合卫生要求，保持清洁；待建工地管理要到位，无乱倒垃圾和乱搭乱建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zh-CN"/>
        </w:rPr>
        <w:t>4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zh-CN"/>
        </w:rPr>
        <w:t>强化市场管理。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有计划地开展集贸市场的升级改造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，加快规划城西、江北农贸市场。集贸市场实行划行归市、摊位归区、划线定位、凭证经营、明码标价，严格出摊占道和场外交易。配备配齐卫生管理和保洁人员，实行全天保洁，环卫设施齐全，公厕、垃圾站符合卫生要求；污物（水）处置消毒设施完善，实行隔离屠宰，保持环境清洁卫生；全面开展农产品的农药残留检测工作，确保农产品符合国家卫生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zh-CN"/>
        </w:rPr>
        <w:t>5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zh-CN"/>
        </w:rPr>
        <w:t>强化占道经营整治。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对占道经营和流动商贩要严格管理；对城区占道经营、店外经营、流动摊点、违规饲养动物（犬、畜、禽等）等现象，进行集中专项整治。加强对“五小”经营单位（小饮食店、小浴室、小歌舞厅、小旅馆、小美容美发厅）的管理。加强对早市、夜市和烧烤摊点的管理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疏堵结合规范管理临时摆卖摊点，在确保市容整洁有序的基础上，在县城区非主要道路按规划设置部分定时定点临时摆卖摊，方便群众生产生活。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zh-CN"/>
        </w:rPr>
        <w:t>6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zh-CN"/>
        </w:rPr>
        <w:t>强化违规搭建整治。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对私搭乱建，及时责令限期拆除，逾期未拆除的，实行强制拆除，对未经批准正在建设的违法行为，要责令停工，并查封、暂扣其施工工具和设备，并依法予以处理。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7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强化小区治理。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住建部门要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加强对各社区物业的监督管理，指导建立健全物业管理机构，规范小区内的物业管理行为。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做到小区环境绿化美化，卫生状况良好，无脏乱差现象，无乱扔垃圾、生活垃圾定点投放、分类收集、定时清运。楼门内干净整洁，楼道无堵塞，墙面、玻璃无污秽破损，照明灯完好；居住小区日常管理服务规范有序。有符合标准的物防、技防、人防、消防设施；无占用、堵塞、封闭消防车通道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val="zh-CN"/>
        </w:rPr>
        <w:t>五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val="zh-CN"/>
        </w:rPr>
        <w:t>降低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“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val="zh-CN"/>
        </w:rPr>
        <w:t>四害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”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val="zh-CN"/>
        </w:rPr>
        <w:t>密度。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牢固树立除“四害”可持续发展的防治策略，坚持以绿色、环保、低碳的防治原则，坚持贯彻“以治本为主，标本兼治”和专业队伍与群众运动相结合的原则，突出长效管理。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完善除“四害”工作制度，定期开展除“四害”行动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，确保除“四害”工作达到规定标准。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val="zh-CN"/>
        </w:rPr>
        <w:t>（六）落实门前三包。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认真落实城市管理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zh-CN"/>
        </w:rPr>
        <w:t>门前“三包”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工作。各责任单位要做好所辖责任区内环境卫生、公共秩序维护和不良行为劝导的整治工作，为城市实现精细化管理打造一个良好的环境。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val="zh-CN"/>
        </w:rPr>
        <w:t>（七）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实现志愿服务全覆盖。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以社区、公共文化场所、景区景点、政务大厅、窗口单位为重点，加强志愿服务站(点)建设；各站要实现“八个有”（有固定办公场所、有统一标识、有管理制度、有专职志愿人员、有志愿服务队伍、有志愿服务活动、有志愿服务纪录、有激励措施），各点要实现“六个有”（有固定办公场所、有统一标识、有管理制度、有志愿服务队伍、有志愿服务活动、有志愿服务纪录）；加强志愿服务制度化建设，建立健全组织领导、招募注册、管理培训、服务规范、义务和权利、褒奖激励等机制；县四家班子领导和机关事业单位人员要带头注册成为志愿者，积极参加志愿者活动；持续推动志愿服务活动常态化向居民小区延伸,大力发展社区志愿者、行业志愿者；动员、带领更多群众加入到志愿服务队伍中来，营造“人人为我，我为人人”的良好社会风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val="zh-CN"/>
        </w:rPr>
        <w:t>（八）发动全民共建共享。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牢固树立城市管理和城市创建为了群众、依靠群众的理念，将创建重心下移，筑牢全社会参与的创建网底，把城市管理和文明创建建立在广泛而深厚的群众基础之上；采取各种形式，层层动员、广泛发动，把广大干部群众的热情引导到共创共享上来，将城市管理和城市创建变为人人自觉行动；县委文明委成员单位要对全民创城进行指导、监督、教育的责任，开展各类群众乐于参与、便于参与的教育活动；重视舆论监督和社会监督，畅通市民参与城市管理监督信息举报渠道，妥善处理好群众来信来访问题；完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门前“三包”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考评、奖惩和不文明现象曝光机制，设立严格的奖惩制度，鼓励先进，鞭策后进。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40" w:lineRule="exact"/>
        <w:ind w:left="0" w:leftChars="0"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zh-CN"/>
        </w:rPr>
        <w:t>四、保障制度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val="zh-CN"/>
        </w:rPr>
        <w:t>（一）检查监督制度。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实行县领导督办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城市网格化管理工作制度，定期或不定期听取责任单位汇报，召开会议采取有力措施及时协调解决，做好跟踪落实，并向县委、县政府主要领导汇报工作情况。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县创城办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办督查组不定期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组织开展督查，督查范围为全县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所有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责任区。增强基层干部群众对创城办工作的信心和决心，推动市容环境、交通秩序、经营秩序的彻底改善。对检查督查发现和群众举报的突出问题，进行重点挂牌督办，督办查办情况及时反馈上报。对不能及时完成整改和上报整改情况的单位，县创城办办将进行黑榜公示，通报结果报县督查和绩效考评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val="zh-CN"/>
        </w:rPr>
        <w:t>（二）新闻曝光制度。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坚持新闻宣传与曝光并重的原则，在县属媒体平台及时宣传正面典型和曝光反面典型，引导社会舆论，树立正面导向，鞭策负面行为。对网格化管理、志愿服务和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zh-CN"/>
        </w:rPr>
        <w:t>门前“三包”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成效显著的单位和个人以及商铺门面，通过正面宣传树立典型。同时要充分发挥新闻媒体的监督作用，重点曝光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城市管理和执法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工作中发现的突出问题，触动整改，推进城市管理文明进程。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40" w:lineRule="exact"/>
        <w:ind w:left="0" w:leftChars="0" w:firstLine="643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zh-CN" w:eastAsia="zh-CN" w:bidi="ar-SA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val="zh-CN"/>
        </w:rPr>
        <w:t>（三）绩效奖惩制度。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zh-CN" w:eastAsia="zh-CN" w:bidi="ar-SA"/>
        </w:rPr>
        <w:t>中央、自治区、柳州市驻融各单位被通报三次不整改的，由县文明办报区自治区、柳州市文明办，并由县委发函向其上级主管部门要求调整主要领导及分管领导；对辖区商户实施红黑旗评选考核制度，对沿街商户实行物品堆放、门前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zh-CN" w:eastAsia="zh-CN" w:bidi="ar-SA"/>
        </w:rPr>
        <w:t>包”（包卫生、包秩序、包劝阻）等内容进行评比，根据评比情况，对做得好的商户授予红旗，对做的不好的商户进行黄牌警告，多次警告未果授予黑旗，由媒体宣传红旗商户以及曝光黑旗商户，商铺经营户经通报不整改的，由相应的职能部门督促限期整改完成，直至停业整顿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公职人员因履职不到位或不文明行为被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zh-CN" w:eastAsia="zh-CN" w:bidi="ar-SA"/>
        </w:rPr>
        <w:t>媒体曝光的，年度考核不得评为优秀等次，情节严重的，由县纪委监委追究相关责任。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40" w:lineRule="exact"/>
        <w:ind w:left="0" w:leftChars="0"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zh-CN"/>
        </w:rPr>
        <w:t>五、工作要求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（一）加强组织领导。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开展城市网格化长效管理工作，是认真落实创城办工作的重要措施。各乡镇、各单位主要负责人为第一责任人，要高度重视城市网格化长效管理工作，将其列入重要议事日程和办事日程，根据长效管理工作任务和责任区划分，制定本系统、本单位的具体实施办法，切实将各项长效管理职责转化为本单位的日常具体工作，按照统一部署和要求，认真履行职责，努力形成上下联动、齐抓共管的长效管理新格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（二）加大资金投入。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改造提升基础设施和改善市容市貌是各城创建最基本的要求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。县财政局要把创城办工作经费纳入年度财政预算，进一步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善政策措施，引导社会和民间资金参与农贸市场、停车场、垃圾处理厂、污水处理厂等市政环卫基础设施的建设和维护，加快推进道路保洁市场化、垃圾处理产业化、环卫投资多元化，推进环卫基础设施融资改革，吸引社会资金和企业参与环卫基础设施的投资和运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643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（三）形成工作合力。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各级各部门要切实按照县委、县政府的工作部署和要求，紧密配合，协同工作，整体推进。不断加强沟通交流，及时总结推进工作、协调统筹，积极探索群众参与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创城办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的新途径、新办法，形成全民动员、全民参与、全民行动的良好局面。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rPr>
          <w:rFonts w:hint="default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leftChars="0" w:firstLine="640" w:firstLineChars="200"/>
        <w:jc w:val="left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融水苗族自治县创建自治区文明城市长效管理工作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1920" w:firstLineChars="600"/>
        <w:jc w:val="left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任务分解表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40" w:lineRule="exact"/>
        <w:ind w:left="0" w:leftChars="0" w:firstLine="1600" w:firstLineChars="500"/>
        <w:jc w:val="left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融水苗族自治县创建自治区文明城市常态化管理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leftChars="0" w:firstLine="1920" w:firstLineChars="6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县城主街道责任区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40" w:lineRule="exact"/>
        <w:ind w:left="0" w:leftChars="0" w:firstLine="1600" w:firstLineChars="500"/>
        <w:jc w:val="left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融水苗族自治县创建自治区文明城市常态化管理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leftChars="0" w:firstLine="1920" w:firstLineChars="600"/>
        <w:jc w:val="left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住宅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小区及背街小巷责任区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40" w:lineRule="exact"/>
        <w:ind w:left="0" w:leftChars="0" w:firstLine="1600" w:firstLineChars="500"/>
        <w:jc w:val="left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融水苗族自治县创建自治区文明城市常态化管理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1920" w:firstLineChars="600"/>
        <w:jc w:val="left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单位宿舍责任区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="1573" w:leftChars="0"/>
        <w:jc w:val="left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5"/>
        <w:widowControl w:val="0"/>
        <w:numPr>
          <w:ilvl w:val="0"/>
          <w:numId w:val="0"/>
        </w:numPr>
        <w:adjustRightInd/>
        <w:snapToGrid/>
        <w:spacing w:before="240" w:after="60"/>
        <w:jc w:val="both"/>
        <w:outlineLvl w:val="0"/>
        <w:rPr>
          <w:rFonts w:hint="eastAsia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pBdr>
          <w:top w:val="single" w:color="auto" w:sz="4" w:space="1"/>
          <w:bottom w:val="single" w:color="auto" w:sz="4" w:space="1"/>
        </w:pBdr>
        <w:spacing w:line="560" w:lineRule="exact"/>
        <w:ind w:right="105" w:rightChars="50" w:firstLine="212" w:firstLineChars="100"/>
        <w:textAlignment w:val="center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20"/>
          <w:w w:val="90"/>
          <w:sz w:val="28"/>
          <w:szCs w:val="28"/>
          <w:lang w:eastAsia="zh-CN"/>
        </w:rPr>
        <w:t>融水苗族自治县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-20"/>
          <w:w w:val="90"/>
          <w:sz w:val="28"/>
          <w:szCs w:val="28"/>
          <w:lang w:eastAsia="zh-CN"/>
        </w:rPr>
        <w:t>创建自治区文明城市工作领导小组办公室</w:t>
      </w:r>
      <w:r>
        <w:rPr>
          <w:rFonts w:hint="eastAsia" w:eastAsia="仿宋_GB2312"/>
          <w:spacing w:val="-20"/>
          <w:w w:val="90"/>
          <w:sz w:val="28"/>
          <w:szCs w:val="28"/>
          <w:highlight w:val="none"/>
        </w:rPr>
        <w:t xml:space="preserve">  </w:t>
      </w:r>
      <w:r>
        <w:rPr>
          <w:rFonts w:hint="eastAsia" w:eastAsia="仿宋_GB2312"/>
          <w:spacing w:val="-4"/>
          <w:sz w:val="28"/>
          <w:szCs w:val="28"/>
          <w:highlight w:val="none"/>
        </w:rPr>
        <w:t xml:space="preserve"> </w:t>
      </w:r>
      <w:r>
        <w:rPr>
          <w:rFonts w:hint="eastAsia" w:eastAsia="仿宋_GB2312"/>
          <w:spacing w:val="-4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eastAsia="仿宋_GB2312"/>
          <w:spacing w:val="-20"/>
          <w:sz w:val="28"/>
          <w:szCs w:val="28"/>
          <w:highlight w:val="none"/>
        </w:rPr>
        <w:t>202</w:t>
      </w:r>
      <w:r>
        <w:rPr>
          <w:rFonts w:hint="eastAsia" w:eastAsia="仿宋_GB2312"/>
          <w:spacing w:val="-20"/>
          <w:sz w:val="28"/>
          <w:szCs w:val="28"/>
          <w:highlight w:val="none"/>
          <w:lang w:val="en-US" w:eastAsia="zh-CN"/>
        </w:rPr>
        <w:t>2</w:t>
      </w:r>
      <w:r>
        <w:rPr>
          <w:rFonts w:eastAsia="仿宋_GB2312"/>
          <w:spacing w:val="-20"/>
          <w:sz w:val="28"/>
          <w:szCs w:val="28"/>
          <w:highlight w:val="none"/>
        </w:rPr>
        <w:t>年</w:t>
      </w:r>
      <w:r>
        <w:rPr>
          <w:rFonts w:hint="eastAsia" w:eastAsia="仿宋_GB2312"/>
          <w:spacing w:val="-20"/>
          <w:sz w:val="28"/>
          <w:szCs w:val="28"/>
          <w:highlight w:val="none"/>
          <w:lang w:val="en-US" w:eastAsia="zh-CN"/>
        </w:rPr>
        <w:t>2</w:t>
      </w:r>
      <w:r>
        <w:rPr>
          <w:rFonts w:eastAsia="仿宋_GB2312"/>
          <w:spacing w:val="-20"/>
          <w:sz w:val="28"/>
          <w:szCs w:val="28"/>
          <w:highlight w:val="none"/>
        </w:rPr>
        <w:t>月</w:t>
      </w:r>
      <w:r>
        <w:rPr>
          <w:rFonts w:hint="eastAsia" w:eastAsia="仿宋_GB2312"/>
          <w:spacing w:val="-20"/>
          <w:sz w:val="28"/>
          <w:szCs w:val="28"/>
          <w:highlight w:val="none"/>
          <w:lang w:val="en-US" w:eastAsia="zh-CN"/>
        </w:rPr>
        <w:t>17</w:t>
      </w:r>
      <w:r>
        <w:rPr>
          <w:rFonts w:eastAsia="仿宋_GB2312"/>
          <w:spacing w:val="-20"/>
          <w:sz w:val="28"/>
          <w:szCs w:val="28"/>
          <w:highlight w:val="none"/>
        </w:rPr>
        <w:t>日印发</w:t>
      </w:r>
    </w:p>
    <w:p/>
    <w:sectPr>
      <w:pgSz w:w="11906" w:h="16838"/>
      <w:pgMar w:top="1440" w:right="1406" w:bottom="1440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Schoolbook">
    <w:altName w:val="Segoe Print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C63367"/>
    <w:multiLevelType w:val="singleLevel"/>
    <w:tmpl w:val="64C6336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0431F"/>
    <w:rsid w:val="24B0431F"/>
    <w:rsid w:val="7B4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5">
    <w:name w:val="Title"/>
    <w:basedOn w:val="1"/>
    <w:next w:val="1"/>
    <w:qFormat/>
    <w:uiPriority w:val="0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eastAsia="宋体" w:cs="Cambria"/>
      <w:b/>
      <w:bCs/>
      <w:sz w:val="21"/>
      <w:szCs w:val="21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2022-03-28T09:18:00Z</dcterms:created>
  <dc:creator>WPS_1616993656</dc:creator>
  <cp:lastModifiedBy>WPS_1616993656</cp:lastModifiedBy>
  <cp:lastPrinted>2022-03-28T09:38:29Z</cp:lastPrinted>
  <dcterms:modified xsi:type="dcterms:W3CDTF">2022-03-28T09:38:48Z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3F1AF2AA253242068E4D6D267F90CC6F</vt:lpwstr>
  </property>
</Properties>
</file>