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spacing w:val="-11"/>
          <w:sz w:val="44"/>
          <w:szCs w:val="44"/>
          <w:lang w:val="en-US"/>
        </w:rPr>
        <w:t>融水苗族自治县巩固拓展脱</w:t>
      </w:r>
      <w:r>
        <w:rPr>
          <w:rFonts w:hint="eastAsia" w:ascii="方正小标宋简体" w:hAnsi="方正小标宋简体" w:eastAsia="方正小标宋简体" w:cs="方正小标宋简体"/>
          <w:sz w:val="44"/>
          <w:szCs w:val="44"/>
          <w:lang w:val="en-US"/>
        </w:rPr>
        <w:t>贫攻坚成果易地搬迁创业就业以奖代补实施方案</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》政策解读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i w:val="0"/>
          <w:iCs w:val="0"/>
          <w:caps w:val="0"/>
          <w:color w:val="auto"/>
          <w:spacing w:val="0"/>
          <w:sz w:val="32"/>
          <w:szCs w:val="32"/>
          <w:shd w:val="clear" w:fill="FFFFFF"/>
          <w:lang w:eastAsia="zh-CN"/>
        </w:rPr>
      </w:pPr>
      <w:r>
        <w:rPr>
          <w:rFonts w:hint="eastAsia" w:ascii="黑体" w:hAnsi="黑体" w:eastAsia="黑体" w:cs="黑体"/>
          <w:b w:val="0"/>
          <w:bCs w:val="0"/>
          <w:i w:val="0"/>
          <w:iCs w:val="0"/>
          <w:caps w:val="0"/>
          <w:color w:val="auto"/>
          <w:spacing w:val="0"/>
          <w:sz w:val="32"/>
          <w:szCs w:val="32"/>
          <w:shd w:val="clear" w:fill="FFFFFF"/>
          <w:lang w:eastAsia="zh-CN"/>
        </w:rPr>
        <w:t>一、编制背景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rPr>
        <w:t>为鼓舞广大</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脱贫搬迁</w:t>
      </w:r>
      <w:r>
        <w:rPr>
          <w:rFonts w:hint="eastAsia" w:ascii="仿宋_GB2312" w:hAnsi="仿宋_GB2312" w:eastAsia="仿宋_GB2312" w:cs="仿宋_GB2312"/>
          <w:b w:val="0"/>
          <w:bCs w:val="0"/>
          <w:i w:val="0"/>
          <w:iCs w:val="0"/>
          <w:caps w:val="0"/>
          <w:color w:val="auto"/>
          <w:spacing w:val="0"/>
          <w:sz w:val="32"/>
          <w:szCs w:val="32"/>
          <w:shd w:val="clear" w:fill="FFFFFF"/>
        </w:rPr>
        <w:t>户</w:t>
      </w:r>
      <w:r>
        <w:rPr>
          <w:rFonts w:hint="eastAsia" w:ascii="仿宋_GB2312" w:hAnsi="仿宋_GB2312" w:eastAsia="仿宋_GB2312" w:cs="仿宋_GB2312"/>
          <w:b w:val="0"/>
          <w:bCs w:val="0"/>
          <w:i w:val="0"/>
          <w:iCs w:val="0"/>
          <w:caps w:val="0"/>
          <w:color w:val="auto"/>
          <w:spacing w:val="0"/>
          <w:sz w:val="32"/>
          <w:szCs w:val="32"/>
          <w:shd w:val="clear" w:fill="FFFFFF"/>
          <w:lang w:eastAsia="zh-CN"/>
        </w:rPr>
        <w:t>创业就业</w:t>
      </w:r>
      <w:r>
        <w:rPr>
          <w:rFonts w:hint="eastAsia" w:ascii="仿宋_GB2312" w:hAnsi="仿宋_GB2312" w:eastAsia="仿宋_GB2312" w:cs="仿宋_GB2312"/>
          <w:b w:val="0"/>
          <w:bCs w:val="0"/>
          <w:i w:val="0"/>
          <w:iCs w:val="0"/>
          <w:caps w:val="0"/>
          <w:color w:val="auto"/>
          <w:spacing w:val="0"/>
          <w:sz w:val="32"/>
          <w:szCs w:val="32"/>
          <w:shd w:val="clear" w:fill="FFFFFF"/>
        </w:rPr>
        <w:t>热情，</w:t>
      </w:r>
      <w:r>
        <w:rPr>
          <w:rFonts w:hint="eastAsia" w:ascii="仿宋_GB2312" w:hAnsi="仿宋_GB2312" w:eastAsia="仿宋_GB2312" w:cs="仿宋_GB2312"/>
          <w:b w:val="0"/>
          <w:bCs w:val="0"/>
          <w:color w:val="auto"/>
          <w:spacing w:val="0"/>
          <w:kern w:val="2"/>
          <w:sz w:val="32"/>
          <w:szCs w:val="32"/>
          <w:lang w:val="en-US"/>
        </w:rPr>
        <w:t>加快培育一批</w:t>
      </w:r>
      <w:r>
        <w:rPr>
          <w:rFonts w:hint="eastAsia" w:ascii="仿宋_GB2312" w:hAnsi="仿宋_GB2312" w:eastAsia="仿宋_GB2312" w:cs="仿宋_GB2312"/>
          <w:b w:val="0"/>
          <w:bCs w:val="0"/>
          <w:color w:val="auto"/>
          <w:spacing w:val="0"/>
          <w:sz w:val="32"/>
          <w:szCs w:val="32"/>
          <w:lang w:val="en-US" w:eastAsia="zh-CN"/>
        </w:rPr>
        <w:t>经营主体，</w:t>
      </w:r>
      <w:r>
        <w:rPr>
          <w:rFonts w:hint="eastAsia" w:ascii="仿宋_GB2312" w:hAnsi="仿宋_GB2312" w:eastAsia="仿宋_GB2312" w:cs="仿宋_GB2312"/>
          <w:b w:val="0"/>
          <w:bCs w:val="0"/>
          <w:i w:val="0"/>
          <w:iCs w:val="0"/>
          <w:caps w:val="0"/>
          <w:color w:val="auto"/>
          <w:spacing w:val="0"/>
          <w:sz w:val="32"/>
          <w:szCs w:val="32"/>
          <w:shd w:val="clear" w:fill="FFFFFF"/>
        </w:rPr>
        <w:t>切实增强</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搬迁</w:t>
      </w:r>
      <w:r>
        <w:rPr>
          <w:rFonts w:hint="eastAsia" w:ascii="仿宋_GB2312" w:hAnsi="仿宋_GB2312" w:eastAsia="仿宋_GB2312" w:cs="仿宋_GB2312"/>
          <w:b w:val="0"/>
          <w:bCs w:val="0"/>
          <w:i w:val="0"/>
          <w:iCs w:val="0"/>
          <w:caps w:val="0"/>
          <w:color w:val="auto"/>
          <w:spacing w:val="0"/>
          <w:sz w:val="32"/>
          <w:szCs w:val="32"/>
          <w:shd w:val="clear" w:fill="FFFFFF"/>
        </w:rPr>
        <w:t>群众自我发展经济能力，拓宽</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搬迁</w:t>
      </w:r>
      <w:r>
        <w:rPr>
          <w:rFonts w:hint="eastAsia" w:ascii="仿宋_GB2312" w:hAnsi="仿宋_GB2312" w:eastAsia="仿宋_GB2312" w:cs="仿宋_GB2312"/>
          <w:b w:val="0"/>
          <w:bCs w:val="0"/>
          <w:i w:val="0"/>
          <w:iCs w:val="0"/>
          <w:caps w:val="0"/>
          <w:color w:val="auto"/>
          <w:spacing w:val="0"/>
          <w:sz w:val="32"/>
          <w:szCs w:val="32"/>
          <w:shd w:val="clear" w:fill="FFFFFF"/>
        </w:rPr>
        <w:t>群众稳定增收渠道，巩固拓展脱贫攻坚成果。</w:t>
      </w:r>
      <w:r>
        <w:rPr>
          <w:rFonts w:hint="eastAsia" w:ascii="仿宋_GB2312" w:hAnsi="仿宋_GB2312" w:eastAsia="仿宋_GB2312" w:cs="仿宋_GB2312"/>
          <w:color w:val="auto"/>
          <w:spacing w:val="0"/>
          <w:sz w:val="32"/>
          <w:szCs w:val="32"/>
        </w:rPr>
        <w:t>根据</w:t>
      </w:r>
      <w:r>
        <w:rPr>
          <w:rFonts w:hint="eastAsia" w:ascii="仿宋_GB2312" w:hAnsi="仿宋_GB2312" w:eastAsia="仿宋_GB2312" w:cs="仿宋_GB2312"/>
          <w:color w:val="auto"/>
          <w:spacing w:val="0"/>
          <w:sz w:val="32"/>
          <w:szCs w:val="32"/>
          <w:lang w:val="en-US" w:eastAsia="zh-CN"/>
        </w:rPr>
        <w:t>党中央、国务院关于实现巩固拓展脱贫攻坚成果同乡村振兴有效衔接的部署安排，</w:t>
      </w:r>
      <w:r>
        <w:rPr>
          <w:rFonts w:hint="eastAsia" w:ascii="仿宋_GB2312" w:hAnsi="仿宋_GB2312" w:eastAsia="仿宋_GB2312" w:cs="仿宋_GB2312"/>
          <w:color w:val="auto"/>
          <w:spacing w:val="0"/>
          <w:sz w:val="32"/>
          <w:szCs w:val="32"/>
        </w:rPr>
        <w:t>以及</w:t>
      </w:r>
      <w:r>
        <w:rPr>
          <w:rFonts w:hint="eastAsia" w:ascii="仿宋_GB2312" w:hAnsi="仿宋_GB2312" w:eastAsia="仿宋_GB2312" w:cs="仿宋_GB2312"/>
          <w:color w:val="auto"/>
          <w:spacing w:val="0"/>
          <w:sz w:val="32"/>
          <w:szCs w:val="32"/>
          <w:lang w:eastAsia="zh-CN"/>
        </w:rPr>
        <w:t>《广西壮族自治区实施乡村振兴战略指挥部易安后扶专责小组关于印发</w:t>
      </w:r>
      <w:r>
        <w:rPr>
          <w:rFonts w:hint="default" w:ascii="Times New Roman" w:hAnsi="Times New Roman" w:eastAsia="仿宋_GB2312" w:cs="Times New Roman"/>
          <w:color w:val="auto"/>
          <w:spacing w:val="0"/>
          <w:sz w:val="32"/>
          <w:szCs w:val="32"/>
          <w:lang w:val="en-US" w:eastAsia="zh-CN"/>
        </w:rPr>
        <w:t>2023</w:t>
      </w:r>
      <w:r>
        <w:rPr>
          <w:rFonts w:hint="eastAsia" w:ascii="仿宋_GB2312" w:hAnsi="仿宋_GB2312" w:eastAsia="仿宋_GB2312" w:cs="仿宋_GB2312"/>
          <w:color w:val="auto"/>
          <w:spacing w:val="0"/>
          <w:sz w:val="32"/>
          <w:szCs w:val="32"/>
          <w:lang w:eastAsia="zh-CN"/>
        </w:rPr>
        <w:t>年广西易地搬迁后续扶持工作要点的通知》（</w:t>
      </w:r>
      <w:r>
        <w:rPr>
          <w:rFonts w:hint="eastAsia" w:ascii="仿宋_GB2312" w:hAnsi="仿宋_GB2312" w:eastAsia="仿宋_GB2312" w:cs="仿宋_GB2312"/>
          <w:color w:val="auto"/>
          <w:spacing w:val="0"/>
          <w:sz w:val="32"/>
          <w:szCs w:val="32"/>
          <w:lang w:val="en-US" w:eastAsia="zh-CN"/>
        </w:rPr>
        <w:t>桂易安后扶组发〔</w:t>
      </w:r>
      <w:r>
        <w:rPr>
          <w:rFonts w:hint="default" w:ascii="Times New Roman" w:hAnsi="Times New Roman" w:eastAsia="仿宋_GB2312" w:cs="Times New Roman"/>
          <w:color w:val="auto"/>
          <w:spacing w:val="0"/>
          <w:sz w:val="32"/>
          <w:szCs w:val="32"/>
          <w:lang w:val="en-US" w:eastAsia="zh-CN"/>
        </w:rPr>
        <w:t>202</w:t>
      </w:r>
      <w:r>
        <w:rPr>
          <w:rFonts w:hint="eastAsia" w:ascii="Times New Roman" w:hAnsi="Times New Roman" w:eastAsia="仿宋_GB2312" w:cs="Times New Roman"/>
          <w:color w:val="auto"/>
          <w:spacing w:val="0"/>
          <w:sz w:val="32"/>
          <w:szCs w:val="32"/>
          <w:lang w:val="en-US" w:eastAsia="zh-CN"/>
        </w:rPr>
        <w:t>3</w:t>
      </w:r>
      <w:r>
        <w:rPr>
          <w:rFonts w:hint="eastAsia" w:ascii="仿宋_GB2312" w:hAnsi="仿宋_GB2312" w:eastAsia="仿宋_GB2312" w:cs="仿宋_GB2312"/>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3</w:t>
      </w:r>
      <w:r>
        <w:rPr>
          <w:rFonts w:hint="eastAsia" w:ascii="仿宋_GB2312" w:hAnsi="仿宋_GB2312" w:eastAsia="仿宋_GB2312" w:cs="仿宋_GB2312"/>
          <w:color w:val="auto"/>
          <w:spacing w:val="0"/>
          <w:sz w:val="32"/>
          <w:szCs w:val="32"/>
          <w:lang w:val="en-US" w:eastAsia="zh-CN"/>
        </w:rPr>
        <w:t>号</w:t>
      </w:r>
      <w:r>
        <w:rPr>
          <w:rFonts w:hint="eastAsia" w:ascii="仿宋_GB2312" w:hAnsi="仿宋_GB2312" w:eastAsia="仿宋_GB2312" w:cs="仿宋_GB2312"/>
          <w:color w:val="auto"/>
          <w:spacing w:val="0"/>
          <w:sz w:val="32"/>
          <w:szCs w:val="32"/>
          <w:lang w:eastAsia="zh-CN"/>
        </w:rPr>
        <w:t>）、《柳州市实施乡村振兴战略指挥部易安后扶专责小组</w:t>
      </w:r>
      <w:r>
        <w:rPr>
          <w:rFonts w:hint="eastAsia" w:ascii="仿宋_GB2312" w:hAnsi="仿宋_GB2312" w:eastAsia="仿宋_GB2312" w:cs="仿宋_GB2312"/>
          <w:color w:val="000000"/>
          <w:sz w:val="32"/>
          <w:szCs w:val="32"/>
          <w:lang w:val="en-US" w:eastAsia="zh-CN"/>
        </w:rPr>
        <w:t>关于印发</w:t>
      </w:r>
      <w:r>
        <w:rPr>
          <w:rFonts w:hint="default" w:ascii="Times New Roman" w:hAnsi="Times New Roman" w:eastAsia="仿宋_GB2312" w:cs="Times New Roman"/>
          <w:color w:val="000000"/>
          <w:sz w:val="32"/>
          <w:szCs w:val="32"/>
          <w:lang w:val="en-US" w:eastAsia="zh-CN"/>
        </w:rPr>
        <w:t>2023</w:t>
      </w:r>
      <w:r>
        <w:rPr>
          <w:rFonts w:hint="eastAsia" w:ascii="仿宋_GB2312" w:hAnsi="仿宋_GB2312" w:eastAsia="仿宋_GB2312" w:cs="仿宋_GB2312"/>
          <w:color w:val="000000"/>
          <w:sz w:val="32"/>
          <w:szCs w:val="32"/>
          <w:lang w:val="en-US" w:eastAsia="zh-CN"/>
        </w:rPr>
        <w:t>年柳州市易地搬迁后续扶持工作要点的通知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柳易安组发〔</w:t>
      </w:r>
      <w:r>
        <w:rPr>
          <w:rFonts w:hint="default" w:ascii="Times New Roman" w:hAnsi="Times New Roman" w:eastAsia="仿宋_GB2312" w:cs="Times New Roman"/>
          <w:color w:val="auto"/>
          <w:spacing w:val="0"/>
          <w:sz w:val="32"/>
          <w:szCs w:val="32"/>
          <w:lang w:val="en-US" w:eastAsia="zh-CN"/>
        </w:rPr>
        <w:t>202</w:t>
      </w:r>
      <w:r>
        <w:rPr>
          <w:rFonts w:hint="eastAsia" w:ascii="Times New Roman" w:hAnsi="Times New Roman" w:eastAsia="仿宋_GB2312" w:cs="Times New Roman"/>
          <w:color w:val="auto"/>
          <w:spacing w:val="0"/>
          <w:sz w:val="32"/>
          <w:szCs w:val="32"/>
          <w:lang w:val="en-US" w:eastAsia="zh-CN"/>
        </w:rPr>
        <w:t>3</w:t>
      </w:r>
      <w:r>
        <w:rPr>
          <w:rFonts w:hint="eastAsia" w:ascii="仿宋_GB2312" w:hAnsi="仿宋_GB2312" w:eastAsia="仿宋_GB2312" w:cs="仿宋_GB2312"/>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4</w:t>
      </w:r>
      <w:r>
        <w:rPr>
          <w:rFonts w:hint="eastAsia" w:ascii="仿宋_GB2312" w:hAnsi="仿宋_GB2312" w:eastAsia="仿宋_GB2312" w:cs="仿宋_GB2312"/>
          <w:color w:val="auto"/>
          <w:spacing w:val="0"/>
          <w:sz w:val="32"/>
          <w:szCs w:val="32"/>
          <w:lang w:val="en-US" w:eastAsia="zh-CN"/>
        </w:rPr>
        <w:t>号</w:t>
      </w:r>
      <w:r>
        <w:rPr>
          <w:rFonts w:hint="eastAsia" w:ascii="仿宋_GB2312" w:hAnsi="仿宋_GB2312" w:eastAsia="仿宋_GB2312" w:cs="仿宋_GB2312"/>
          <w:color w:val="auto"/>
          <w:spacing w:val="0"/>
          <w:sz w:val="32"/>
          <w:szCs w:val="32"/>
          <w:lang w:eastAsia="zh-CN"/>
        </w:rPr>
        <w:t>）等文件，按照融水县</w:t>
      </w:r>
      <w:r>
        <w:rPr>
          <w:rFonts w:hint="default" w:ascii="Times New Roman" w:hAnsi="Times New Roman" w:eastAsia="仿宋_GB2312" w:cs="Times New Roman"/>
          <w:color w:val="auto"/>
          <w:spacing w:val="0"/>
          <w:sz w:val="32"/>
          <w:szCs w:val="32"/>
          <w:lang w:val="en-US" w:eastAsia="zh-CN"/>
        </w:rPr>
        <w:t>202</w:t>
      </w:r>
      <w:r>
        <w:rPr>
          <w:rFonts w:hint="eastAsia" w:ascii="Times New Roman" w:hAnsi="Times New Roman" w:eastAsia="仿宋_GB2312" w:cs="Times New Roman"/>
          <w:color w:val="auto"/>
          <w:spacing w:val="0"/>
          <w:sz w:val="32"/>
          <w:szCs w:val="32"/>
          <w:lang w:val="en-US" w:eastAsia="zh-CN"/>
        </w:rPr>
        <w:t>3</w:t>
      </w:r>
      <w:r>
        <w:rPr>
          <w:rFonts w:hint="eastAsia" w:ascii="仿宋_GB2312" w:hAnsi="仿宋_GB2312" w:eastAsia="仿宋_GB2312" w:cs="仿宋_GB2312"/>
          <w:color w:val="auto"/>
          <w:spacing w:val="0"/>
          <w:sz w:val="32"/>
          <w:szCs w:val="32"/>
          <w:lang w:val="en-US" w:eastAsia="zh-CN"/>
        </w:rPr>
        <w:t>年易地搬迁后续扶持工作实际，进一步优化完善</w:t>
      </w:r>
      <w:r>
        <w:rPr>
          <w:rFonts w:hint="eastAsia" w:ascii="仿宋_GB2312" w:hAnsi="仿宋_GB2312" w:eastAsia="仿宋_GB2312" w:cs="仿宋_GB2312"/>
          <w:b w:val="0"/>
          <w:bCs w:val="0"/>
          <w:color w:val="auto"/>
          <w:spacing w:val="0"/>
          <w:kern w:val="2"/>
          <w:sz w:val="32"/>
          <w:szCs w:val="32"/>
          <w:lang w:val="en-US" w:eastAsia="zh-CN"/>
        </w:rPr>
        <w:t>《融水苗族自治县巩固拓展脱贫攻坚成果易地搬迁创业就业以奖代补实施方案》。</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政策依据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pacing w:val="0"/>
          <w:sz w:val="32"/>
          <w:szCs w:val="32"/>
          <w:lang w:eastAsia="zh-CN"/>
        </w:rPr>
      </w:pPr>
      <w:r>
        <w:rPr>
          <w:rFonts w:hint="default" w:ascii="Times New Roman" w:hAnsi="Times New Roman" w:eastAsia="仿宋_GB2312" w:cs="Times New Roman"/>
          <w:color w:val="auto"/>
          <w:spacing w:val="0"/>
          <w:sz w:val="32"/>
          <w:szCs w:val="32"/>
          <w:lang w:val="en-US" w:eastAsia="zh-CN"/>
        </w:rPr>
        <w:t>1</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eastAsia="zh-CN"/>
        </w:rPr>
        <w:t>《广西壮族自治区实施乡村振兴战略指挥部易安后扶专责小组关于印发</w:t>
      </w:r>
      <w:r>
        <w:rPr>
          <w:rFonts w:hint="default" w:ascii="Times New Roman" w:hAnsi="Times New Roman" w:eastAsia="仿宋_GB2312" w:cs="Times New Roman"/>
          <w:color w:val="auto"/>
          <w:spacing w:val="0"/>
          <w:sz w:val="32"/>
          <w:szCs w:val="32"/>
          <w:lang w:val="en-US" w:eastAsia="zh-CN"/>
        </w:rPr>
        <w:t>2023</w:t>
      </w:r>
      <w:r>
        <w:rPr>
          <w:rFonts w:hint="eastAsia" w:ascii="仿宋_GB2312" w:hAnsi="仿宋_GB2312" w:eastAsia="仿宋_GB2312" w:cs="仿宋_GB2312"/>
          <w:color w:val="auto"/>
          <w:spacing w:val="0"/>
          <w:sz w:val="32"/>
          <w:szCs w:val="32"/>
          <w:lang w:eastAsia="zh-CN"/>
        </w:rPr>
        <w:t>年广西易地搬迁后续扶持工作要点的通知》（</w:t>
      </w:r>
      <w:r>
        <w:rPr>
          <w:rFonts w:hint="eastAsia" w:ascii="仿宋_GB2312" w:hAnsi="仿宋_GB2312" w:eastAsia="仿宋_GB2312" w:cs="仿宋_GB2312"/>
          <w:color w:val="auto"/>
          <w:spacing w:val="0"/>
          <w:sz w:val="32"/>
          <w:szCs w:val="32"/>
          <w:lang w:val="en-US" w:eastAsia="zh-CN"/>
        </w:rPr>
        <w:t>桂易安后扶组发〔</w:t>
      </w:r>
      <w:r>
        <w:rPr>
          <w:rFonts w:hint="default" w:ascii="Times New Roman" w:hAnsi="Times New Roman" w:eastAsia="仿宋_GB2312" w:cs="Times New Roman"/>
          <w:color w:val="auto"/>
          <w:spacing w:val="0"/>
          <w:sz w:val="32"/>
          <w:szCs w:val="32"/>
          <w:lang w:val="en-US" w:eastAsia="zh-CN"/>
        </w:rPr>
        <w:t>202</w:t>
      </w:r>
      <w:r>
        <w:rPr>
          <w:rFonts w:hint="eastAsia" w:ascii="Times New Roman" w:hAnsi="Times New Roman" w:eastAsia="仿宋_GB2312" w:cs="Times New Roman"/>
          <w:color w:val="auto"/>
          <w:spacing w:val="0"/>
          <w:sz w:val="32"/>
          <w:szCs w:val="32"/>
          <w:lang w:val="en-US" w:eastAsia="zh-CN"/>
        </w:rPr>
        <w:t>3</w:t>
      </w:r>
      <w:r>
        <w:rPr>
          <w:rFonts w:hint="eastAsia" w:ascii="仿宋_GB2312" w:hAnsi="仿宋_GB2312" w:eastAsia="仿宋_GB2312" w:cs="仿宋_GB2312"/>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3</w:t>
      </w:r>
      <w:r>
        <w:rPr>
          <w:rFonts w:hint="eastAsia" w:ascii="仿宋_GB2312" w:hAnsi="仿宋_GB2312" w:eastAsia="仿宋_GB2312" w:cs="仿宋_GB2312"/>
          <w:color w:val="auto"/>
          <w:spacing w:val="0"/>
          <w:sz w:val="32"/>
          <w:szCs w:val="32"/>
          <w:lang w:val="en-US" w:eastAsia="zh-CN"/>
        </w:rPr>
        <w:t>号</w:t>
      </w:r>
      <w:r>
        <w:rPr>
          <w:rFonts w:hint="eastAsia" w:ascii="仿宋_GB2312" w:hAnsi="仿宋_GB2312" w:eastAsia="仿宋_GB2312" w:cs="仿宋_GB2312"/>
          <w:color w:val="auto"/>
          <w:spacing w:val="0"/>
          <w:sz w:val="32"/>
          <w:szCs w:val="32"/>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pacing w:val="0"/>
          <w:sz w:val="32"/>
          <w:szCs w:val="32"/>
          <w:lang w:eastAsia="zh-CN"/>
        </w:rPr>
      </w:pPr>
      <w:r>
        <w:rPr>
          <w:rFonts w:hint="default" w:ascii="Times New Roman" w:hAnsi="Times New Roman" w:eastAsia="仿宋_GB2312" w:cs="Times New Roman"/>
          <w:color w:val="auto"/>
          <w:spacing w:val="0"/>
          <w:sz w:val="32"/>
          <w:szCs w:val="32"/>
          <w:lang w:val="en-US" w:eastAsia="zh-CN"/>
        </w:rPr>
        <w:t>2</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eastAsia="zh-CN"/>
        </w:rPr>
        <w:t>《柳州市实施乡村振兴战略指挥部易安后扶专责小组</w:t>
      </w:r>
      <w:r>
        <w:rPr>
          <w:rFonts w:hint="eastAsia" w:ascii="仿宋_GB2312" w:hAnsi="仿宋_GB2312" w:eastAsia="仿宋_GB2312" w:cs="仿宋_GB2312"/>
          <w:color w:val="000000"/>
          <w:sz w:val="32"/>
          <w:szCs w:val="32"/>
          <w:lang w:val="en-US" w:eastAsia="zh-CN"/>
        </w:rPr>
        <w:t>关于印发</w:t>
      </w:r>
      <w:r>
        <w:rPr>
          <w:rFonts w:hint="default" w:ascii="Times New Roman" w:hAnsi="Times New Roman" w:eastAsia="仿宋_GB2312" w:cs="Times New Roman"/>
          <w:color w:val="000000"/>
          <w:sz w:val="32"/>
          <w:szCs w:val="32"/>
          <w:lang w:val="en-US" w:eastAsia="zh-CN"/>
        </w:rPr>
        <w:t>2023</w:t>
      </w:r>
      <w:r>
        <w:rPr>
          <w:rFonts w:hint="eastAsia" w:ascii="仿宋_GB2312" w:hAnsi="仿宋_GB2312" w:eastAsia="仿宋_GB2312" w:cs="仿宋_GB2312"/>
          <w:color w:val="000000"/>
          <w:sz w:val="32"/>
          <w:szCs w:val="32"/>
          <w:lang w:val="en-US" w:eastAsia="zh-CN"/>
        </w:rPr>
        <w:t>年柳州市易地搬迁后续扶持工作要点的通知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柳易安组发〔</w:t>
      </w:r>
      <w:r>
        <w:rPr>
          <w:rFonts w:hint="default" w:ascii="Times New Roman" w:hAnsi="Times New Roman" w:eastAsia="仿宋_GB2312" w:cs="Times New Roman"/>
          <w:color w:val="auto"/>
          <w:spacing w:val="0"/>
          <w:sz w:val="32"/>
          <w:szCs w:val="32"/>
          <w:lang w:val="en-US" w:eastAsia="zh-CN"/>
        </w:rPr>
        <w:t>202</w:t>
      </w:r>
      <w:r>
        <w:rPr>
          <w:rFonts w:hint="eastAsia" w:ascii="Times New Roman" w:hAnsi="Times New Roman" w:eastAsia="仿宋_GB2312" w:cs="Times New Roman"/>
          <w:color w:val="auto"/>
          <w:spacing w:val="0"/>
          <w:sz w:val="32"/>
          <w:szCs w:val="32"/>
          <w:lang w:val="en-US" w:eastAsia="zh-CN"/>
        </w:rPr>
        <w:t>3</w:t>
      </w:r>
      <w:r>
        <w:rPr>
          <w:rFonts w:hint="eastAsia" w:ascii="仿宋_GB2312" w:hAnsi="仿宋_GB2312" w:eastAsia="仿宋_GB2312" w:cs="仿宋_GB2312"/>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4</w:t>
      </w:r>
      <w:r>
        <w:rPr>
          <w:rFonts w:hint="eastAsia" w:ascii="仿宋_GB2312" w:hAnsi="仿宋_GB2312" w:eastAsia="仿宋_GB2312" w:cs="仿宋_GB2312"/>
          <w:color w:val="auto"/>
          <w:spacing w:val="0"/>
          <w:sz w:val="32"/>
          <w:szCs w:val="32"/>
          <w:lang w:val="en-US" w:eastAsia="zh-CN"/>
        </w:rPr>
        <w:t>号</w:t>
      </w:r>
      <w:r>
        <w:rPr>
          <w:rFonts w:hint="eastAsia" w:ascii="仿宋_GB2312" w:hAnsi="仿宋_GB2312" w:eastAsia="仿宋_GB2312" w:cs="仿宋_GB2312"/>
          <w:color w:val="auto"/>
          <w:spacing w:val="0"/>
          <w:sz w:val="32"/>
          <w:szCs w:val="32"/>
          <w:lang w:eastAsia="zh-CN"/>
        </w:rPr>
        <w:t>）。</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基本框架和主要内容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第一点是指导思想，主要是方案制定所依据的思想。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第二点是基本原则，共</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条，主要说明了易地搬迁创业就业以奖代补的定义，遵循的原则。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第三点是奖补对象，主要明确易地搬迁创业就业以奖代补实施的对象。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第四点是奖补条件和标准，共</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条，主要说明易地搬迁创业就业奖补对象应具备的条件、奖励发放标准，不予以奖补的情况。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第五点是资金来源，主要说明易地搬迁创业就业以奖代补的资金来源。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第六点是组织实施，共</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条，主要说明以奖代补实施步骤，奖补对象需要提供的材料。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第七点是其他工作要求，共</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条，主要说明方案实施过程中，政府有关单位在宣传、管理、监督方面的相关工作要求。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第八点是实施期限，主要明确本方案施行的时间。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政策咨询渠道</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负责解读本政策单位：融水苗族自治县</w:t>
      </w:r>
      <w:r>
        <w:rPr>
          <w:rFonts w:hint="eastAsia" w:ascii="仿宋_GB2312" w:hAnsi="宋体" w:eastAsia="仿宋_GB2312" w:cs="仿宋_GB2312"/>
          <w:color w:val="000000"/>
          <w:kern w:val="0"/>
          <w:sz w:val="31"/>
          <w:szCs w:val="31"/>
          <w:lang w:val="en-US" w:eastAsia="zh-CN" w:bidi="ar"/>
        </w:rPr>
        <w:t>发展和改革局（融水</w:t>
      </w:r>
      <w:r>
        <w:rPr>
          <w:rFonts w:ascii="仿宋_GB2312" w:hAnsi="宋体" w:eastAsia="仿宋_GB2312" w:cs="仿宋_GB2312"/>
          <w:color w:val="000000"/>
          <w:kern w:val="0"/>
          <w:sz w:val="31"/>
          <w:szCs w:val="31"/>
          <w:lang w:val="en-US" w:eastAsia="zh-CN" w:bidi="ar"/>
        </w:rPr>
        <w:t>苗族自治</w:t>
      </w:r>
      <w:r>
        <w:rPr>
          <w:rFonts w:hint="eastAsia" w:ascii="仿宋_GB2312" w:hAnsi="宋体" w:eastAsia="仿宋_GB2312" w:cs="仿宋_GB2312"/>
          <w:color w:val="000000"/>
          <w:kern w:val="0"/>
          <w:sz w:val="31"/>
          <w:szCs w:val="31"/>
          <w:lang w:val="en-US" w:eastAsia="zh-CN" w:bidi="ar"/>
        </w:rPr>
        <w:t>县易安后扶专责小组），地址：融水镇民族大道</w:t>
      </w:r>
      <w:r>
        <w:rPr>
          <w:rFonts w:hint="default" w:ascii="Times New Roman" w:hAnsi="Times New Roman" w:eastAsia="仿宋_GB2312" w:cs="Times New Roman"/>
          <w:color w:val="000000"/>
          <w:kern w:val="0"/>
          <w:sz w:val="31"/>
          <w:szCs w:val="31"/>
          <w:lang w:val="en-US" w:eastAsia="zh-CN" w:bidi="ar"/>
        </w:rPr>
        <w:t>203</w:t>
      </w:r>
      <w:r>
        <w:rPr>
          <w:rFonts w:hint="eastAsia" w:ascii="仿宋_GB2312" w:hAnsi="宋体" w:eastAsia="仿宋_GB2312" w:cs="仿宋_GB2312"/>
          <w:color w:val="000000"/>
          <w:kern w:val="0"/>
          <w:sz w:val="31"/>
          <w:szCs w:val="31"/>
          <w:lang w:val="en-US" w:eastAsia="zh-CN" w:bidi="ar"/>
        </w:rPr>
        <w:t>号振城大厦</w:t>
      </w:r>
      <w:r>
        <w:rPr>
          <w:rFonts w:hint="default" w:ascii="Times New Roman" w:hAnsi="Times New Roman" w:eastAsia="仿宋_GB2312" w:cs="Times New Roman"/>
          <w:color w:val="000000"/>
          <w:kern w:val="0"/>
          <w:sz w:val="31"/>
          <w:szCs w:val="31"/>
          <w:lang w:val="en-US" w:eastAsia="zh-CN" w:bidi="ar"/>
        </w:rPr>
        <w:t>16</w:t>
      </w:r>
      <w:r>
        <w:rPr>
          <w:rFonts w:hint="eastAsia" w:ascii="仿宋_GB2312" w:hAnsi="宋体" w:eastAsia="仿宋_GB2312" w:cs="仿宋_GB2312"/>
          <w:color w:val="000000"/>
          <w:kern w:val="0"/>
          <w:sz w:val="31"/>
          <w:szCs w:val="31"/>
          <w:lang w:val="en-US" w:eastAsia="zh-CN" w:bidi="ar"/>
        </w:rPr>
        <w:t>楼 ，电话：</w:t>
      </w:r>
      <w:r>
        <w:rPr>
          <w:rFonts w:hint="default" w:ascii="Times New Roman" w:hAnsi="Times New Roman" w:eastAsia="宋体" w:cs="Times New Roman"/>
          <w:color w:val="000000"/>
          <w:kern w:val="0"/>
          <w:sz w:val="31"/>
          <w:szCs w:val="31"/>
          <w:lang w:val="en-US" w:eastAsia="zh-CN" w:bidi="ar"/>
        </w:rPr>
        <w:t>0772</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5121776</w:t>
      </w:r>
      <w:r>
        <w:rPr>
          <w:rFonts w:hint="eastAsia" w:ascii="仿宋_GB2312" w:hAnsi="宋体" w:eastAsia="仿宋_GB2312" w:cs="仿宋_GB2312"/>
          <w:color w:val="000000"/>
          <w:kern w:val="0"/>
          <w:sz w:val="31"/>
          <w:szCs w:val="31"/>
          <w:lang w:val="en-US" w:eastAsia="zh-CN" w:bidi="ar"/>
        </w:rPr>
        <w:t>，邮箱：</w:t>
      </w:r>
      <w:r>
        <w:rPr>
          <w:rFonts w:hint="default" w:ascii="Times New Roman" w:hAnsi="Times New Roman" w:eastAsia="宋体" w:cs="Times New Roman"/>
          <w:color w:val="000000"/>
          <w:kern w:val="0"/>
          <w:sz w:val="31"/>
          <w:szCs w:val="31"/>
          <w:lang w:val="en-US" w:eastAsia="zh-CN" w:bidi="ar"/>
        </w:rPr>
        <w:t>rsfpbqzzb@163.com</w:t>
      </w:r>
      <w:r>
        <w:rPr>
          <w:rFonts w:hint="eastAsia" w:ascii="仿宋_GB2312" w:hAnsi="宋体" w:eastAsia="仿宋_GB2312" w:cs="仿宋_GB2312"/>
          <w:color w:val="000000"/>
          <w:kern w:val="0"/>
          <w:sz w:val="31"/>
          <w:szCs w:val="31"/>
          <w:lang w:val="en-US" w:eastAsia="zh-CN" w:bidi="ar"/>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方正小标宋简体" w:hAnsi="方正小标宋简体" w:eastAsia="方正小标宋简体" w:cs="方正小标宋简体"/>
          <w:b w:val="0"/>
          <w:bCs w:val="0"/>
          <w:i w:val="0"/>
          <w:iCs w:val="0"/>
          <w:caps w:val="0"/>
          <w:color w:val="auto"/>
          <w:spacing w:val="0"/>
          <w:sz w:val="32"/>
          <w:szCs w:val="32"/>
          <w:shd w:val="clear" w:fill="FFFFFF"/>
          <w:lang w:eastAsia="zh-CN"/>
        </w:rPr>
      </w:pP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方正小标宋简体" w:hAnsi="方正小标宋简体" w:eastAsia="方正小标宋简体" w:cs="方正小标宋简体"/>
          <w:b w:val="0"/>
          <w:bCs w:val="0"/>
          <w:i w:val="0"/>
          <w:iCs w:val="0"/>
          <w:caps w:val="0"/>
          <w:color w:val="auto"/>
          <w:spacing w:val="0"/>
          <w:sz w:val="32"/>
          <w:szCs w:val="32"/>
          <w:shd w:val="clear" w:fill="FFFFFF"/>
          <w:lang w:eastAsia="zh-C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F2B49"/>
    <w:multiLevelType w:val="singleLevel"/>
    <w:tmpl w:val="158F2B49"/>
    <w:lvl w:ilvl="0" w:tentative="0">
      <w:start w:val="4"/>
      <w:numFmt w:val="chineseCounting"/>
      <w:suff w:val="nothing"/>
      <w:lvlText w:val="%1、"/>
      <w:lvlJc w:val="left"/>
      <w:rPr>
        <w:rFonts w:hint="eastAsia"/>
      </w:rPr>
    </w:lvl>
  </w:abstractNum>
  <w:abstractNum w:abstractNumId="1">
    <w:nsid w:val="601F5118"/>
    <w:multiLevelType w:val="singleLevel"/>
    <w:tmpl w:val="601F5118"/>
    <w:lvl w:ilvl="0" w:tentative="0">
      <w:start w:val="2"/>
      <w:numFmt w:val="chineseCounting"/>
      <w:suff w:val="nothing"/>
      <w:lvlText w:val="%1、"/>
      <w:lvlJc w:val="left"/>
      <w:pPr>
        <w:ind w:left="0" w:firstLine="0"/>
      </w:p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ZGZlYTY3NWU1MTVkYmI1MWNkYWIwOTk3MjYwNGIifQ=="/>
  </w:docVars>
  <w:rsids>
    <w:rsidRoot w:val="14AD4F91"/>
    <w:rsid w:val="00CF5500"/>
    <w:rsid w:val="019C1FF8"/>
    <w:rsid w:val="02BC7D06"/>
    <w:rsid w:val="043F299D"/>
    <w:rsid w:val="069F16D9"/>
    <w:rsid w:val="076642C1"/>
    <w:rsid w:val="085530EF"/>
    <w:rsid w:val="0DFC36AD"/>
    <w:rsid w:val="0F343DFA"/>
    <w:rsid w:val="0FDE1D7A"/>
    <w:rsid w:val="115A0E16"/>
    <w:rsid w:val="12B4440D"/>
    <w:rsid w:val="12D84F9D"/>
    <w:rsid w:val="13021765"/>
    <w:rsid w:val="13EB21F9"/>
    <w:rsid w:val="140B0C41"/>
    <w:rsid w:val="14AD4F91"/>
    <w:rsid w:val="14ED1FA1"/>
    <w:rsid w:val="18086F6C"/>
    <w:rsid w:val="18E139B7"/>
    <w:rsid w:val="19AC41D9"/>
    <w:rsid w:val="1CCC4B92"/>
    <w:rsid w:val="1D8B67FB"/>
    <w:rsid w:val="1E957931"/>
    <w:rsid w:val="1EEC10E3"/>
    <w:rsid w:val="204D5FEA"/>
    <w:rsid w:val="20F546B7"/>
    <w:rsid w:val="21B4651D"/>
    <w:rsid w:val="26E03714"/>
    <w:rsid w:val="2A952A67"/>
    <w:rsid w:val="2C8D7E9A"/>
    <w:rsid w:val="310B3A83"/>
    <w:rsid w:val="348E2A01"/>
    <w:rsid w:val="35470E02"/>
    <w:rsid w:val="35696FCA"/>
    <w:rsid w:val="356B2D42"/>
    <w:rsid w:val="360B16B9"/>
    <w:rsid w:val="36D647D9"/>
    <w:rsid w:val="3A345DF9"/>
    <w:rsid w:val="3C7E15AD"/>
    <w:rsid w:val="3F2D2A68"/>
    <w:rsid w:val="3F731171"/>
    <w:rsid w:val="40761890"/>
    <w:rsid w:val="41344930"/>
    <w:rsid w:val="43B835F7"/>
    <w:rsid w:val="4453331F"/>
    <w:rsid w:val="44557097"/>
    <w:rsid w:val="46DD2B21"/>
    <w:rsid w:val="47305739"/>
    <w:rsid w:val="4BBA1ED6"/>
    <w:rsid w:val="4F0E4A13"/>
    <w:rsid w:val="52BC4786"/>
    <w:rsid w:val="56755377"/>
    <w:rsid w:val="56AE2637"/>
    <w:rsid w:val="573B244C"/>
    <w:rsid w:val="57F909E3"/>
    <w:rsid w:val="580B00F1"/>
    <w:rsid w:val="58CD7F5E"/>
    <w:rsid w:val="5B157129"/>
    <w:rsid w:val="5D6879E4"/>
    <w:rsid w:val="5E2002BE"/>
    <w:rsid w:val="62255EA3"/>
    <w:rsid w:val="624520A2"/>
    <w:rsid w:val="63780255"/>
    <w:rsid w:val="649E15B6"/>
    <w:rsid w:val="6CA56EE4"/>
    <w:rsid w:val="6F2319BD"/>
    <w:rsid w:val="737F2F3A"/>
    <w:rsid w:val="73CD2595"/>
    <w:rsid w:val="74FC0CE6"/>
    <w:rsid w:val="757E794D"/>
    <w:rsid w:val="75D752AF"/>
    <w:rsid w:val="76751A4C"/>
    <w:rsid w:val="7711659E"/>
    <w:rsid w:val="78843AC7"/>
    <w:rsid w:val="7AA34B7A"/>
    <w:rsid w:val="7F2E3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明显引用1"/>
    <w:next w:val="1"/>
    <w:qFormat/>
    <w:uiPriority w:val="99"/>
    <w:pPr>
      <w:wordWrap w:val="0"/>
      <w:spacing w:line="560" w:lineRule="exact"/>
      <w:ind w:left="0" w:right="0" w:firstLine="880" w:firstLineChars="200"/>
      <w:jc w:val="both"/>
    </w:pPr>
    <w:rPr>
      <w:rFonts w:ascii="Times New Roman" w:hAnsi="Times New Roman" w:eastAsia="CESI仿宋-GB2312" w:cs="Times New Roman"/>
      <w:iCs/>
      <w:sz w:val="32"/>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1142</Words>
  <Characters>1206</Characters>
  <Lines>0</Lines>
  <Paragraphs>0</Paragraphs>
  <TotalTime>0</TotalTime>
  <ScaleCrop>false</ScaleCrop>
  <LinksUpToDate>false</LinksUpToDate>
  <CharactersWithSpaces>1210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2022-07-20T02:06:00Z</dcterms:created>
  <dc:creator>hwq</dc:creator>
  <cp:lastModifiedBy>Yami</cp:lastModifiedBy>
  <cp:lastPrinted>2022-09-07T01:50:00Z</cp:lastPrinted>
  <dcterms:modified xsi:type="dcterms:W3CDTF">2024-05-30T09:06:06Z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CB0958441B6948878546917A3CDF1407</vt:lpwstr>
  </property>
</Properties>
</file>